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5E595D" w:rsidRDefault="00000000" w:rsidP="0058584C">
      <w:pPr>
        <w:pStyle w:val="Ttulo1"/>
      </w:pPr>
      <w:r>
        <w:t>Cuadro de Mando Estratégico de Visualizaciones de Sostenibilidad</w:t>
      </w:r>
    </w:p>
    <w:p w14:paraId="00000002"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Este documento detalla 15 visualizaciones analíticas para evaluar, comparar y entender a fondo el desempeño en sostenibilidad de las empresas del </w:t>
      </w:r>
      <w:proofErr w:type="spellStart"/>
      <w:r>
        <w:rPr>
          <w:rFonts w:ascii="Google Sans Text" w:eastAsia="Google Sans Text" w:hAnsi="Google Sans Text" w:cs="Google Sans Text"/>
          <w:color w:val="1B1C1D"/>
          <w:sz w:val="24"/>
          <w:szCs w:val="24"/>
        </w:rPr>
        <w:t>dataset</w:t>
      </w:r>
      <w:proofErr w:type="spellEnd"/>
      <w:r>
        <w:rPr>
          <w:rFonts w:ascii="Google Sans Text" w:eastAsia="Google Sans Text" w:hAnsi="Google Sans Text" w:cs="Google Sans Text"/>
          <w:color w:val="1B1C1D"/>
          <w:sz w:val="24"/>
          <w:szCs w:val="24"/>
        </w:rPr>
        <w:t>. Se organizan en tres niveles de análisis: Panorama General, Análisis Relacional y Atributos Específicos.</w:t>
      </w:r>
    </w:p>
    <w:p w14:paraId="00000003" w14:textId="77777777" w:rsidR="005E595D" w:rsidRDefault="00000000" w:rsidP="0058584C">
      <w:pPr>
        <w:pStyle w:val="Ttulo2"/>
      </w:pPr>
      <w:r>
        <w:t>Parte 1: Panorama General del Desempeño Corporativo</w:t>
      </w:r>
    </w:p>
    <w:p w14:paraId="00000004"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Estas visualizaciones ofrecen una vista macro del ecosistema, estableciendo una línea base del desempeño general y sectorial.</w:t>
      </w:r>
    </w:p>
    <w:p w14:paraId="00000005" w14:textId="77777777" w:rsidR="005E595D"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1. Radar de Competitividad por Pilar y </w:t>
      </w:r>
      <w:proofErr w:type="spellStart"/>
      <w:r>
        <w:rPr>
          <w:rFonts w:ascii="Google Sans Text" w:eastAsia="Google Sans Text" w:hAnsi="Google Sans Text" w:cs="Google Sans Text"/>
          <w:b/>
          <w:color w:val="1B1C1D"/>
          <w:sz w:val="24"/>
          <w:szCs w:val="24"/>
        </w:rPr>
        <w:t>Macrosector</w:t>
      </w:r>
      <w:proofErr w:type="spellEnd"/>
    </w:p>
    <w:p w14:paraId="00000006" w14:textId="77777777" w:rsidR="005E595D"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de radar donde cada eje radial representa un Nombre Pilar de sostenibilidad (ej. "Gobernanza Corporativa", "Acción Climática"). Se trazará un polígono de color distintivo para cada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La distancia desde el centro en cada eje indicará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promedio que el sector ha obtenido en ese pilar, creando una "huella" de sostenibilidad para cada sector.</w:t>
      </w:r>
    </w:p>
    <w:p w14:paraId="0000000B" w14:textId="77777777" w:rsidR="005E595D"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Permite a un estratega sectorial o a un inversor identificar instantáneamente las fortalezas y debilidades sistémicas. Responde a: ¿Qué sectores presentan un desempeño balanceado y cuáles tienen brechas críticas? ¿Dónde se concentran los riesgos y oportunidades de sostenibilidad a nivel industrial? Es una herramienta de benchmarking de alto nivel.</w:t>
      </w:r>
    </w:p>
    <w:p w14:paraId="0000000C"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2. Matriz Térmica de Desempeño Empresarial</w:t>
      </w:r>
    </w:p>
    <w:p w14:paraId="0000000D" w14:textId="77777777" w:rsidR="005E595D" w:rsidRDefault="00000000">
      <w:pPr>
        <w:numPr>
          <w:ilvl w:val="0"/>
          <w:numId w:val="1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mapa de calor (</w:t>
      </w:r>
      <w:proofErr w:type="spellStart"/>
      <w:r>
        <w:rPr>
          <w:rFonts w:ascii="Google Sans Text" w:eastAsia="Google Sans Text" w:hAnsi="Google Sans Text" w:cs="Google Sans Text"/>
          <w:color w:val="1B1C1D"/>
          <w:sz w:val="24"/>
          <w:szCs w:val="24"/>
        </w:rPr>
        <w:t>heatmap</w:t>
      </w:r>
      <w:proofErr w:type="spellEnd"/>
      <w:r>
        <w:rPr>
          <w:rFonts w:ascii="Google Sans Text" w:eastAsia="Google Sans Text" w:hAnsi="Google Sans Text" w:cs="Google Sans Text"/>
          <w:color w:val="1B1C1D"/>
          <w:sz w:val="24"/>
          <w:szCs w:val="24"/>
        </w:rPr>
        <w:t xml:space="preserve">) que despliega a todas las empresas (Razón social) en el eje Y </w:t>
      </w:r>
      <w:proofErr w:type="spellStart"/>
      <w:r>
        <w:rPr>
          <w:rFonts w:ascii="Google Sans Text" w:eastAsia="Google Sans Text" w:hAnsi="Google Sans Text" w:cs="Google Sans Text"/>
          <w:color w:val="1B1C1D"/>
          <w:sz w:val="24"/>
          <w:szCs w:val="24"/>
        </w:rPr>
        <w:t>y</w:t>
      </w:r>
      <w:proofErr w:type="spellEnd"/>
      <w:r>
        <w:rPr>
          <w:rFonts w:ascii="Google Sans Text" w:eastAsia="Google Sans Text" w:hAnsi="Google Sans Text" w:cs="Google Sans Text"/>
          <w:color w:val="1B1C1D"/>
          <w:sz w:val="24"/>
          <w:szCs w:val="24"/>
        </w:rPr>
        <w:t xml:space="preserve"> todos los Nombre Pilar en el eje X. La intensidad del color de cada celda (de un rojo intenso para puntajes bajos a un verde vibrante para puntajes altos) representará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de una empresa en un pilar específico. Las filas y columnas se pueden reordenar jerárquicamente para agrupar a las empresas y pilares con mejor desempeño.</w:t>
      </w:r>
    </w:p>
    <w:p w14:paraId="00000012" w14:textId="77777777" w:rsidR="005E595D" w:rsidRDefault="00000000">
      <w:pPr>
        <w:numPr>
          <w:ilvl w:val="0"/>
          <w:numId w:val="1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Es un diagnóstico completo del ecosistema. Permite a la alta dirección identificar líderes (</w:t>
      </w:r>
      <w:proofErr w:type="spellStart"/>
      <w:r>
        <w:rPr>
          <w:rFonts w:ascii="Google Sans Text" w:eastAsia="Google Sans Text" w:hAnsi="Google Sans Text" w:cs="Google Sans Text"/>
          <w:color w:val="1B1C1D"/>
          <w:sz w:val="24"/>
          <w:szCs w:val="24"/>
        </w:rPr>
        <w:t>outperformers</w:t>
      </w:r>
      <w:proofErr w:type="spellEnd"/>
      <w:r>
        <w:rPr>
          <w:rFonts w:ascii="Google Sans Text" w:eastAsia="Google Sans Text" w:hAnsi="Google Sans Text" w:cs="Google Sans Text"/>
          <w:color w:val="1B1C1D"/>
          <w:sz w:val="24"/>
          <w:szCs w:val="24"/>
        </w:rPr>
        <w:t xml:space="preserve">), rezagados </w:t>
      </w:r>
      <w:r>
        <w:rPr>
          <w:rFonts w:ascii="Google Sans Text" w:eastAsia="Google Sans Text" w:hAnsi="Google Sans Text" w:cs="Google Sans Text"/>
          <w:color w:val="1B1C1D"/>
          <w:sz w:val="24"/>
          <w:szCs w:val="24"/>
        </w:rPr>
        <w:lastRenderedPageBreak/>
        <w:t>(</w:t>
      </w:r>
      <w:proofErr w:type="spellStart"/>
      <w:r>
        <w:rPr>
          <w:rFonts w:ascii="Google Sans Text" w:eastAsia="Google Sans Text" w:hAnsi="Google Sans Text" w:cs="Google Sans Text"/>
          <w:color w:val="1B1C1D"/>
          <w:sz w:val="24"/>
          <w:szCs w:val="24"/>
        </w:rPr>
        <w:t>underperformers</w:t>
      </w:r>
      <w:proofErr w:type="spellEnd"/>
      <w:r>
        <w:rPr>
          <w:rFonts w:ascii="Google Sans Text" w:eastAsia="Google Sans Text" w:hAnsi="Google Sans Text" w:cs="Google Sans Text"/>
          <w:color w:val="1B1C1D"/>
          <w:sz w:val="24"/>
          <w:szCs w:val="24"/>
        </w:rPr>
        <w:t>) y "especialistas" (empresas fuertes en pocos pilares). También revela qué pilares son universalmente desafiantes (columnas predominantemente rojas), señalando posibles áreas para la colaboración industrial o la intervención política.</w:t>
      </w:r>
    </w:p>
    <w:p w14:paraId="00000013"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3. Diagrama de Violín de la Dispersión del Desempeño Sectorial</w:t>
      </w:r>
    </w:p>
    <w:p w14:paraId="00000014" w14:textId="77777777" w:rsidR="005E595D"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Para cada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se presenta un "violín" que muestra la distribución de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por empresa. La forma del violín indica la densidad de empresas en cada nivel de puntaje. Dentro de cada violín, un diagrama de caja mostrará la mediana, los cuartiles y los valores atípicos.</w:t>
      </w:r>
    </w:p>
    <w:p w14:paraId="00000019" w14:textId="77777777" w:rsidR="005E595D" w:rsidRDefault="00000000">
      <w:pPr>
        <w:numPr>
          <w:ilvl w:val="0"/>
          <w:numId w:val="20"/>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Va más allá de los promedios. Revela la homogeneidad o polarización del desempeño dentro de un sector. Un violín ancho y bajo indica un desempeño mediocre y homogéneo. Un violín con dos "jorobas" (bimodal) sugiere una brecha entre líderes y rezagados dentro del mismo sector. Esto es crucial para entender la dinámica competitiva interna de cada industria.</w:t>
      </w:r>
    </w:p>
    <w:p w14:paraId="0000001A"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4. </w:t>
      </w:r>
      <w:proofErr w:type="spellStart"/>
      <w:r>
        <w:rPr>
          <w:rFonts w:ascii="Google Sans Text" w:eastAsia="Google Sans Text" w:hAnsi="Google Sans Text" w:cs="Google Sans Text"/>
          <w:b/>
          <w:color w:val="1B1C1D"/>
          <w:sz w:val="24"/>
          <w:szCs w:val="24"/>
        </w:rPr>
        <w:t>Treemap</w:t>
      </w:r>
      <w:proofErr w:type="spellEnd"/>
      <w:r>
        <w:rPr>
          <w:rFonts w:ascii="Google Sans Text" w:eastAsia="Google Sans Text" w:hAnsi="Google Sans Text" w:cs="Google Sans Text"/>
          <w:b/>
          <w:color w:val="1B1C1D"/>
          <w:sz w:val="24"/>
          <w:szCs w:val="24"/>
        </w:rPr>
        <w:t xml:space="preserve"> de Impacto: Sostenibilidad y Peso Económico</w:t>
      </w:r>
    </w:p>
    <w:p w14:paraId="0000001B" w14:textId="77777777" w:rsidR="005E595D" w:rsidRDefault="00000000">
      <w:pPr>
        <w:numPr>
          <w:ilvl w:val="0"/>
          <w:numId w:val="22"/>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mapa de rectángulos donde el área se divide primero por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y luego cada sector se subdivide en rectángulos que representan a cada Razón social. El </w:t>
      </w:r>
      <w:r>
        <w:rPr>
          <w:rFonts w:ascii="Google Sans Text" w:eastAsia="Google Sans Text" w:hAnsi="Google Sans Text" w:cs="Google Sans Text"/>
          <w:b/>
          <w:color w:val="1B1C1D"/>
          <w:sz w:val="24"/>
          <w:szCs w:val="24"/>
        </w:rPr>
        <w:t>tamaño</w:t>
      </w:r>
      <w:r>
        <w:rPr>
          <w:rFonts w:ascii="Google Sans Text" w:eastAsia="Google Sans Text" w:hAnsi="Google Sans Text" w:cs="Google Sans Text"/>
          <w:color w:val="1B1C1D"/>
          <w:sz w:val="24"/>
          <w:szCs w:val="24"/>
        </w:rPr>
        <w:t xml:space="preserve"> de cada rectángulo de empresa es proporcional a sus Ingresos operacionales, y su </w:t>
      </w:r>
      <w:r>
        <w:rPr>
          <w:rFonts w:ascii="Google Sans Text" w:eastAsia="Google Sans Text" w:hAnsi="Google Sans Text" w:cs="Google Sans Text"/>
          <w:b/>
          <w:color w:val="1B1C1D"/>
          <w:sz w:val="24"/>
          <w:szCs w:val="24"/>
        </w:rPr>
        <w:t>color</w:t>
      </w:r>
      <w:r>
        <w:rPr>
          <w:rFonts w:ascii="Google Sans Text" w:eastAsia="Google Sans Text" w:hAnsi="Google Sans Text" w:cs="Google Sans Text"/>
          <w:color w:val="1B1C1D"/>
          <w:sz w:val="24"/>
          <w:szCs w:val="24"/>
        </w:rPr>
        <w:t xml:space="preserve"> se mapea a su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w:t>
      </w:r>
    </w:p>
    <w:p w14:paraId="00000020" w14:textId="77777777" w:rsidR="005E595D" w:rsidRDefault="00000000">
      <w:pPr>
        <w:numPr>
          <w:ilvl w:val="0"/>
          <w:numId w:val="22"/>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Conecta la sostenibilidad con el poder económico. Permite identificar si los gigantes económicos son también los líderes en sostenibilidad o si son los "elefantes en la habitación" con un gran impacto </w:t>
      </w:r>
      <w:proofErr w:type="gramStart"/>
      <w:r>
        <w:rPr>
          <w:rFonts w:ascii="Google Sans Text" w:eastAsia="Google Sans Text" w:hAnsi="Google Sans Text" w:cs="Google Sans Text"/>
          <w:color w:val="1B1C1D"/>
          <w:sz w:val="24"/>
          <w:szCs w:val="24"/>
        </w:rPr>
        <w:t>económico</w:t>
      </w:r>
      <w:proofErr w:type="gramEnd"/>
      <w:r>
        <w:rPr>
          <w:rFonts w:ascii="Google Sans Text" w:eastAsia="Google Sans Text" w:hAnsi="Google Sans Text" w:cs="Google Sans Text"/>
          <w:color w:val="1B1C1D"/>
          <w:sz w:val="24"/>
          <w:szCs w:val="24"/>
        </w:rPr>
        <w:t xml:space="preserve"> pero bajo desempeño. Es clave para analizar el riesgo sistémico, ya que las empresas grandes con bajo desempeño pueden representar una amenaza mayor para la sostenibilidad global.</w:t>
      </w:r>
    </w:p>
    <w:p w14:paraId="123A659D" w14:textId="77777777" w:rsidR="0058584C" w:rsidRDefault="0058584C">
      <w:pPr>
        <w:rPr>
          <w:b/>
          <w:sz w:val="36"/>
          <w:szCs w:val="36"/>
        </w:rPr>
      </w:pPr>
      <w:r>
        <w:br w:type="page"/>
      </w:r>
    </w:p>
    <w:p w14:paraId="00000021" w14:textId="0ECE0FA2" w:rsidR="005E595D" w:rsidRDefault="00000000" w:rsidP="0058584C">
      <w:pPr>
        <w:pStyle w:val="Ttulo2"/>
      </w:pPr>
      <w:r>
        <w:lastRenderedPageBreak/>
        <w:t>Parte 2: Análisis Relacional y de Composición Jerárquica</w:t>
      </w:r>
    </w:p>
    <w:p w14:paraId="00000022"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Estas visualizaciones exploran las interconexiones entre variables para entender las sinergias y la estructura del desempeño.</w:t>
      </w:r>
    </w:p>
    <w:p w14:paraId="00000023" w14:textId="77777777" w:rsidR="005E595D"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5. Diagrama de Burbujas: Sostenibilidad vs. Antigüedad Empresarial</w:t>
      </w:r>
    </w:p>
    <w:p w14:paraId="00000024" w14:textId="77777777" w:rsidR="005E595D" w:rsidRDefault="00000000">
      <w:pPr>
        <w:numPr>
          <w:ilvl w:val="0"/>
          <w:numId w:val="24"/>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de dispersión. El eje X representa el Año de fundación de la empresa (antigüedad). El eje Y representa su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Cada burbuja es una empresa. El </w:t>
      </w:r>
      <w:r>
        <w:rPr>
          <w:rFonts w:ascii="Google Sans Text" w:eastAsia="Google Sans Text" w:hAnsi="Google Sans Text" w:cs="Google Sans Text"/>
          <w:b/>
          <w:color w:val="1B1C1D"/>
          <w:sz w:val="24"/>
          <w:szCs w:val="24"/>
        </w:rPr>
        <w:t>tamaño</w:t>
      </w:r>
      <w:r>
        <w:rPr>
          <w:rFonts w:ascii="Google Sans Text" w:eastAsia="Google Sans Text" w:hAnsi="Google Sans Text" w:cs="Google Sans Text"/>
          <w:color w:val="1B1C1D"/>
          <w:sz w:val="24"/>
          <w:szCs w:val="24"/>
        </w:rPr>
        <w:t xml:space="preserve"> de la burbuja corresponde a los Ingresos operacionales y su </w:t>
      </w:r>
      <w:r>
        <w:rPr>
          <w:rFonts w:ascii="Google Sans Text" w:eastAsia="Google Sans Text" w:hAnsi="Google Sans Text" w:cs="Google Sans Text"/>
          <w:b/>
          <w:color w:val="1B1C1D"/>
          <w:sz w:val="24"/>
          <w:szCs w:val="24"/>
        </w:rPr>
        <w:t>color</w:t>
      </w:r>
      <w:r>
        <w:rPr>
          <w:rFonts w:ascii="Google Sans Text" w:eastAsia="Google Sans Text" w:hAnsi="Google Sans Text" w:cs="Google Sans Text"/>
          <w:color w:val="1B1C1D"/>
          <w:sz w:val="24"/>
          <w:szCs w:val="24"/>
        </w:rPr>
        <w:t xml:space="preserve"> al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w:t>
      </w:r>
    </w:p>
    <w:p w14:paraId="00000028" w14:textId="0F42B95C" w:rsidR="005E595D" w:rsidRDefault="0058584C">
      <w:pPr>
        <w:numPr>
          <w:ilvl w:val="0"/>
          <w:numId w:val="24"/>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w:t>
      </w:r>
      <w:r w:rsidR="00000000">
        <w:rPr>
          <w:rFonts w:ascii="Google Sans Text" w:eastAsia="Google Sans Text" w:hAnsi="Google Sans Text" w:cs="Google Sans Text"/>
          <w:b/>
          <w:color w:val="1B1C1D"/>
          <w:sz w:val="24"/>
          <w:szCs w:val="24"/>
        </w:rPr>
        <w:t>nálisis Estratégico Potencial:</w:t>
      </w:r>
      <w:r w:rsidR="00000000">
        <w:rPr>
          <w:rFonts w:ascii="Google Sans Text" w:eastAsia="Google Sans Text" w:hAnsi="Google Sans Text" w:cs="Google Sans Text"/>
          <w:color w:val="1B1C1D"/>
          <w:sz w:val="24"/>
          <w:szCs w:val="24"/>
        </w:rPr>
        <w:t xml:space="preserve"> Permite explorar la hipótesis de si la madurez de una empresa influye en su desempeño de sostenibilidad. ¿Las empresas más jóvenes ("nativas digitales/sostenibles") integran mejor la sostenibilidad desde su origen? ¿O las empresas más antiguas y establecidas tienen más recursos para invertir? La visualización puede revelar patrones generacionales en la gestión empresarial.</w:t>
      </w:r>
    </w:p>
    <w:p w14:paraId="00000029"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6. Gráfico de Coordenadas Paralelas para Perfiles de Sostenibilidad</w:t>
      </w:r>
    </w:p>
    <w:p w14:paraId="0000002A" w14:textId="77777777" w:rsidR="005E595D" w:rsidRDefault="00000000">
      <w:pPr>
        <w:numPr>
          <w:ilvl w:val="0"/>
          <w:numId w:val="26"/>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Cada Nombre Pilar se representa como un eje vertical paralelo. Cada empresa es una línea que conecta sus propios puntajes a través de todos los ejes. Las líneas se pueden colorear por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o por cuartil de desempeño (ej. colorear el 25% superior de empresas en verde).</w:t>
      </w:r>
    </w:p>
    <w:p w14:paraId="0000002E" w14:textId="77777777" w:rsidR="005E595D" w:rsidRDefault="00000000">
      <w:pPr>
        <w:numPr>
          <w:ilvl w:val="0"/>
          <w:numId w:val="26"/>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Es una herramienta de perfilado muy potente. Permite identificar arquetipos de desempeño: ¿Existen empresas "balanceadas" con puntajes medios en todo? ¿Hay "especialistas" con picos extremos en un pilar y valles en otros? Es útil para la consultoría estratégica, ya que permite a una empresa comparar su "perfil" con el de sus competidores directos o con los líderes del mercado.</w:t>
      </w:r>
    </w:p>
    <w:p w14:paraId="0000002F"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7. Diagrama </w:t>
      </w:r>
      <w:proofErr w:type="spellStart"/>
      <w:r>
        <w:rPr>
          <w:rFonts w:ascii="Google Sans Text" w:eastAsia="Google Sans Text" w:hAnsi="Google Sans Text" w:cs="Google Sans Text"/>
          <w:b/>
          <w:color w:val="1B1C1D"/>
          <w:sz w:val="24"/>
          <w:szCs w:val="24"/>
        </w:rPr>
        <w:t>Sankey</w:t>
      </w:r>
      <w:proofErr w:type="spellEnd"/>
      <w:r>
        <w:rPr>
          <w:rFonts w:ascii="Google Sans Text" w:eastAsia="Google Sans Text" w:hAnsi="Google Sans Text" w:cs="Google Sans Text"/>
          <w:b/>
          <w:color w:val="1B1C1D"/>
          <w:sz w:val="24"/>
          <w:szCs w:val="24"/>
        </w:rPr>
        <w:t xml:space="preserve"> de Flujo de Valoración</w:t>
      </w:r>
    </w:p>
    <w:p w14:paraId="00000030" w14:textId="77777777" w:rsidR="005E595D" w:rsidRDefault="00000000">
      <w:pPr>
        <w:numPr>
          <w:ilvl w:val="0"/>
          <w:numId w:val="28"/>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diagrama de flujo que visualiza cómo se distribuye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El flujo irá de izquierda a derecha a través de nodos: Bloque -&gt; Nombre Pilar -&gt;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El grosor de cada cinta que conecta los nodos será proporcional a la suma de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que representa.</w:t>
      </w:r>
    </w:p>
    <w:p w14:paraId="00000034" w14:textId="77777777" w:rsidR="005E595D" w:rsidRDefault="00000000">
      <w:pPr>
        <w:numPr>
          <w:ilvl w:val="0"/>
          <w:numId w:val="28"/>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Ilustra la estructura de la contribución a la sostenibilidad. Responde a: ¿Qué Bloque (ej. "Impacto social") es el que más aporta al puntaje general? ¿Cómo se distribuye ese aporte entre sus pilares? </w:t>
      </w:r>
      <w:r>
        <w:rPr>
          <w:rFonts w:ascii="Google Sans Text" w:eastAsia="Google Sans Text" w:hAnsi="Google Sans Text" w:cs="Google Sans Text"/>
          <w:color w:val="1B1C1D"/>
          <w:sz w:val="24"/>
          <w:szCs w:val="24"/>
        </w:rPr>
        <w:lastRenderedPageBreak/>
        <w:t>¿Qué sectores se benefician más de los puntajes en pilares específicos? Es ideal para entender la cadena de valor de la sostenibilidad.</w:t>
      </w:r>
    </w:p>
    <w:p w14:paraId="00000035"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8. Gráfico Solar (</w:t>
      </w:r>
      <w:proofErr w:type="spellStart"/>
      <w:r>
        <w:rPr>
          <w:rFonts w:ascii="Google Sans Text" w:eastAsia="Google Sans Text" w:hAnsi="Google Sans Text" w:cs="Google Sans Text"/>
          <w:b/>
          <w:color w:val="1B1C1D"/>
          <w:sz w:val="24"/>
          <w:szCs w:val="24"/>
        </w:rPr>
        <w:t>Sunburst</w:t>
      </w:r>
      <w:proofErr w:type="spellEnd"/>
      <w:r>
        <w:rPr>
          <w:rFonts w:ascii="Google Sans Text" w:eastAsia="Google Sans Text" w:hAnsi="Google Sans Text" w:cs="Google Sans Text"/>
          <w:b/>
          <w:color w:val="1B1C1D"/>
          <w:sz w:val="24"/>
          <w:szCs w:val="24"/>
        </w:rPr>
        <w:t>) de la Jerarquía del Desempeño</w:t>
      </w:r>
    </w:p>
    <w:p w14:paraId="00000036" w14:textId="77777777" w:rsidR="005E595D" w:rsidRDefault="00000000">
      <w:pPr>
        <w:numPr>
          <w:ilvl w:val="0"/>
          <w:numId w:val="30"/>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circular jerárquico. El círculo central representa el puntaje total. El primer anillo exterior se divide por Bloque. Cada segmento de Bloque se subdivide en el segundo anillo por Nombre Pilar. El tamaño y color de cada arco reflejan su contribución (suma de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al total.</w:t>
      </w:r>
    </w:p>
    <w:p w14:paraId="0000003A" w14:textId="77777777" w:rsidR="005E595D" w:rsidRDefault="00000000">
      <w:pPr>
        <w:numPr>
          <w:ilvl w:val="0"/>
          <w:numId w:val="30"/>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Ofrece una vista de "descomposición" del desempeño total. Es muy intuitivo para presentaciones a directorios, ya que muestra de un vistazo qué áreas (ej. el pilar "Acción Climática" dentro del bloque "Impacto Ambiental") son las más significativas o las que necesitan más atención.</w:t>
      </w:r>
    </w:p>
    <w:p w14:paraId="0000003B"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9. Matriz de Correlación entre Pilares de Sostenibilidad</w:t>
      </w:r>
    </w:p>
    <w:p w14:paraId="0000003C" w14:textId="77777777" w:rsidR="005E595D"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Una matriz cuadrada donde tanto filas como columnas son los Nombre Pilar. El color de cada celda indica el coeficiente de correlación de Pearson entre los puntajes de las empresas para el par de pilares correspondiente. Una escala de color (ej. de azul para correlación negativa a rojo para positiva) revela las relaciones.</w:t>
      </w:r>
    </w:p>
    <w:p w14:paraId="00000040" w14:textId="77777777" w:rsidR="005E595D"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Descubre sinergias y "</w:t>
      </w:r>
      <w:proofErr w:type="spellStart"/>
      <w:r>
        <w:rPr>
          <w:rFonts w:ascii="Google Sans Text" w:eastAsia="Google Sans Text" w:hAnsi="Google Sans Text" w:cs="Google Sans Text"/>
          <w:color w:val="1B1C1D"/>
          <w:sz w:val="24"/>
          <w:szCs w:val="24"/>
        </w:rPr>
        <w:t>trade-offs</w:t>
      </w:r>
      <w:proofErr w:type="spellEnd"/>
      <w:r>
        <w:rPr>
          <w:rFonts w:ascii="Google Sans Text" w:eastAsia="Google Sans Text" w:hAnsi="Google Sans Text" w:cs="Google Sans Text"/>
          <w:color w:val="1B1C1D"/>
          <w:sz w:val="24"/>
          <w:szCs w:val="24"/>
        </w:rPr>
        <w:t xml:space="preserve">". Una fuerte correlación positiva entre "Salud y Seguridad" y "Productividad" sugiere que las inversiones en uno potencian al otro (una sinergia). Una correlación negativa entre "Reducción de Emisiones" y "Rentabilidad a Corto Plazo" podría indicar un </w:t>
      </w:r>
      <w:proofErr w:type="spellStart"/>
      <w:r>
        <w:rPr>
          <w:rFonts w:ascii="Google Sans Text" w:eastAsia="Google Sans Text" w:hAnsi="Google Sans Text" w:cs="Google Sans Text"/>
          <w:color w:val="1B1C1D"/>
          <w:sz w:val="24"/>
          <w:szCs w:val="24"/>
        </w:rPr>
        <w:t>trade</w:t>
      </w:r>
      <w:proofErr w:type="spellEnd"/>
      <w:r>
        <w:rPr>
          <w:rFonts w:ascii="Google Sans Text" w:eastAsia="Google Sans Text" w:hAnsi="Google Sans Text" w:cs="Google Sans Text"/>
          <w:color w:val="1B1C1D"/>
          <w:sz w:val="24"/>
          <w:szCs w:val="24"/>
        </w:rPr>
        <w:t>-off que necesita ser gestionado estratégicamente.</w:t>
      </w:r>
    </w:p>
    <w:p w14:paraId="6EB44D50" w14:textId="77777777" w:rsidR="0058584C" w:rsidRDefault="0058584C">
      <w:pPr>
        <w:rPr>
          <w:b/>
          <w:sz w:val="36"/>
          <w:szCs w:val="36"/>
        </w:rPr>
      </w:pPr>
      <w:r>
        <w:br w:type="page"/>
      </w:r>
    </w:p>
    <w:p w14:paraId="00000041" w14:textId="1C406D78" w:rsidR="005E595D" w:rsidRDefault="00000000" w:rsidP="0058584C">
      <w:pPr>
        <w:pStyle w:val="Ttulo2"/>
      </w:pPr>
      <w:r>
        <w:lastRenderedPageBreak/>
        <w:t>Parte 3: Análisis Comparativo y de Atributos Específicos</w:t>
      </w:r>
    </w:p>
    <w:p w14:paraId="00000042" w14:textId="77777777" w:rsidR="005E595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Estas visualizaciones se enfocan en comparar grupos específicos y analizar atributos particulares de las empresas.</w:t>
      </w:r>
    </w:p>
    <w:p w14:paraId="00000043" w14:textId="77777777" w:rsidR="005E595D" w:rsidRDefault="00000000">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10. Gráfico de Barras Divergentes: Desempeño Relativo al Sector</w:t>
      </w:r>
    </w:p>
    <w:p w14:paraId="00000044" w14:textId="77777777" w:rsidR="005E595D" w:rsidRDefault="00000000">
      <w:pPr>
        <w:numPr>
          <w:ilvl w:val="0"/>
          <w:numId w:val="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Para cada empresa, se muestra una barra horizontal. El punto </w:t>
      </w:r>
      <w:proofErr w:type="gramStart"/>
      <w:r>
        <w:rPr>
          <w:rFonts w:ascii="Google Sans Text" w:eastAsia="Google Sans Text" w:hAnsi="Google Sans Text" w:cs="Google Sans Text"/>
          <w:color w:val="1B1C1D"/>
          <w:sz w:val="24"/>
          <w:szCs w:val="24"/>
        </w:rPr>
        <w:t>cero central</w:t>
      </w:r>
      <w:proofErr w:type="gramEnd"/>
      <w:r>
        <w:rPr>
          <w:rFonts w:ascii="Google Sans Text" w:eastAsia="Google Sans Text" w:hAnsi="Google Sans Text" w:cs="Google Sans Text"/>
          <w:color w:val="1B1C1D"/>
          <w:sz w:val="24"/>
          <w:szCs w:val="24"/>
        </w:rPr>
        <w:t xml:space="preserve"> representa el puntaje promedio de su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La barra se extiende hacia la derecha (en verde) si el puntaje de la empresa es superior al promedio, y hacia la izquierda (en rojo) si es inferior. La longitud de la barra indica la magnitud de la desviación.</w:t>
      </w:r>
    </w:p>
    <w:p w14:paraId="0000004A" w14:textId="77777777" w:rsidR="005E595D" w:rsidRDefault="00000000">
      <w:pPr>
        <w:numPr>
          <w:ilvl w:val="0"/>
          <w:numId w:val="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Contextualiza el desempeño. Una empresa puede tener un puntaje absoluto modesto, pero ser líder en un sector de bajo desempeño, lo que la convierte en una pionera. Esta vista es crucial para una evaluación justa y para identificar a los verdaderos líderes relativos que están impulsando el cambio en sus industrias.</w:t>
      </w:r>
    </w:p>
    <w:p w14:paraId="0000004B"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11. Gráfico de Cajas Comparativo: Propiedad y Desempeño (Pública vs. Privada)</w:t>
      </w:r>
    </w:p>
    <w:p w14:paraId="0000004C" w14:textId="77777777" w:rsidR="005E595D" w:rsidRDefault="00000000">
      <w:pPr>
        <w:numPr>
          <w:ilvl w:val="0"/>
          <w:numId w:val="7"/>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Dos diagramas de caja (Box </w:t>
      </w:r>
      <w:proofErr w:type="spellStart"/>
      <w:r>
        <w:rPr>
          <w:rFonts w:ascii="Google Sans Text" w:eastAsia="Google Sans Text" w:hAnsi="Google Sans Text" w:cs="Google Sans Text"/>
          <w:color w:val="1B1C1D"/>
          <w:sz w:val="24"/>
          <w:szCs w:val="24"/>
        </w:rPr>
        <w:t>Plots</w:t>
      </w:r>
      <w:proofErr w:type="spellEnd"/>
      <w:r>
        <w:rPr>
          <w:rFonts w:ascii="Google Sans Text" w:eastAsia="Google Sans Text" w:hAnsi="Google Sans Text" w:cs="Google Sans Text"/>
          <w:color w:val="1B1C1D"/>
          <w:sz w:val="24"/>
          <w:szCs w:val="24"/>
        </w:rPr>
        <w:t>) uno al lado del otro. Uno muestra la distribución de los puntajes totales de sostenibilidad para las empresas de Tipo de propiedad "Pública", y el otro para las "Privada" y "Mixta".</w:t>
      </w:r>
    </w:p>
    <w:p w14:paraId="00000051" w14:textId="77777777" w:rsidR="005E595D" w:rsidRDefault="00000000">
      <w:pPr>
        <w:numPr>
          <w:ilvl w:val="0"/>
          <w:numId w:val="7"/>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Explora si la estructura de propiedad y la presión de los mercados de capitales influyen en el desempeño. ¿Las empresas públicas, sujetas a mayor escrutinio, tienen un desempeño significativamente diferente (mediana más alta, menor dispersión) que las privadas?</w:t>
      </w:r>
    </w:p>
    <w:p w14:paraId="00000052"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12. Gráfico de Densidad por Atributo: Multinacional vs. Nacional</w:t>
      </w:r>
    </w:p>
    <w:p w14:paraId="00000053" w14:textId="77777777" w:rsidR="005E595D"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Dos curvas de densidad de probabilidad superpuestas. Una curva (ej. en azul) muestra la distribución de los puntajes totales para las empresas marcadas como ¿Multinacional? Si, y la otra (ej. en naranja) para las marcadas como ¿Multinacional? No.</w:t>
      </w:r>
    </w:p>
    <w:p w14:paraId="00000057" w14:textId="77777777" w:rsidR="005E595D" w:rsidRDefault="00000000">
      <w:pPr>
        <w:numPr>
          <w:ilvl w:val="0"/>
          <w:numId w:val="9"/>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Analiza el efecto de la escala y la geografía. ¿Las multinacionales, expuestas a regulaciones y expectativas globales, muestran un desempeño superior (curva desplazada a la derecha)? ¿O las empresas nacionales son más ágiles y están mejor conectadas con las necesidades locales, mostrando picos en diferentes rangos de puntaje?</w:t>
      </w:r>
    </w:p>
    <w:p w14:paraId="00000058"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13. Análisis de Foco Temático: Comparativa de Variables entre Líderes y Rezagados</w:t>
      </w:r>
    </w:p>
    <w:p w14:paraId="00000059" w14:textId="1A417135" w:rsidR="005E595D"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w:t>
      </w:r>
      <w:r w:rsidR="00F97AE4" w:rsidRPr="00F97AE4">
        <w:rPr>
          <w:rFonts w:ascii="Google Sans Text" w:eastAsia="Google Sans Text" w:hAnsi="Google Sans Text" w:cs="Google Sans Text"/>
          <w:color w:val="1B1C1D"/>
          <w:sz w:val="24"/>
          <w:szCs w:val="24"/>
        </w:rPr>
        <w:t>Un mapa de calor (</w:t>
      </w:r>
      <w:proofErr w:type="spellStart"/>
      <w:r w:rsidR="00F97AE4" w:rsidRPr="00F97AE4">
        <w:rPr>
          <w:rFonts w:ascii="Google Sans Text" w:eastAsia="Google Sans Text" w:hAnsi="Google Sans Text" w:cs="Google Sans Text"/>
          <w:color w:val="1B1C1D"/>
          <w:sz w:val="24"/>
          <w:szCs w:val="24"/>
        </w:rPr>
        <w:t>heatmap</w:t>
      </w:r>
      <w:proofErr w:type="spellEnd"/>
      <w:r w:rsidR="00F97AE4" w:rsidRPr="00F97AE4">
        <w:rPr>
          <w:rFonts w:ascii="Google Sans Text" w:eastAsia="Google Sans Text" w:hAnsi="Google Sans Text" w:cs="Google Sans Text"/>
          <w:color w:val="1B1C1D"/>
          <w:sz w:val="24"/>
          <w:szCs w:val="24"/>
        </w:rPr>
        <w:t xml:space="preserve">) que despliega todas las Variables de sostenibilidad en el eje Y </w:t>
      </w:r>
      <w:proofErr w:type="spellStart"/>
      <w:r w:rsidR="00F97AE4" w:rsidRPr="00F97AE4">
        <w:rPr>
          <w:rFonts w:ascii="Google Sans Text" w:eastAsia="Google Sans Text" w:hAnsi="Google Sans Text" w:cs="Google Sans Text"/>
          <w:color w:val="1B1C1D"/>
          <w:sz w:val="24"/>
          <w:szCs w:val="24"/>
        </w:rPr>
        <w:t>y</w:t>
      </w:r>
      <w:proofErr w:type="spellEnd"/>
      <w:r w:rsidR="00F97AE4" w:rsidRPr="00F97AE4">
        <w:rPr>
          <w:rFonts w:ascii="Google Sans Text" w:eastAsia="Google Sans Text" w:hAnsi="Google Sans Text" w:cs="Google Sans Text"/>
          <w:color w:val="1B1C1D"/>
          <w:sz w:val="24"/>
          <w:szCs w:val="24"/>
        </w:rPr>
        <w:t xml:space="preserve"> todos los </w:t>
      </w:r>
      <w:proofErr w:type="spellStart"/>
      <w:r w:rsidR="00F97AE4" w:rsidRPr="00F97AE4">
        <w:rPr>
          <w:rFonts w:ascii="Google Sans Text" w:eastAsia="Google Sans Text" w:hAnsi="Google Sans Text" w:cs="Google Sans Text"/>
          <w:color w:val="1B1C1D"/>
          <w:sz w:val="24"/>
          <w:szCs w:val="24"/>
        </w:rPr>
        <w:t>Macrosector</w:t>
      </w:r>
      <w:proofErr w:type="spellEnd"/>
      <w:r w:rsidR="00F97AE4" w:rsidRPr="00F97AE4">
        <w:rPr>
          <w:rFonts w:ascii="Google Sans Text" w:eastAsia="Google Sans Text" w:hAnsi="Google Sans Text" w:cs="Google Sans Text"/>
          <w:color w:val="1B1C1D"/>
          <w:sz w:val="24"/>
          <w:szCs w:val="24"/>
        </w:rPr>
        <w:t xml:space="preserve"> en el eje X. La intensidad del color de cada celda (de un color claro para valores bajos a uno oscuro e intenso para valores altos) representa la valoración ponderada promedio que las empresas de un sector obtienen en una variable específica. A diferencia de solo contar la frecuencia, este enfoque mide el "impacto" o la "contribución al puntaje" de cada variable dentro de su contexto sectorial.</w:t>
      </w:r>
    </w:p>
    <w:p w14:paraId="0000005F" w14:textId="07A026ED" w:rsidR="005E595D" w:rsidRDefault="00000000">
      <w:pPr>
        <w:numPr>
          <w:ilvl w:val="0"/>
          <w:numId w:val="11"/>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w:t>
      </w:r>
      <w:r w:rsidR="00F97AE4" w:rsidRPr="00F97AE4">
        <w:rPr>
          <w:rFonts w:ascii="Google Sans Text" w:eastAsia="Google Sans Text" w:hAnsi="Google Sans Text" w:cs="Google Sans Text"/>
          <w:color w:val="1B1C1D"/>
          <w:sz w:val="24"/>
          <w:szCs w:val="24"/>
        </w:rPr>
        <w:t xml:space="preserve">Esta visualización ofrece un diagnóstico profundo sobre dónde reside el verdadero valor de las acciones de sostenibilidad, permitiendo un análisis mucho más granular que la simple frecuencia de </w:t>
      </w:r>
      <w:proofErr w:type="gramStart"/>
      <w:r w:rsidR="00F97AE4" w:rsidRPr="00F97AE4">
        <w:rPr>
          <w:rFonts w:ascii="Google Sans Text" w:eastAsia="Google Sans Text" w:hAnsi="Google Sans Text" w:cs="Google Sans Text"/>
          <w:color w:val="1B1C1D"/>
          <w:sz w:val="24"/>
          <w:szCs w:val="24"/>
        </w:rPr>
        <w:t>reporte,</w:t>
      </w:r>
      <w:proofErr w:type="gramEnd"/>
      <w:r w:rsidR="00F97AE4" w:rsidRPr="00F97AE4">
        <w:rPr>
          <w:rFonts w:ascii="Google Sans Text" w:eastAsia="Google Sans Text" w:hAnsi="Google Sans Text" w:cs="Google Sans Text"/>
          <w:color w:val="1B1C1D"/>
          <w:sz w:val="24"/>
          <w:szCs w:val="24"/>
        </w:rPr>
        <w:t xml:space="preserve"> permite a un estratega identificar instantáneamente qué iniciativas específicas (variables) son las que más contribuyen al puntaje total en cada industria. Responde a preguntas clave como: ¿Es más valioso para el sector 'Manufactura' enfocarse en 'Reducción de emisiones' o en 'Seguridad laboral'? ¿Dónde se concentran los puntajes más altos en el sector 'Servicios</w:t>
      </w:r>
      <w:proofErr w:type="gramStart"/>
      <w:r w:rsidR="00F97AE4" w:rsidRPr="00F97AE4">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w:t>
      </w:r>
      <w:proofErr w:type="gramEnd"/>
    </w:p>
    <w:p w14:paraId="00000060"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14. Gráfico de Dispersión con Línea de Tendencia: Ingresos vs. Valoración Ponderada</w:t>
      </w:r>
    </w:p>
    <w:p w14:paraId="00000061" w14:textId="77777777" w:rsidR="005E595D"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 gráfico de dispersión donde el eje X son los Ingresos operacionales (en escala logarítmica para manejar grandes diferencias) y el eje Y es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Se superpone una línea de regresión para mostrar la tendencia general. Los puntos pueden ser coloreados por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w:t>
      </w:r>
    </w:p>
    <w:p w14:paraId="00000065" w14:textId="77777777" w:rsidR="005E595D" w:rsidRDefault="00000000">
      <w:pPr>
        <w:numPr>
          <w:ilvl w:val="0"/>
          <w:numId w:val="13"/>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Evalúa la relación entre el tamaño financiero y el desempeño en sostenibilidad. ¿Existe una tendencia positiva que indique </w:t>
      </w:r>
      <w:proofErr w:type="gramStart"/>
      <w:r>
        <w:rPr>
          <w:rFonts w:ascii="Google Sans Text" w:eastAsia="Google Sans Text" w:hAnsi="Google Sans Text" w:cs="Google Sans Text"/>
          <w:color w:val="1B1C1D"/>
          <w:sz w:val="24"/>
          <w:szCs w:val="24"/>
        </w:rPr>
        <w:t>que</w:t>
      </w:r>
      <w:proofErr w:type="gramEnd"/>
      <w:r>
        <w:rPr>
          <w:rFonts w:ascii="Google Sans Text" w:eastAsia="Google Sans Text" w:hAnsi="Google Sans Text" w:cs="Google Sans Text"/>
          <w:color w:val="1B1C1D"/>
          <w:sz w:val="24"/>
          <w:szCs w:val="24"/>
        </w:rPr>
        <w:t xml:space="preserve"> a mayores ingresos, mayor puntaje? Las empresas que están muy por encima de la línea de tendencia son "campeones de la eficiencia en sostenibilidad" (logran mucho con relativamente menos ingresos), mientras que las que están muy por debajo son ineficientes.</w:t>
      </w:r>
    </w:p>
    <w:p w14:paraId="00000066" w14:textId="77777777" w:rsidR="005E595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15. Diagrama de Cuerdas (</w:t>
      </w:r>
      <w:proofErr w:type="spellStart"/>
      <w:r>
        <w:rPr>
          <w:rFonts w:ascii="Google Sans Text" w:eastAsia="Google Sans Text" w:hAnsi="Google Sans Text" w:cs="Google Sans Text"/>
          <w:b/>
          <w:color w:val="1B1C1D"/>
          <w:sz w:val="24"/>
          <w:szCs w:val="24"/>
        </w:rPr>
        <w:t>Chord</w:t>
      </w:r>
      <w:proofErr w:type="spellEnd"/>
      <w:r>
        <w:rPr>
          <w:rFonts w:ascii="Google Sans Text" w:eastAsia="Google Sans Text" w:hAnsi="Google Sans Text" w:cs="Google Sans Text"/>
          <w:b/>
          <w:color w:val="1B1C1D"/>
          <w:sz w:val="24"/>
          <w:szCs w:val="24"/>
        </w:rPr>
        <w:t xml:space="preserve"> </w:t>
      </w:r>
      <w:proofErr w:type="spellStart"/>
      <w:r>
        <w:rPr>
          <w:rFonts w:ascii="Google Sans Text" w:eastAsia="Google Sans Text" w:hAnsi="Google Sans Text" w:cs="Google Sans Text"/>
          <w:b/>
          <w:color w:val="1B1C1D"/>
          <w:sz w:val="24"/>
          <w:szCs w:val="24"/>
        </w:rPr>
        <w:t>Diagram</w:t>
      </w:r>
      <w:proofErr w:type="spellEnd"/>
      <w:r>
        <w:rPr>
          <w:rFonts w:ascii="Google Sans Text" w:eastAsia="Google Sans Text" w:hAnsi="Google Sans Text" w:cs="Google Sans Text"/>
          <w:b/>
          <w:color w:val="1B1C1D"/>
          <w:sz w:val="24"/>
          <w:szCs w:val="24"/>
        </w:rPr>
        <w:t>) de Interconexión Sector-Pilar</w:t>
      </w:r>
    </w:p>
    <w:p w14:paraId="00000067" w14:textId="77777777" w:rsidR="005E595D" w:rsidRDefault="00000000">
      <w:pPr>
        <w:numPr>
          <w:ilvl w:val="0"/>
          <w:numId w:val="15"/>
        </w:numPr>
        <w:pBdr>
          <w:top w:val="nil"/>
          <w:left w:val="nil"/>
          <w:bottom w:val="nil"/>
          <w:right w:val="nil"/>
          <w:between w:val="nil"/>
        </w:pBdr>
        <w:spacing w:line="275" w:lineRule="auto"/>
      </w:pPr>
      <w:r>
        <w:rPr>
          <w:rFonts w:ascii="Google Sans Text" w:eastAsia="Google Sans Text" w:hAnsi="Google Sans Text" w:cs="Google Sans Text"/>
          <w:b/>
          <w:color w:val="1B1C1D"/>
          <w:sz w:val="24"/>
          <w:szCs w:val="24"/>
        </w:rPr>
        <w:t>Descripción Detallada:</w:t>
      </w:r>
      <w:r>
        <w:rPr>
          <w:rFonts w:ascii="Google Sans Text" w:eastAsia="Google Sans Text" w:hAnsi="Google Sans Text" w:cs="Google Sans Text"/>
          <w:color w:val="1B1C1D"/>
          <w:sz w:val="24"/>
          <w:szCs w:val="24"/>
        </w:rPr>
        <w:t xml:space="preserve"> Una visualización circular avanzada. En la circunferencia exterior, se colocan nodos para cada </w:t>
      </w:r>
      <w:proofErr w:type="spellStart"/>
      <w:r>
        <w:rPr>
          <w:rFonts w:ascii="Google Sans Text" w:eastAsia="Google Sans Text" w:hAnsi="Google Sans Text" w:cs="Google Sans Text"/>
          <w:color w:val="1B1C1D"/>
          <w:sz w:val="24"/>
          <w:szCs w:val="24"/>
        </w:rPr>
        <w:t>Macrosector</w:t>
      </w:r>
      <w:proofErr w:type="spellEnd"/>
      <w:r>
        <w:rPr>
          <w:rFonts w:ascii="Google Sans Text" w:eastAsia="Google Sans Text" w:hAnsi="Google Sans Text" w:cs="Google Sans Text"/>
          <w:color w:val="1B1C1D"/>
          <w:sz w:val="24"/>
          <w:szCs w:val="24"/>
        </w:rPr>
        <w:t xml:space="preserve"> y para cada Nombre Pilar. Una cuerda conecta un sector con un pilar, y su grosor es proporcional a la </w:t>
      </w:r>
      <w:proofErr w:type="spellStart"/>
      <w:r>
        <w:rPr>
          <w:rFonts w:ascii="Google Sans Text" w:eastAsia="Google Sans Text" w:hAnsi="Google Sans Text" w:cs="Google Sans Text"/>
          <w:color w:val="1B1C1D"/>
          <w:sz w:val="24"/>
          <w:szCs w:val="24"/>
        </w:rPr>
        <w:t>valoracionPonderada</w:t>
      </w:r>
      <w:proofErr w:type="spellEnd"/>
      <w:r>
        <w:rPr>
          <w:rFonts w:ascii="Google Sans Text" w:eastAsia="Google Sans Text" w:hAnsi="Google Sans Text" w:cs="Google Sans Text"/>
          <w:color w:val="1B1C1D"/>
          <w:sz w:val="24"/>
          <w:szCs w:val="24"/>
        </w:rPr>
        <w:t xml:space="preserve"> total que ese sector ha acumulado en ese pilar específico.</w:t>
      </w:r>
    </w:p>
    <w:p w14:paraId="0000006B" w14:textId="77777777" w:rsidR="005E595D" w:rsidRPr="002D5D0C" w:rsidRDefault="00000000">
      <w:pPr>
        <w:numPr>
          <w:ilvl w:val="0"/>
          <w:numId w:val="15"/>
        </w:numPr>
        <w:pBdr>
          <w:top w:val="nil"/>
          <w:left w:val="nil"/>
          <w:bottom w:val="nil"/>
          <w:right w:val="nil"/>
          <w:between w:val="nil"/>
        </w:pBdr>
        <w:spacing w:after="120" w:line="275" w:lineRule="auto"/>
      </w:pPr>
      <w:r>
        <w:rPr>
          <w:rFonts w:ascii="Google Sans Text" w:eastAsia="Google Sans Text" w:hAnsi="Google Sans Text" w:cs="Google Sans Text"/>
          <w:b/>
          <w:color w:val="1B1C1D"/>
          <w:sz w:val="24"/>
          <w:szCs w:val="24"/>
        </w:rPr>
        <w:t>Análisis Estratégico Potencial:</w:t>
      </w:r>
      <w:r>
        <w:rPr>
          <w:rFonts w:ascii="Google Sans Text" w:eastAsia="Google Sans Text" w:hAnsi="Google Sans Text" w:cs="Google Sans Text"/>
          <w:color w:val="1B1C1D"/>
          <w:sz w:val="24"/>
          <w:szCs w:val="24"/>
        </w:rPr>
        <w:t xml:space="preserve"> Es una poderosa visualización de cierre para </w:t>
      </w:r>
      <w:r>
        <w:rPr>
          <w:rFonts w:ascii="Google Sans Text" w:eastAsia="Google Sans Text" w:hAnsi="Google Sans Text" w:cs="Google Sans Text"/>
          <w:color w:val="1B1C1D"/>
          <w:sz w:val="24"/>
          <w:szCs w:val="24"/>
        </w:rPr>
        <w:lastRenderedPageBreak/>
        <w:t>resumir todo el ecosistema. Muestra las "alianzas" o especializaciones más fuertes. Se puede ver de un solo vistazo que el sector 'Manufactura' tiene una fuerte conexión con pilares ambientales, mientras que 'Servicios' puede tenerla con pilares sociales. Revela la estructura de especialización de la sostenibilidad en el mercado analizado.</w:t>
      </w:r>
    </w:p>
    <w:p w14:paraId="1DCA4D5D" w14:textId="04120DC8" w:rsidR="002D5D0C" w:rsidRDefault="002D5D0C" w:rsidP="002D5D0C">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4"/>
          <w:szCs w:val="24"/>
        </w:rPr>
      </w:pPr>
      <w:r w:rsidRPr="002D5D0C">
        <w:rPr>
          <w:rFonts w:ascii="Google Sans Text" w:eastAsia="Google Sans Text" w:hAnsi="Google Sans Text" w:cs="Google Sans Text"/>
          <w:b/>
          <w:color w:val="1B1C1D"/>
          <w:sz w:val="24"/>
          <w:szCs w:val="24"/>
        </w:rPr>
        <w:t xml:space="preserve">16. Gráfico de </w:t>
      </w:r>
      <w:proofErr w:type="spellStart"/>
      <w:r>
        <w:rPr>
          <w:rFonts w:ascii="Google Sans Text" w:eastAsia="Google Sans Text" w:hAnsi="Google Sans Text" w:cs="Google Sans Text"/>
          <w:b/>
          <w:color w:val="1B1C1D"/>
          <w:sz w:val="24"/>
          <w:szCs w:val="24"/>
        </w:rPr>
        <w:t>disperción</w:t>
      </w:r>
      <w:proofErr w:type="spellEnd"/>
      <w:r w:rsidRPr="002D5D0C">
        <w:rPr>
          <w:rFonts w:ascii="Google Sans Text" w:eastAsia="Google Sans Text" w:hAnsi="Google Sans Text" w:cs="Google Sans Text"/>
          <w:b/>
          <w:color w:val="1B1C1D"/>
          <w:sz w:val="24"/>
          <w:szCs w:val="24"/>
        </w:rPr>
        <w:t xml:space="preserve"> Anidadas: Variables Clave por Pilar y Liderazgo Sectorial</w:t>
      </w:r>
    </w:p>
    <w:p w14:paraId="5E7FD701" w14:textId="4E43085B" w:rsidR="002D5D0C" w:rsidRPr="002D5D0C" w:rsidRDefault="002D5D0C" w:rsidP="002D5D0C">
      <w:pPr>
        <w:numPr>
          <w:ilvl w:val="0"/>
          <w:numId w:val="15"/>
        </w:numPr>
        <w:pBdr>
          <w:top w:val="nil"/>
          <w:left w:val="nil"/>
          <w:bottom w:val="nil"/>
          <w:right w:val="nil"/>
          <w:between w:val="nil"/>
        </w:pBdr>
        <w:spacing w:line="275" w:lineRule="auto"/>
        <w:rPr>
          <w:rFonts w:ascii="Google Sans Text" w:eastAsia="Google Sans Text" w:hAnsi="Google Sans Text" w:cs="Google Sans Text"/>
          <w:b/>
          <w:color w:val="1B1C1D"/>
          <w:sz w:val="24"/>
          <w:szCs w:val="24"/>
        </w:rPr>
      </w:pPr>
      <w:r w:rsidRPr="002D5D0C">
        <w:rPr>
          <w:rFonts w:ascii="Google Sans Text" w:eastAsia="Google Sans Text" w:hAnsi="Google Sans Text" w:cs="Google Sans Text"/>
          <w:b/>
          <w:color w:val="1B1C1D"/>
          <w:sz w:val="24"/>
          <w:szCs w:val="24"/>
        </w:rPr>
        <w:t xml:space="preserve">Descripción Detallada: </w:t>
      </w:r>
      <w:r w:rsidRPr="002D5D0C">
        <w:rPr>
          <w:rFonts w:ascii="Google Sans Text" w:eastAsia="Google Sans Text" w:hAnsi="Google Sans Text" w:cs="Google Sans Text"/>
          <w:bCs/>
          <w:color w:val="1B1C1D"/>
          <w:sz w:val="24"/>
          <w:szCs w:val="24"/>
        </w:rPr>
        <w:t xml:space="preserve">Esta visualización consiste en una serie de </w:t>
      </w:r>
      <w:proofErr w:type="spellStart"/>
      <w:r w:rsidRPr="002D5D0C">
        <w:rPr>
          <w:rFonts w:ascii="Google Sans Text" w:eastAsia="Google Sans Text" w:hAnsi="Google Sans Text" w:cs="Google Sans Text"/>
          <w:bCs/>
          <w:color w:val="1B1C1D"/>
          <w:sz w:val="24"/>
          <w:szCs w:val="24"/>
        </w:rPr>
        <w:t>subgráficos</w:t>
      </w:r>
      <w:proofErr w:type="spellEnd"/>
      <w:r w:rsidRPr="002D5D0C">
        <w:rPr>
          <w:rFonts w:ascii="Google Sans Text" w:eastAsia="Google Sans Text" w:hAnsi="Google Sans Text" w:cs="Google Sans Text"/>
          <w:bCs/>
          <w:color w:val="1B1C1D"/>
          <w:sz w:val="24"/>
          <w:szCs w:val="24"/>
        </w:rPr>
        <w:t xml:space="preserve"> (facetas), donde cada </w:t>
      </w:r>
      <w:proofErr w:type="spellStart"/>
      <w:r w:rsidRPr="002D5D0C">
        <w:rPr>
          <w:rFonts w:ascii="Google Sans Text" w:eastAsia="Google Sans Text" w:hAnsi="Google Sans Text" w:cs="Google Sans Text"/>
          <w:bCs/>
          <w:color w:val="1B1C1D"/>
          <w:sz w:val="24"/>
          <w:szCs w:val="24"/>
        </w:rPr>
        <w:t>subgráfico</w:t>
      </w:r>
      <w:proofErr w:type="spellEnd"/>
      <w:r w:rsidRPr="002D5D0C">
        <w:rPr>
          <w:rFonts w:ascii="Google Sans Text" w:eastAsia="Google Sans Text" w:hAnsi="Google Sans Text" w:cs="Google Sans Text"/>
          <w:bCs/>
          <w:color w:val="1B1C1D"/>
          <w:sz w:val="24"/>
          <w:szCs w:val="24"/>
        </w:rPr>
        <w:t xml:space="preserve"> representa un Nombre Pilar de sostenibilidad (ej. "Acción Climática", "Salud y Seguridad", etc.). Dentro de cada uno de estos </w:t>
      </w:r>
      <w:proofErr w:type="spellStart"/>
      <w:r w:rsidRPr="002D5D0C">
        <w:rPr>
          <w:rFonts w:ascii="Google Sans Text" w:eastAsia="Google Sans Text" w:hAnsi="Google Sans Text" w:cs="Google Sans Text"/>
          <w:bCs/>
          <w:color w:val="1B1C1D"/>
          <w:sz w:val="24"/>
          <w:szCs w:val="24"/>
        </w:rPr>
        <w:t>subgráficos</w:t>
      </w:r>
      <w:proofErr w:type="spellEnd"/>
      <w:r w:rsidRPr="002D5D0C">
        <w:rPr>
          <w:rFonts w:ascii="Google Sans Text" w:eastAsia="Google Sans Text" w:hAnsi="Google Sans Text" w:cs="Google Sans Text"/>
          <w:bCs/>
          <w:color w:val="1B1C1D"/>
          <w:sz w:val="24"/>
          <w:szCs w:val="24"/>
        </w:rPr>
        <w:t xml:space="preserve">, se presenta un gráfico de </w:t>
      </w:r>
      <w:proofErr w:type="spellStart"/>
      <w:r w:rsidRPr="002D5D0C">
        <w:rPr>
          <w:rFonts w:ascii="Google Sans Text" w:eastAsia="Google Sans Text" w:hAnsi="Google Sans Text" w:cs="Google Sans Text"/>
          <w:bCs/>
          <w:color w:val="1B1C1D"/>
          <w:sz w:val="24"/>
          <w:szCs w:val="24"/>
        </w:rPr>
        <w:t>disperción</w:t>
      </w:r>
      <w:proofErr w:type="spellEnd"/>
      <w:r w:rsidRPr="002D5D0C">
        <w:rPr>
          <w:rFonts w:ascii="Google Sans Text" w:eastAsia="Google Sans Text" w:hAnsi="Google Sans Text" w:cs="Google Sans Text"/>
          <w:bCs/>
          <w:color w:val="1B1C1D"/>
          <w:sz w:val="24"/>
          <w:szCs w:val="24"/>
        </w:rPr>
        <w:t xml:space="preserve"> horizontales que muestra las Variables más relevantes para ese pilar, ordenadas de mayor a menor según su valoración ponderada promedio.</w:t>
      </w:r>
    </w:p>
    <w:p w14:paraId="378957FA" w14:textId="4C7CEC1C" w:rsidR="002D5D0C" w:rsidRDefault="002D5D0C" w:rsidP="002D5D0C">
      <w:pPr>
        <w:numPr>
          <w:ilvl w:val="0"/>
          <w:numId w:val="15"/>
        </w:numPr>
        <w:pBdr>
          <w:top w:val="nil"/>
          <w:left w:val="nil"/>
          <w:bottom w:val="nil"/>
          <w:right w:val="nil"/>
          <w:between w:val="nil"/>
        </w:pBdr>
        <w:spacing w:after="120" w:line="275" w:lineRule="auto"/>
      </w:pPr>
      <w:r w:rsidRPr="002D5D0C">
        <w:rPr>
          <w:rFonts w:ascii="Google Sans Text" w:eastAsia="Google Sans Text" w:hAnsi="Google Sans Text" w:cs="Google Sans Text"/>
          <w:b/>
          <w:color w:val="1B1C1D"/>
          <w:sz w:val="24"/>
          <w:szCs w:val="24"/>
        </w:rPr>
        <w:t>Análisis Estratégico Potencial:</w:t>
      </w:r>
      <w:r w:rsidRPr="002D5D0C">
        <w:rPr>
          <w:rFonts w:ascii="Google Sans Text" w:eastAsia="Google Sans Text" w:hAnsi="Google Sans Text" w:cs="Google Sans Text"/>
          <w:color w:val="1B1C1D"/>
          <w:sz w:val="24"/>
          <w:szCs w:val="24"/>
        </w:rPr>
        <w:t xml:space="preserve"> Esta visualización es una herramienta de diagnóstico táctico que permite desglosar el desempeño a un nivel muy detallado, revelando la dinámica competitiva dentro de cada pilar de sostenibilidad.</w:t>
      </w:r>
      <w:r>
        <w:rPr>
          <w:rFonts w:ascii="Google Sans Text" w:eastAsia="Google Sans Text" w:hAnsi="Google Sans Text" w:cs="Google Sans Text"/>
          <w:color w:val="1B1C1D"/>
          <w:sz w:val="24"/>
          <w:szCs w:val="24"/>
        </w:rPr>
        <w:t xml:space="preserve"> </w:t>
      </w:r>
      <w:r w:rsidRPr="002D5D0C">
        <w:rPr>
          <w:rFonts w:ascii="Google Sans Text" w:eastAsia="Google Sans Text" w:hAnsi="Google Sans Text" w:cs="Google Sans Text"/>
          <w:color w:val="1B1C1D"/>
          <w:sz w:val="24"/>
          <w:szCs w:val="24"/>
        </w:rPr>
        <w:t>Identificación de "Motores de Valor" por Pilar: A diferencia de ver los pilares de forma agregada, este gráfico revela exactamente qué acciones (variables) son las que más contribuyen al éxito de un pilar. Permite a un estratega ver si el alto desempeño en "Acción Climática" se debe a la "Gestión de emisiones" o a la "Inversión en renovables".</w:t>
      </w:r>
    </w:p>
    <w:sectPr w:rsidR="002D5D0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AEB8CDCB-BB01-4746-BBED-F4897F3D3B22}"/>
    <w:embedItalic r:id="rId2" w:fontKey="{07B5D8BE-9081-4B90-B768-F743A2833302}"/>
  </w:font>
  <w:font w:name="Google Sans Text">
    <w:altName w:val="Calibri"/>
    <w:charset w:val="00"/>
    <w:family w:val="auto"/>
    <w:pitch w:val="default"/>
    <w:embedRegular r:id="rId3" w:fontKey="{15C373E9-A62F-486B-BB85-F1588DB5CF22}"/>
    <w:embedBold r:id="rId4" w:fontKey="{ACE58FF6-DA13-4348-B668-D01E710E1CB4}"/>
  </w:font>
  <w:font w:name="Calibri">
    <w:panose1 w:val="020F0502020204030204"/>
    <w:charset w:val="00"/>
    <w:family w:val="swiss"/>
    <w:pitch w:val="variable"/>
    <w:sig w:usb0="E4002EFF" w:usb1="C200247B" w:usb2="00000009" w:usb3="00000000" w:csb0="000001FF" w:csb1="00000000"/>
    <w:embedRegular r:id="rId5" w:fontKey="{7904EB1A-30DA-49C2-A19D-C28AB97BB973}"/>
  </w:font>
  <w:font w:name="Cambria">
    <w:panose1 w:val="02040503050406030204"/>
    <w:charset w:val="00"/>
    <w:family w:val="roman"/>
    <w:pitch w:val="variable"/>
    <w:sig w:usb0="E00006FF" w:usb1="420024FF" w:usb2="02000000" w:usb3="00000000" w:csb0="0000019F" w:csb1="00000000"/>
    <w:embedRegular r:id="rId6" w:fontKey="{F27361B1-6F76-40D2-B1F7-E765A95140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22EF"/>
    <w:multiLevelType w:val="multilevel"/>
    <w:tmpl w:val="D152C2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35F7CE2"/>
    <w:multiLevelType w:val="multilevel"/>
    <w:tmpl w:val="991EA2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A1859DB"/>
    <w:multiLevelType w:val="multilevel"/>
    <w:tmpl w:val="C248F1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0A77FD1"/>
    <w:multiLevelType w:val="multilevel"/>
    <w:tmpl w:val="8A763E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9C01ADD"/>
    <w:multiLevelType w:val="multilevel"/>
    <w:tmpl w:val="854083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172524E"/>
    <w:multiLevelType w:val="multilevel"/>
    <w:tmpl w:val="97D083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259505A2"/>
    <w:multiLevelType w:val="multilevel"/>
    <w:tmpl w:val="AD7859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293D55C5"/>
    <w:multiLevelType w:val="multilevel"/>
    <w:tmpl w:val="6044A2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2F6F76D1"/>
    <w:multiLevelType w:val="hybridMultilevel"/>
    <w:tmpl w:val="FD2C05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3422C96"/>
    <w:multiLevelType w:val="multilevel"/>
    <w:tmpl w:val="63BA3B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DB5016D"/>
    <w:multiLevelType w:val="multilevel"/>
    <w:tmpl w:val="D4C89A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3710092"/>
    <w:multiLevelType w:val="multilevel"/>
    <w:tmpl w:val="0D7248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44CC17BE"/>
    <w:multiLevelType w:val="multilevel"/>
    <w:tmpl w:val="097C4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44DE44C0"/>
    <w:multiLevelType w:val="multilevel"/>
    <w:tmpl w:val="6F2668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48EF3876"/>
    <w:multiLevelType w:val="multilevel"/>
    <w:tmpl w:val="8668DF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4B4A1DD1"/>
    <w:multiLevelType w:val="multilevel"/>
    <w:tmpl w:val="182257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504642A5"/>
    <w:multiLevelType w:val="multilevel"/>
    <w:tmpl w:val="12967F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50644A32"/>
    <w:multiLevelType w:val="multilevel"/>
    <w:tmpl w:val="41ACD3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5F4220DB"/>
    <w:multiLevelType w:val="multilevel"/>
    <w:tmpl w:val="317CBF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613E4189"/>
    <w:multiLevelType w:val="multilevel"/>
    <w:tmpl w:val="A78C1D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61E3049D"/>
    <w:multiLevelType w:val="multilevel"/>
    <w:tmpl w:val="3DD8E3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62C84CA8"/>
    <w:multiLevelType w:val="multilevel"/>
    <w:tmpl w:val="FFE48D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64D47839"/>
    <w:multiLevelType w:val="multilevel"/>
    <w:tmpl w:val="E67016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6B3813FC"/>
    <w:multiLevelType w:val="multilevel"/>
    <w:tmpl w:val="B50E82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6CAB2130"/>
    <w:multiLevelType w:val="multilevel"/>
    <w:tmpl w:val="AD4844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6D582926"/>
    <w:multiLevelType w:val="multilevel"/>
    <w:tmpl w:val="971EC1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7A2D5B54"/>
    <w:multiLevelType w:val="multilevel"/>
    <w:tmpl w:val="B8263F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7B2926FC"/>
    <w:multiLevelType w:val="multilevel"/>
    <w:tmpl w:val="8EE8DF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B610711"/>
    <w:multiLevelType w:val="multilevel"/>
    <w:tmpl w:val="9550A6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7C4D796D"/>
    <w:multiLevelType w:val="multilevel"/>
    <w:tmpl w:val="1A9896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7EBD62AB"/>
    <w:multiLevelType w:val="multilevel"/>
    <w:tmpl w:val="201AE3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87798812">
    <w:abstractNumId w:val="28"/>
  </w:num>
  <w:num w:numId="2" w16cid:durableId="1342657849">
    <w:abstractNumId w:val="20"/>
  </w:num>
  <w:num w:numId="3" w16cid:durableId="1417286122">
    <w:abstractNumId w:val="27"/>
  </w:num>
  <w:num w:numId="4" w16cid:durableId="919946225">
    <w:abstractNumId w:val="10"/>
  </w:num>
  <w:num w:numId="5" w16cid:durableId="1545630792">
    <w:abstractNumId w:val="14"/>
  </w:num>
  <w:num w:numId="6" w16cid:durableId="2034572319">
    <w:abstractNumId w:val="18"/>
  </w:num>
  <w:num w:numId="7" w16cid:durableId="900335595">
    <w:abstractNumId w:val="3"/>
  </w:num>
  <w:num w:numId="8" w16cid:durableId="83038828">
    <w:abstractNumId w:val="9"/>
  </w:num>
  <w:num w:numId="9" w16cid:durableId="712191697">
    <w:abstractNumId w:val="4"/>
  </w:num>
  <w:num w:numId="10" w16cid:durableId="431826042">
    <w:abstractNumId w:val="17"/>
  </w:num>
  <w:num w:numId="11" w16cid:durableId="1308320557">
    <w:abstractNumId w:val="2"/>
  </w:num>
  <w:num w:numId="12" w16cid:durableId="425467760">
    <w:abstractNumId w:val="23"/>
  </w:num>
  <w:num w:numId="13" w16cid:durableId="73355615">
    <w:abstractNumId w:val="19"/>
  </w:num>
  <w:num w:numId="14" w16cid:durableId="814764454">
    <w:abstractNumId w:val="1"/>
  </w:num>
  <w:num w:numId="15" w16cid:durableId="922110706">
    <w:abstractNumId w:val="21"/>
  </w:num>
  <w:num w:numId="16" w16cid:durableId="2023241480">
    <w:abstractNumId w:val="15"/>
  </w:num>
  <w:num w:numId="17" w16cid:durableId="666323719">
    <w:abstractNumId w:val="7"/>
  </w:num>
  <w:num w:numId="18" w16cid:durableId="351300733">
    <w:abstractNumId w:val="16"/>
  </w:num>
  <w:num w:numId="19" w16cid:durableId="2065787774">
    <w:abstractNumId w:val="6"/>
  </w:num>
  <w:num w:numId="20" w16cid:durableId="1237516738">
    <w:abstractNumId w:val="25"/>
  </w:num>
  <w:num w:numId="21" w16cid:durableId="1195000106">
    <w:abstractNumId w:val="29"/>
  </w:num>
  <w:num w:numId="22" w16cid:durableId="276181308">
    <w:abstractNumId w:val="12"/>
  </w:num>
  <w:num w:numId="23" w16cid:durableId="1622880318">
    <w:abstractNumId w:val="22"/>
  </w:num>
  <w:num w:numId="24" w16cid:durableId="91630129">
    <w:abstractNumId w:val="11"/>
  </w:num>
  <w:num w:numId="25" w16cid:durableId="2146896322">
    <w:abstractNumId w:val="24"/>
  </w:num>
  <w:num w:numId="26" w16cid:durableId="2107723078">
    <w:abstractNumId w:val="5"/>
  </w:num>
  <w:num w:numId="27" w16cid:durableId="680551532">
    <w:abstractNumId w:val="30"/>
  </w:num>
  <w:num w:numId="28" w16cid:durableId="1319725010">
    <w:abstractNumId w:val="26"/>
  </w:num>
  <w:num w:numId="29" w16cid:durableId="1267037597">
    <w:abstractNumId w:val="13"/>
  </w:num>
  <w:num w:numId="30" w16cid:durableId="301429259">
    <w:abstractNumId w:val="0"/>
  </w:num>
  <w:num w:numId="31" w16cid:durableId="15518439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5D"/>
    <w:rsid w:val="002D5D0C"/>
    <w:rsid w:val="004914E2"/>
    <w:rsid w:val="0058584C"/>
    <w:rsid w:val="005E595D"/>
    <w:rsid w:val="00F97AE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2CD17"/>
  <w15:docId w15:val="{64B72555-947E-4ABB-9AF0-DD5374A21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2D5D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Pages>
  <Words>2141</Words>
  <Characters>11776</Characters>
  <Application>Microsoft Office Word</Application>
  <DocSecurity>0</DocSecurity>
  <Lines>98</Lines>
  <Paragraphs>27</Paragraphs>
  <ScaleCrop>false</ScaleCrop>
  <Company/>
  <LinksUpToDate>false</LinksUpToDate>
  <CharactersWithSpaces>13890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Camilo Ortiz Cuervo</cp:lastModifiedBy>
  <cp:revision>4</cp:revision>
  <dcterms:created xsi:type="dcterms:W3CDTF">2025-08-05T16:04:00Z</dcterms:created>
  <dcterms:modified xsi:type="dcterms:W3CDTF">2025-08-05T16:08:00Z</dcterms:modified>
</cp:coreProperties>
</file>