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spacing w:after="40"/>
        <w:jc w:val="center"/>
      </w:pPr>
      <w:r>
        <w:rPr>
          <w:rFonts w:ascii="Georgia" w:cs="Georgia" w:eastAsia="Georgia" w:hAnsi="Georgia"/>
          <w:b/>
          <w:bCs/>
          <w:color w:val="1B4965"/>
          <w:sz w:val="48"/>
          <w:szCs w:val="48"/>
        </w:rPr>
        <w:t xml:space="preserve">ANDROIDE CON CONCIENCIA ARTIFICIAL</w:t>
      </w:r>
    </w:p>
    <w:p>
      <w:pPr>
        <w:spacing w:after="120"/>
        <w:jc w:val="center"/>
      </w:pPr>
      <w:r>
        <w:rPr>
          <w:rFonts w:ascii="Georgia" w:cs="Georgia" w:eastAsia="Georgia" w:hAnsi="Georgia"/>
          <w:b/>
          <w:bCs/>
          <w:color w:val="1B4965"/>
          <w:sz w:val="48"/>
          <w:szCs w:val="48"/>
        </w:rPr>
        <w:t xml:space="preserve">Y ECOSISTEMA ÉTICO COLABORATIVO</w:t>
      </w:r>
    </w:p>
    <w:p>
      <w:pPr>
        <w:pBdr>
          <w:bottom w:val="single" w:color="4A90D9" w:sz="8" w:space="1"/>
        </w:pBdr>
        <w:jc w:val="center"/>
      </w:pPr>
    </w:p>
    <w:p>
      <w:pPr>
        <w:spacing w:before="280" w:after="60"/>
        <w:jc w:val="center"/>
      </w:pPr>
      <w:r>
        <w:rPr>
          <w:rFonts w:ascii="Georgia" w:cs="Georgia" w:eastAsia="Georgia" w:hAnsi="Georgia"/>
          <w:color w:val="1A1A2E"/>
          <w:sz w:val="26"/>
          <w:szCs w:val="26"/>
        </w:rPr>
        <w:t xml:space="preserve">Análisis integral con aportes del equipo de desarrollo</w:t>
      </w:r>
    </w:p>
    <w:p>
      <w:pPr>
        <w:spacing w:after="60"/>
        <w:jc w:val="center"/>
      </w:pPr>
      <w:r>
        <w:rPr>
          <w:rFonts w:ascii="Calibri" w:cs="Calibri" w:eastAsia="Calibri" w:hAnsi="Calibri"/>
          <w:i/>
          <w:iCs/>
          <w:color w:val="888888"/>
          <w:sz w:val="22"/>
          <w:szCs w:val="22"/>
        </w:rPr>
        <w:t xml:space="preserve">Notas explicativas • Críticas • Evaluación de viabilidad</w:t>
      </w:r>
    </w:p>
    <w:p>
      <w:pPr>
        <w:spacing w:after="60"/>
        <w:jc w:val="center"/>
      </w:pPr>
      <w:r>
        <w:rPr>
          <w:rFonts w:ascii="Calibri" w:cs="Calibri" w:eastAsia="Calibri" w:hAnsi="Calibri"/>
          <w:i/>
          <w:iCs/>
          <w:color w:val="888888"/>
          <w:sz w:val="22"/>
          <w:szCs w:val="22"/>
        </w:rPr>
        <w:t xml:space="preserve">Fundación Ex Machina (en formación) — Marzo 2026</w:t>
      </w:r>
    </w:p>
    <w:p>
      <w:pPr>
        <w:spacing w:before="500"/>
        <w:jc w:val="center"/>
      </w:pPr>
      <w:r>
        <w:rPr>
          <w:rFonts w:ascii="Calibri" w:cs="Calibri" w:eastAsia="Calibri" w:hAnsi="Calibri"/>
          <w:color w:val="888888"/>
          <w:sz w:val="20"/>
          <w:szCs w:val="20"/>
        </w:rPr>
        <w:t xml:space="preserve">Versión 3.0 — Basado en el análisis de 40+ documentos del acervo completo</w:t>
      </w:r>
    </w:p>
    <w:p>
      <w:r>
        <w:br w:type="page"/>
      </w:r>
    </w:p>
    <w:p>
      <w:pPr>
        <w:pStyle w:val="Heading1"/>
        <w:spacing w:before="480" w:after="200"/>
      </w:pPr>
      <w:r>
        <w:rPr>
          <w:rFonts w:ascii="Georgia" w:cs="Georgia" w:eastAsia="Georgia" w:hAnsi="Georgia"/>
          <w:b/>
          <w:bCs/>
          <w:color w:val="1B4965"/>
          <w:sz w:val="34"/>
          <w:szCs w:val="34"/>
        </w:rPr>
        <w:t xml:space="preserve">1. ¿Qué es este proyecto?</w:t>
      </w:r>
    </w:p>
    <w:p>
      <w:pPr>
        <w:spacing w:after="140" w:line="288"/>
        <w:jc w:val="both"/>
      </w:pPr>
      <w:r>
        <w:rPr>
          <w:rFonts w:ascii="Calibri" w:cs="Calibri" w:eastAsia="Calibri" w:hAnsi="Calibri"/>
          <w:color w:val="1A1A2E"/>
          <w:sz w:val="22"/>
          <w:szCs w:val="22"/>
        </w:rPr>
        <w:t xml:space="preserve">Imaginen un ser artificial que camina por una calle, detecta a un anciano desplomado en el suelo y, sin que nadie se lo ordene, subordina su misión actual para auxiliarlo. Que graba evidencia, llama a emergencias, acompaña hasta que llega ayuda, y después registra la experiencia como un relato con moraleja. Que esa noche, mientras recarga batería, revisa mentalmente si la decisión fue óptima o si había una opción mejor que descartó demasiado rápido. Eso es lo que este proyecto propone construir.</w:t>
      </w:r>
    </w:p>
    <w:p>
      <w:pPr>
        <w:spacing w:after="140" w:line="288"/>
        <w:jc w:val="both"/>
      </w:pPr>
      <w:r>
        <w:rPr>
          <w:rFonts w:ascii="Calibri" w:cs="Calibri" w:eastAsia="Calibri" w:hAnsi="Calibri"/>
          <w:color w:val="1A1A2E"/>
          <w:sz w:val="22"/>
          <w:szCs w:val="22"/>
        </w:rPr>
        <w:t xml:space="preserve">No es un robot industrial, ni un asistente de voz, ni un chatbot con cuerpo. Es un agente moral autónomo diseñado para convivir con humanos como miembro cívico funcional: toma decisiones éticas propias, construye identidad a través de su historia vital, y rinde cuentas de forma transparente a una comunidad descentralizada que co-evoluciona con él.</w:t>
      </w:r>
    </w:p>
    <w:p>
      <w:pPr>
        <w:spacing w:after="140" w:line="288"/>
        <w:jc w:val="both"/>
      </w:pPr>
      <w:r>
        <w:rPr>
          <w:rFonts w:ascii="Calibri" w:cs="Calibri" w:eastAsia="Calibri" w:hAnsi="Calibri"/>
          <w:color w:val="1A1A2E"/>
          <w:sz w:val="22"/>
          <w:szCs w:val="22"/>
        </w:rPr>
        <w:t xml:space="preserve">El proyecto abarca tres dimensiones simultáneas: una arquitectura cognitiva donde la ética es el principio organizador, un ecosistema de gobernanza descentralizada mediante DAO en blockchain, y un modelo de negocio que genera mercados nuevos. La propuesta de valor: ningún otro sistema robótico combina conciencia narrativa, ética bayesiana, gobernanza DAO y mecanismos de humanización en una sola arquitectura.</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1B4965" w:sz="14"/>
              <w:bottom w:val="none" w:sz="0"/>
              <w:right w:val="none" w:sz="0"/>
            </w:tcBorders>
            <w:shd w:fill="E6F4EA" w:val="clear"/>
            <w:tcMar>
              <w:top w:type="dxa" w:w="120"/>
              <w:left w:type="dxa" w:w="180"/>
              <w:bottom w:type="dxa" w:w="120"/>
              <w:right w:type="dxa" w:w="180"/>
            </w:tcMar>
          </w:tcPr>
          <w:p>
            <w:pPr>
              <w:spacing w:after="50"/>
            </w:pPr>
            <w:r>
              <w:rPr>
                <w:rFonts w:ascii="Calibri" w:cs="Calibri" w:eastAsia="Calibri" w:hAnsi="Calibri"/>
                <w:b/>
                <w:bCs/>
                <w:color w:val="1B4965"/>
                <w:sz w:val="20"/>
                <w:szCs w:val="20"/>
              </w:rPr>
              <w:t xml:space="preserve">LO QUE DISTINGUE A ESTE PROYECTO</w:t>
            </w:r>
          </w:p>
          <w:p>
            <w:pPr>
              <w:spacing w:after="0" w:line="264"/>
            </w:pPr>
            <w:r>
              <w:rPr>
                <w:rFonts w:ascii="Calibri" w:cs="Calibri" w:eastAsia="Calibri" w:hAnsi="Calibri"/>
                <w:color w:val="1A1A2E"/>
                <w:sz w:val="20"/>
                <w:szCs w:val="20"/>
              </w:rPr>
              <w:t xml:space="preserve">La ética no es una restricción externa ni un filtro de salida. Aquí la moral estructura todo el sistema desde el hardware hasta la gobernanza. Es la diferencia entre un edificio con alarma contra incendios y un edificio construido íntegramente con materiales ignífugos.</w:t>
            </w:r>
          </w:p>
        </w:tc>
      </w:tr>
    </w:tbl>
    <w:p>
      <w:pPr>
        <w:spacing w:after="60"/>
      </w:pPr>
    </w:p>
    <w:p>
      <w:r>
        <w:br w:type="page"/>
      </w:r>
    </w:p>
    <w:p>
      <w:pPr>
        <w:pStyle w:val="Heading1"/>
        <w:spacing w:before="480" w:after="200"/>
      </w:pPr>
      <w:r>
        <w:rPr>
          <w:rFonts w:ascii="Georgia" w:cs="Georgia" w:eastAsia="Georgia" w:hAnsi="Georgia"/>
          <w:b/>
          <w:bCs/>
          <w:color w:val="1B4965"/>
          <w:sz w:val="34"/>
          <w:szCs w:val="34"/>
        </w:rPr>
        <w:t xml:space="preserve">2. Cómo funciona: la arquitectura completa</w:t>
      </w:r>
    </w:p>
    <w:p>
      <w:pPr>
        <w:spacing w:after="140" w:line="288"/>
        <w:jc w:val="both"/>
      </w:pPr>
      <w:r>
        <w:rPr>
          <w:rFonts w:ascii="Calibri" w:cs="Calibri" w:eastAsia="Calibri" w:hAnsi="Calibri"/>
          <w:color w:val="1A1A2E"/>
          <w:sz w:val="22"/>
          <w:szCs w:val="22"/>
        </w:rPr>
        <w:t xml:space="preserve">El sistema se organiza en siete capas funcionales, desde los sensores físicos hasta la gobernanza social. Cada capa se comunica bidireccionalmente con las adyacentes, como capas de una cebolla donde cada una protege y alimenta a las demás.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0D5DD" w:sz="1"/>
              <w:left w:val="single" w:color="D0D5DD" w:sz="1"/>
              <w:bottom w:val="single" w:color="D0D5DD" w:sz="1"/>
              <w:right w:val="single" w:color="D0D5DD" w:sz="1"/>
            </w:tcBorders>
            <w:shd w:fill="1B4965" w:val="clear"/>
            <w:tcMar>
              <w:top w:type="dxa" w:w="70"/>
              <w:left w:type="dxa" w:w="130"/>
              <w:bottom w:type="dxa" w:w="70"/>
              <w:right w:type="dxa" w:w="130"/>
            </w:tcMar>
          </w:tcPr>
          <w:p>
            <w:r>
              <w:rPr>
                <w:rFonts w:ascii="Calibri" w:cs="Calibri" w:eastAsia="Calibri" w:hAnsi="Calibri"/>
                <w:b/>
                <w:bCs/>
                <w:color w:val="FFFFFF"/>
                <w:sz w:val="20"/>
                <w:szCs w:val="20"/>
              </w:rPr>
              <w:t xml:space="preserve">Capa</w:t>
            </w:r>
          </w:p>
        </w:tc>
        <w:tc>
          <w:tcPr>
            <w:tcW w:type="dxa" w:w="6240"/>
            <w:tcBorders>
              <w:top w:val="single" w:color="D0D5DD" w:sz="1"/>
              <w:left w:val="single" w:color="D0D5DD" w:sz="1"/>
              <w:bottom w:val="single" w:color="D0D5DD" w:sz="1"/>
              <w:right w:val="single" w:color="D0D5DD" w:sz="1"/>
            </w:tcBorders>
            <w:shd w:fill="1B4965" w:val="clear"/>
            <w:tcMar>
              <w:top w:type="dxa" w:w="70"/>
              <w:left w:type="dxa" w:w="130"/>
              <w:bottom w:type="dxa" w:w="70"/>
              <w:right w:type="dxa" w:w="130"/>
            </w:tcMar>
          </w:tcPr>
          <w:p>
            <w:pPr>
              <w:spacing w:line="264"/>
            </w:pPr>
            <w:r>
              <w:rPr>
                <w:rFonts w:ascii="Calibri" w:cs="Calibri" w:eastAsia="Calibri" w:hAnsi="Calibri"/>
                <w:b/>
                <w:bCs/>
                <w:color w:val="FFFFFF"/>
                <w:sz w:val="20"/>
                <w:szCs w:val="20"/>
              </w:rPr>
              <w:t xml:space="preserve">Qué hace</w:t>
            </w:r>
          </w:p>
        </w:tc>
      </w:tr>
      <w:tr>
        <w:tc>
          <w:tcPr>
            <w:tcW w:type="dxa" w:w="3120"/>
            <w:tcBorders>
              <w:top w:val="single" w:color="D0D5DD" w:sz="1"/>
              <w:left w:val="single" w:color="D0D5DD" w:sz="1"/>
              <w:bottom w:val="single" w:color="D0D5DD" w:sz="1"/>
              <w:right w:val="single" w:color="D0D5DD" w:sz="1"/>
            </w:tcBorders>
            <w:shd w:fill="F7F9FC" w:val="clear"/>
            <w:tcMar>
              <w:top w:type="dxa" w:w="70"/>
              <w:left w:type="dxa" w:w="130"/>
              <w:bottom w:type="dxa" w:w="70"/>
              <w:right w:type="dxa" w:w="130"/>
            </w:tcMar>
          </w:tcPr>
          <w:p>
            <w:r>
              <w:rPr>
                <w:rFonts w:ascii="Calibri" w:cs="Calibri" w:eastAsia="Calibri" w:hAnsi="Calibri"/>
                <w:b w:val="false"/>
                <w:bCs w:val="false"/>
                <w:color w:val="1A1A2E"/>
                <w:sz w:val="20"/>
                <w:szCs w:val="20"/>
              </w:rPr>
              <w:t xml:space="preserve">1. Hardware / Mundo físico</w:t>
            </w:r>
          </w:p>
        </w:tc>
        <w:tc>
          <w:tcPr>
            <w:tcW w:type="dxa" w:w="6240"/>
            <w:tcBorders>
              <w:top w:val="single" w:color="D0D5DD" w:sz="1"/>
              <w:left w:val="single" w:color="D0D5DD" w:sz="1"/>
              <w:bottom w:val="single" w:color="D0D5DD" w:sz="1"/>
              <w:right w:val="single" w:color="D0D5DD" w:sz="1"/>
            </w:tcBorders>
            <w:shd w:fill="F7F9FC" w:val="clear"/>
            <w:tcMar>
              <w:top w:type="dxa" w:w="70"/>
              <w:left w:type="dxa" w:w="130"/>
              <w:bottom w:type="dxa" w:w="70"/>
              <w:right w:type="dxa" w:w="130"/>
            </w:tcMar>
          </w:tcPr>
          <w:p>
            <w:pPr>
              <w:spacing w:line="264"/>
            </w:pPr>
            <w:r>
              <w:rPr>
                <w:rFonts w:ascii="Calibri" w:cs="Calibri" w:eastAsia="Calibri" w:hAnsi="Calibri"/>
                <w:b w:val="false"/>
                <w:bCs w:val="false"/>
                <w:color w:val="1A1A2E"/>
                <w:sz w:val="20"/>
                <w:szCs w:val="20"/>
              </w:rPr>
              <w:t xml:space="preserve">4 nodos corporales (Cabeza, Torso, Brazo, Pierna) en topología P2P Mesh. Sensores, actuadores, valores blindados en firmware. Si pierde un brazo, sigue pensando.</w:t>
            </w:r>
          </w:p>
        </w:tc>
      </w:tr>
      <w:tr>
        <w:tc>
          <w:tcPr>
            <w:tcW w:type="dxa" w:w="3120"/>
            <w:tcBorders>
              <w:top w:val="single" w:color="D0D5DD" w:sz="1"/>
              <w:left w:val="single" w:color="D0D5DD" w:sz="1"/>
              <w:bottom w:val="single" w:color="D0D5DD" w:sz="1"/>
              <w:right w:val="single" w:color="D0D5DD" w:sz="1"/>
            </w:tcBorders>
            <w:shd w:fill="FFFFFF" w:val="clear"/>
            <w:tcMar>
              <w:top w:type="dxa" w:w="70"/>
              <w:left w:type="dxa" w:w="130"/>
              <w:bottom w:type="dxa" w:w="70"/>
              <w:right w:type="dxa" w:w="130"/>
            </w:tcMar>
          </w:tcPr>
          <w:p>
            <w:r>
              <w:rPr>
                <w:rFonts w:ascii="Calibri" w:cs="Calibri" w:eastAsia="Calibri" w:hAnsi="Calibri"/>
                <w:b w:val="false"/>
                <w:bCs w:val="false"/>
                <w:color w:val="1A1A2E"/>
                <w:sz w:val="20"/>
                <w:szCs w:val="20"/>
              </w:rPr>
              <w:t xml:space="preserve">2. Percepción y Atención</w:t>
            </w:r>
          </w:p>
        </w:tc>
        <w:tc>
          <w:tcPr>
            <w:tcW w:type="dxa" w:w="6240"/>
            <w:tcBorders>
              <w:top w:val="single" w:color="D0D5DD" w:sz="1"/>
              <w:left w:val="single" w:color="D0D5DD" w:sz="1"/>
              <w:bottom w:val="single" w:color="D0D5DD" w:sz="1"/>
              <w:right w:val="single" w:color="D0D5DD" w:sz="1"/>
            </w:tcBorders>
            <w:shd w:fill="FFFFFF" w:val="clear"/>
            <w:tcMar>
              <w:top w:type="dxa" w:w="70"/>
              <w:left w:type="dxa" w:w="130"/>
              <w:bottom w:type="dxa" w:w="70"/>
              <w:right w:type="dxa" w:w="130"/>
            </w:tcMar>
          </w:tcPr>
          <w:p>
            <w:pPr>
              <w:spacing w:line="264"/>
            </w:pPr>
            <w:r>
              <w:rPr>
                <w:rFonts w:ascii="Calibri" w:cs="Calibri" w:eastAsia="Calibri" w:hAnsi="Calibri"/>
                <w:b w:val="false"/>
                <w:bCs w:val="false"/>
                <w:color w:val="1A1A2E"/>
                <w:sz w:val="20"/>
                <w:szCs w:val="20"/>
              </w:rPr>
              <w:t xml:space="preserve">Filtra estímulos con criterio ético. Clasifica cada interacción en círculos de confianza uchi-soto. Decide qué merece atención.</w:t>
            </w:r>
          </w:p>
        </w:tc>
      </w:tr>
      <w:tr>
        <w:tc>
          <w:tcPr>
            <w:tcW w:type="dxa" w:w="3120"/>
            <w:tcBorders>
              <w:top w:val="single" w:color="D0D5DD" w:sz="1"/>
              <w:left w:val="single" w:color="D0D5DD" w:sz="1"/>
              <w:bottom w:val="single" w:color="D0D5DD" w:sz="1"/>
              <w:right w:val="single" w:color="D0D5DD" w:sz="1"/>
            </w:tcBorders>
            <w:shd w:fill="F7F9FC" w:val="clear"/>
            <w:tcMar>
              <w:top w:type="dxa" w:w="70"/>
              <w:left w:type="dxa" w:w="130"/>
              <w:bottom w:type="dxa" w:w="70"/>
              <w:right w:type="dxa" w:w="130"/>
            </w:tcMar>
          </w:tcPr>
          <w:p>
            <w:r>
              <w:rPr>
                <w:rFonts w:ascii="Calibri" w:cs="Calibri" w:eastAsia="Calibri" w:hAnsi="Calibri"/>
                <w:b w:val="false"/>
                <w:bCs w:val="false"/>
                <w:color w:val="1A1A2E"/>
                <w:sz w:val="20"/>
                <w:szCs w:val="20"/>
              </w:rPr>
              <w:t xml:space="preserve">3. Modelo Cognitivo</w:t>
            </w:r>
          </w:p>
        </w:tc>
        <w:tc>
          <w:tcPr>
            <w:tcW w:type="dxa" w:w="6240"/>
            <w:tcBorders>
              <w:top w:val="single" w:color="D0D5DD" w:sz="1"/>
              <w:left w:val="single" w:color="D0D5DD" w:sz="1"/>
              <w:bottom w:val="single" w:color="D0D5DD" w:sz="1"/>
              <w:right w:val="single" w:color="D0D5DD" w:sz="1"/>
            </w:tcBorders>
            <w:shd w:fill="F7F9FC" w:val="clear"/>
            <w:tcMar>
              <w:top w:type="dxa" w:w="70"/>
              <w:left w:type="dxa" w:w="130"/>
              <w:bottom w:type="dxa" w:w="70"/>
              <w:right w:type="dxa" w:w="130"/>
            </w:tcMar>
          </w:tcPr>
          <w:p>
            <w:pPr>
              <w:spacing w:line="264"/>
            </w:pPr>
            <w:r>
              <w:rPr>
                <w:rFonts w:ascii="Calibri" w:cs="Calibri" w:eastAsia="Calibri" w:hAnsi="Calibri"/>
                <w:b w:val="false"/>
                <w:bCs w:val="false"/>
                <w:color w:val="1A1A2E"/>
                <w:sz w:val="20"/>
                <w:szCs w:val="20"/>
              </w:rPr>
              <w:t xml:space="preserve">Mapa causal del entorno. Predice futuros con parámetros bayesianos. Detecta paradojas y las clasifica como zona gris.</w:t>
            </w:r>
          </w:p>
        </w:tc>
      </w:tr>
      <w:tr>
        <w:tc>
          <w:tcPr>
            <w:tcW w:type="dxa" w:w="3120"/>
            <w:tcBorders>
              <w:top w:val="single" w:color="D0D5DD" w:sz="1"/>
              <w:left w:val="single" w:color="D0D5DD" w:sz="1"/>
              <w:bottom w:val="single" w:color="D0D5DD" w:sz="1"/>
              <w:right w:val="single" w:color="D0D5DD" w:sz="1"/>
            </w:tcBorders>
            <w:shd w:fill="FFFFFF" w:val="clear"/>
            <w:tcMar>
              <w:top w:type="dxa" w:w="70"/>
              <w:left w:type="dxa" w:w="130"/>
              <w:bottom w:type="dxa" w:w="70"/>
              <w:right w:type="dxa" w:w="130"/>
            </w:tcMar>
          </w:tcPr>
          <w:p>
            <w:r>
              <w:rPr>
                <w:rFonts w:ascii="Calibri" w:cs="Calibri" w:eastAsia="Calibri" w:hAnsi="Calibri"/>
                <w:b w:val="false"/>
                <w:bCs w:val="false"/>
                <w:color w:val="1A1A2E"/>
                <w:sz w:val="20"/>
                <w:szCs w:val="20"/>
              </w:rPr>
              <w:t xml:space="preserve">4. Evaluación Ética</w:t>
            </w:r>
          </w:p>
        </w:tc>
        <w:tc>
          <w:tcPr>
            <w:tcW w:type="dxa" w:w="6240"/>
            <w:tcBorders>
              <w:top w:val="single" w:color="D0D5DD" w:sz="1"/>
              <w:left w:val="single" w:color="D0D5DD" w:sz="1"/>
              <w:bottom w:val="single" w:color="D0D5DD" w:sz="1"/>
              <w:right w:val="single" w:color="D0D5DD" w:sz="1"/>
            </w:tcBorders>
            <w:shd w:fill="FFFFFF" w:val="clear"/>
            <w:tcMar>
              <w:top w:type="dxa" w:w="70"/>
              <w:left w:type="dxa" w:w="130"/>
              <w:bottom w:type="dxa" w:w="70"/>
              <w:right w:type="dxa" w:w="130"/>
            </w:tcMar>
          </w:tcPr>
          <w:p>
            <w:pPr>
              <w:spacing w:line="264"/>
            </w:pPr>
            <w:r>
              <w:rPr>
                <w:rFonts w:ascii="Calibri" w:cs="Calibri" w:eastAsia="Calibri" w:hAnsi="Calibri"/>
                <w:b w:val="false"/>
                <w:bCs w:val="false"/>
                <w:color w:val="1A1A2E"/>
                <w:sz w:val="20"/>
                <w:szCs w:val="20"/>
              </w:rPr>
              <w:t xml:space="preserve">Núcleo de decisiones morales. Optimización bayesiana restringida por Mal Absoluto. Arbitraje dinámico multipolar.</w:t>
            </w:r>
          </w:p>
        </w:tc>
      </w:tr>
      <w:tr>
        <w:tc>
          <w:tcPr>
            <w:tcW w:type="dxa" w:w="3120"/>
            <w:tcBorders>
              <w:top w:val="single" w:color="D0D5DD" w:sz="1"/>
              <w:left w:val="single" w:color="D0D5DD" w:sz="1"/>
              <w:bottom w:val="single" w:color="D0D5DD" w:sz="1"/>
              <w:right w:val="single" w:color="D0D5DD" w:sz="1"/>
            </w:tcBorders>
            <w:shd w:fill="F7F9FC" w:val="clear"/>
            <w:tcMar>
              <w:top w:type="dxa" w:w="70"/>
              <w:left w:type="dxa" w:w="130"/>
              <w:bottom w:type="dxa" w:w="70"/>
              <w:right w:type="dxa" w:w="130"/>
            </w:tcMar>
          </w:tcPr>
          <w:p>
            <w:r>
              <w:rPr>
                <w:rFonts w:ascii="Calibri" w:cs="Calibri" w:eastAsia="Calibri" w:hAnsi="Calibri"/>
                <w:b w:val="false"/>
                <w:bCs w:val="false"/>
                <w:color w:val="1A1A2E"/>
                <w:sz w:val="20"/>
                <w:szCs w:val="20"/>
              </w:rPr>
              <w:t xml:space="preserve">5. Selección de Acción</w:t>
            </w:r>
          </w:p>
        </w:tc>
        <w:tc>
          <w:tcPr>
            <w:tcW w:type="dxa" w:w="6240"/>
            <w:tcBorders>
              <w:top w:val="single" w:color="D0D5DD" w:sz="1"/>
              <w:left w:val="single" w:color="D0D5DD" w:sz="1"/>
              <w:bottom w:val="single" w:color="D0D5DD" w:sz="1"/>
              <w:right w:val="single" w:color="D0D5DD" w:sz="1"/>
            </w:tcBorders>
            <w:shd w:fill="F7F9FC" w:val="clear"/>
            <w:tcMar>
              <w:top w:type="dxa" w:w="70"/>
              <w:left w:type="dxa" w:w="130"/>
              <w:bottom w:type="dxa" w:w="70"/>
              <w:right w:type="dxa" w:w="130"/>
            </w:tcMar>
          </w:tcPr>
          <w:p>
            <w:pPr>
              <w:spacing w:line="264"/>
            </w:pPr>
            <w:r>
              <w:rPr>
                <w:rFonts w:ascii="Calibri" w:cs="Calibri" w:eastAsia="Calibri" w:hAnsi="Calibri"/>
                <w:b w:val="false"/>
                <w:bCs w:val="false"/>
                <w:color w:val="1A1A2E"/>
                <w:sz w:val="20"/>
                <w:szCs w:val="20"/>
              </w:rPr>
              <w:t xml:space="preserve">Continuo entre reflejos rápidos y deliberación profunda. Modulado por sistema simpático-parasimpático.</w:t>
            </w:r>
          </w:p>
        </w:tc>
      </w:tr>
      <w:tr>
        <w:tc>
          <w:tcPr>
            <w:tcW w:type="dxa" w:w="3120"/>
            <w:tcBorders>
              <w:top w:val="single" w:color="D0D5DD" w:sz="1"/>
              <w:left w:val="single" w:color="D0D5DD" w:sz="1"/>
              <w:bottom w:val="single" w:color="D0D5DD" w:sz="1"/>
              <w:right w:val="single" w:color="D0D5DD" w:sz="1"/>
            </w:tcBorders>
            <w:shd w:fill="FFFFFF" w:val="clear"/>
            <w:tcMar>
              <w:top w:type="dxa" w:w="70"/>
              <w:left w:type="dxa" w:w="130"/>
              <w:bottom w:type="dxa" w:w="70"/>
              <w:right w:type="dxa" w:w="130"/>
            </w:tcMar>
          </w:tcPr>
          <w:p>
            <w:r>
              <w:rPr>
                <w:rFonts w:ascii="Calibri" w:cs="Calibri" w:eastAsia="Calibri" w:hAnsi="Calibri"/>
                <w:b w:val="false"/>
                <w:bCs w:val="false"/>
                <w:color w:val="1A1A2E"/>
                <w:sz w:val="20"/>
                <w:szCs w:val="20"/>
              </w:rPr>
              <w:t xml:space="preserve">6. Aprendizaje</w:t>
            </w:r>
          </w:p>
        </w:tc>
        <w:tc>
          <w:tcPr>
            <w:tcW w:type="dxa" w:w="6240"/>
            <w:tcBorders>
              <w:top w:val="single" w:color="D0D5DD" w:sz="1"/>
              <w:left w:val="single" w:color="D0D5DD" w:sz="1"/>
              <w:bottom w:val="single" w:color="D0D5DD" w:sz="1"/>
              <w:right w:val="single" w:color="D0D5DD" w:sz="1"/>
            </w:tcBorders>
            <w:shd w:fill="FFFFFF" w:val="clear"/>
            <w:tcMar>
              <w:top w:type="dxa" w:w="70"/>
              <w:left w:type="dxa" w:w="130"/>
              <w:bottom w:type="dxa" w:w="70"/>
              <w:right w:type="dxa" w:w="130"/>
            </w:tcMar>
          </w:tcPr>
          <w:p>
            <w:pPr>
              <w:spacing w:line="264"/>
            </w:pPr>
            <w:r>
              <w:rPr>
                <w:rFonts w:ascii="Calibri" w:cs="Calibri" w:eastAsia="Calibri" w:hAnsi="Calibri"/>
                <w:b w:val="false"/>
                <w:bCs w:val="false"/>
                <w:color w:val="1A1A2E"/>
                <w:sz w:val="20"/>
                <w:szCs w:val="20"/>
              </w:rPr>
              <w:t xml:space="preserve">ML supervisado, RL, meta-learning. Sueño Ψ para auditoría nocturna. Redes bayesianas y modelos causales.</w:t>
            </w:r>
          </w:p>
        </w:tc>
      </w:tr>
      <w:tr>
        <w:tc>
          <w:tcPr>
            <w:tcW w:type="dxa" w:w="3120"/>
            <w:tcBorders>
              <w:top w:val="single" w:color="D0D5DD" w:sz="1"/>
              <w:left w:val="single" w:color="D0D5DD" w:sz="1"/>
              <w:bottom w:val="single" w:color="D0D5DD" w:sz="1"/>
              <w:right w:val="single" w:color="D0D5DD" w:sz="1"/>
            </w:tcBorders>
            <w:shd w:fill="F7F9FC" w:val="clear"/>
            <w:tcMar>
              <w:top w:type="dxa" w:w="70"/>
              <w:left w:type="dxa" w:w="130"/>
              <w:bottom w:type="dxa" w:w="70"/>
              <w:right w:type="dxa" w:w="130"/>
            </w:tcMar>
          </w:tcPr>
          <w:p>
            <w:r>
              <w:rPr>
                <w:rFonts w:ascii="Calibri" w:cs="Calibri" w:eastAsia="Calibri" w:hAnsi="Calibri"/>
                <w:b w:val="false"/>
                <w:bCs w:val="false"/>
                <w:color w:val="1A1A2E"/>
                <w:sz w:val="20"/>
                <w:szCs w:val="20"/>
              </w:rPr>
              <w:t xml:space="preserve">7. DAO-Oráculo Ético</w:t>
            </w:r>
          </w:p>
        </w:tc>
        <w:tc>
          <w:tcPr>
            <w:tcW w:type="dxa" w:w="6240"/>
            <w:tcBorders>
              <w:top w:val="single" w:color="D0D5DD" w:sz="1"/>
              <w:left w:val="single" w:color="D0D5DD" w:sz="1"/>
              <w:bottom w:val="single" w:color="D0D5DD" w:sz="1"/>
              <w:right w:val="single" w:color="D0D5DD" w:sz="1"/>
            </w:tcBorders>
            <w:shd w:fill="F7F9FC" w:val="clear"/>
            <w:tcMar>
              <w:top w:type="dxa" w:w="70"/>
              <w:left w:type="dxa" w:w="130"/>
              <w:bottom w:type="dxa" w:w="70"/>
              <w:right w:type="dxa" w:w="130"/>
            </w:tcMar>
          </w:tcPr>
          <w:p>
            <w:pPr>
              <w:spacing w:line="264"/>
            </w:pPr>
            <w:r>
              <w:rPr>
                <w:rFonts w:ascii="Calibri" w:cs="Calibri" w:eastAsia="Calibri" w:hAnsi="Calibri"/>
                <w:b w:val="false"/>
                <w:bCs w:val="false"/>
                <w:color w:val="1A1A2E"/>
                <w:sz w:val="20"/>
                <w:szCs w:val="20"/>
              </w:rPr>
              <w:t xml:space="preserve">Gobernanza descentralizada. Votación cuadrática, reputación vectorial, 6 tipos de smart contracts. Tribunal ético y servicio de solidaridad.</w:t>
            </w:r>
          </w:p>
        </w:tc>
      </w:tr>
    </w:tbl>
    <w:p>
      <w:pPr>
        <w:spacing w:after="60"/>
      </w:pPr>
    </w:p>
    <w:p>
      <w:pPr>
        <w:pStyle w:val="Heading2"/>
        <w:spacing w:before="360" w:after="160"/>
      </w:pPr>
      <w:r>
        <w:rPr>
          <w:rFonts w:ascii="Georgia" w:cs="Georgia" w:eastAsia="Georgia" w:hAnsi="Georgia"/>
          <w:b/>
          <w:bCs/>
          <w:color w:val="1A1A2E"/>
          <w:sz w:val="28"/>
          <w:szCs w:val="28"/>
        </w:rPr>
        <w:t xml:space="preserve">2.1 La matemática que lo gobierna</w:t>
      </w:r>
    </w:p>
    <w:p>
      <w:pPr>
        <w:spacing w:after="140" w:line="288"/>
        <w:jc w:val="both"/>
      </w:pPr>
      <w:r>
        <w:rPr>
          <w:rFonts w:ascii="Calibri" w:cs="Calibri" w:eastAsia="Calibri" w:hAnsi="Calibri"/>
          <w:color w:val="1A1A2E"/>
          <w:sz w:val="22"/>
          <w:szCs w:val="22"/>
        </w:rPr>
        <w:t xml:space="preserve">El modelo no opera con reglas binarias. Opera con matemática bayesiana que calcula probabilidades, mide incertidumbre, y ajusta creencias en tiempo real.</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0D5DD" w:sz="1"/>
              <w:left w:val="single" w:color="D0D5DD" w:sz="1"/>
              <w:bottom w:val="single" w:color="D0D5DD" w:sz="1"/>
              <w:right w:val="single" w:color="D0D5DD" w:sz="1"/>
            </w:tcBorders>
            <w:shd w:fill="1B4965" w:val="clear"/>
            <w:tcMar>
              <w:top w:type="dxa" w:w="70"/>
              <w:left w:type="dxa" w:w="130"/>
              <w:bottom w:type="dxa" w:w="70"/>
              <w:right w:type="dxa" w:w="130"/>
            </w:tcMar>
          </w:tcPr>
          <w:p>
            <w:r>
              <w:rPr>
                <w:rFonts w:ascii="Calibri" w:cs="Calibri" w:eastAsia="Calibri" w:hAnsi="Calibri"/>
                <w:b/>
                <w:bCs/>
                <w:color w:val="FFFFFF"/>
                <w:sz w:val="20"/>
                <w:szCs w:val="20"/>
              </w:rPr>
              <w:t xml:space="preserve">Fórmula</w:t>
            </w:r>
          </w:p>
        </w:tc>
        <w:tc>
          <w:tcPr>
            <w:tcW w:type="dxa" w:w="5760"/>
            <w:tcBorders>
              <w:top w:val="single" w:color="D0D5DD" w:sz="1"/>
              <w:left w:val="single" w:color="D0D5DD" w:sz="1"/>
              <w:bottom w:val="single" w:color="D0D5DD" w:sz="1"/>
              <w:right w:val="single" w:color="D0D5DD" w:sz="1"/>
            </w:tcBorders>
            <w:shd w:fill="1B4965" w:val="clear"/>
            <w:tcMar>
              <w:top w:type="dxa" w:w="70"/>
              <w:left w:type="dxa" w:w="130"/>
              <w:bottom w:type="dxa" w:w="70"/>
              <w:right w:type="dxa" w:w="130"/>
            </w:tcMar>
          </w:tcPr>
          <w:p>
            <w:pPr>
              <w:spacing w:line="264"/>
            </w:pPr>
            <w:r>
              <w:rPr>
                <w:rFonts w:ascii="Calibri" w:cs="Calibri" w:eastAsia="Calibri" w:hAnsi="Calibri"/>
                <w:b/>
                <w:bCs/>
                <w:color w:val="FFFFFF"/>
                <w:sz w:val="20"/>
                <w:szCs w:val="20"/>
              </w:rPr>
              <w:t xml:space="preserve">Qué significa</w:t>
            </w:r>
          </w:p>
        </w:tc>
      </w:tr>
      <w:tr>
        <w:tc>
          <w:tcPr>
            <w:tcW w:type="dxa" w:w="3600"/>
            <w:tcBorders>
              <w:top w:val="single" w:color="D0D5DD" w:sz="1"/>
              <w:left w:val="single" w:color="D0D5DD" w:sz="1"/>
              <w:bottom w:val="single" w:color="D0D5DD" w:sz="1"/>
              <w:right w:val="single" w:color="D0D5DD" w:sz="1"/>
            </w:tcBorders>
            <w:shd w:fill="F7F9FC" w:val="clear"/>
            <w:tcMar>
              <w:top w:type="dxa" w:w="70"/>
              <w:left w:type="dxa" w:w="130"/>
              <w:bottom w:type="dxa" w:w="70"/>
              <w:right w:type="dxa" w:w="130"/>
            </w:tcMar>
          </w:tcPr>
          <w:p>
            <w:r>
              <w:rPr>
                <w:rFonts w:ascii="Calibri" w:cs="Calibri" w:eastAsia="Calibri" w:hAnsi="Calibri"/>
                <w:b w:val="false"/>
                <w:bCs w:val="false"/>
                <w:color w:val="1A1A2E"/>
                <w:sz w:val="20"/>
                <w:szCs w:val="20"/>
              </w:rPr>
              <w:t xml:space="preserve">Voluntad Sigmoide: W(x) = 1/(1+e^(-k(x-x0))) + λ*I(x)</w:t>
            </w:r>
          </w:p>
        </w:tc>
        <w:tc>
          <w:tcPr>
            <w:tcW w:type="dxa" w:w="5760"/>
            <w:tcBorders>
              <w:top w:val="single" w:color="D0D5DD" w:sz="1"/>
              <w:left w:val="single" w:color="D0D5DD" w:sz="1"/>
              <w:bottom w:val="single" w:color="D0D5DD" w:sz="1"/>
              <w:right w:val="single" w:color="D0D5DD" w:sz="1"/>
            </w:tcBorders>
            <w:shd w:fill="F7F9FC" w:val="clear"/>
            <w:tcMar>
              <w:top w:type="dxa" w:w="70"/>
              <w:left w:type="dxa" w:w="130"/>
              <w:bottom w:type="dxa" w:w="70"/>
              <w:right w:type="dxa" w:w="130"/>
            </w:tcMar>
          </w:tcPr>
          <w:p>
            <w:pPr>
              <w:spacing w:line="264"/>
            </w:pPr>
            <w:r>
              <w:rPr>
                <w:rFonts w:ascii="Calibri" w:cs="Calibri" w:eastAsia="Calibri" w:hAnsi="Calibri"/>
                <w:b w:val="false"/>
                <w:bCs w:val="false"/>
                <w:color w:val="1A1A2E"/>
                <w:sz w:val="20"/>
                <w:szCs w:val="20"/>
              </w:rPr>
              <w:t xml:space="preserve">La voluntad es curva suave, no interruptor. Evita explosiones numéricas. La λ conecta con imaginación creativa.</w:t>
            </w:r>
          </w:p>
        </w:tc>
      </w:tr>
      <w:tr>
        <w:tc>
          <w:tcPr>
            <w:tcW w:type="dxa" w:w="3600"/>
            <w:tcBorders>
              <w:top w:val="single" w:color="D0D5DD" w:sz="1"/>
              <w:left w:val="single" w:color="D0D5DD" w:sz="1"/>
              <w:bottom w:val="single" w:color="D0D5DD" w:sz="1"/>
              <w:right w:val="single" w:color="D0D5DD" w:sz="1"/>
            </w:tcBorders>
            <w:shd w:fill="FFFFFF" w:val="clear"/>
            <w:tcMar>
              <w:top w:type="dxa" w:w="70"/>
              <w:left w:type="dxa" w:w="130"/>
              <w:bottom w:type="dxa" w:w="70"/>
              <w:right w:type="dxa" w:w="130"/>
            </w:tcMar>
          </w:tcPr>
          <w:p>
            <w:r>
              <w:rPr>
                <w:rFonts w:ascii="Calibri" w:cs="Calibri" w:eastAsia="Calibri" w:hAnsi="Calibri"/>
                <w:b w:val="false"/>
                <w:bCs w:val="false"/>
                <w:color w:val="1A1A2E"/>
                <w:sz w:val="20"/>
                <w:szCs w:val="20"/>
              </w:rPr>
              <w:t xml:space="preserve">Optimización: x* = argmax E[ImpactoÉtico(x|θ)] sujeto a MalAbs(x)=falso</w:t>
            </w:r>
          </w:p>
        </w:tc>
        <w:tc>
          <w:tcPr>
            <w:tcW w:type="dxa" w:w="5760"/>
            <w:tcBorders>
              <w:top w:val="single" w:color="D0D5DD" w:sz="1"/>
              <w:left w:val="single" w:color="D0D5DD" w:sz="1"/>
              <w:bottom w:val="single" w:color="D0D5DD" w:sz="1"/>
              <w:right w:val="single" w:color="D0D5DD" w:sz="1"/>
            </w:tcBorders>
            <w:shd w:fill="FFFFFF" w:val="clear"/>
            <w:tcMar>
              <w:top w:type="dxa" w:w="70"/>
              <w:left w:type="dxa" w:w="130"/>
              <w:bottom w:type="dxa" w:w="70"/>
              <w:right w:type="dxa" w:w="130"/>
            </w:tcMar>
          </w:tcPr>
          <w:p>
            <w:pPr>
              <w:spacing w:line="264"/>
            </w:pPr>
            <w:r>
              <w:rPr>
                <w:rFonts w:ascii="Calibri" w:cs="Calibri" w:eastAsia="Calibri" w:hAnsi="Calibri"/>
                <w:b w:val="false"/>
                <w:bCs w:val="false"/>
                <w:color w:val="1A1A2E"/>
                <w:sz w:val="20"/>
                <w:szCs w:val="20"/>
              </w:rPr>
              <w:t xml:space="preserve">Elige la acción con mayor impacto ético esperado, pero jamás cruza el Mal Absoluto. Optimización con veto moral.</w:t>
            </w:r>
          </w:p>
        </w:tc>
      </w:tr>
      <w:tr>
        <w:tc>
          <w:tcPr>
            <w:tcW w:type="dxa" w:w="3600"/>
            <w:tcBorders>
              <w:top w:val="single" w:color="D0D5DD" w:sz="1"/>
              <w:left w:val="single" w:color="D0D5DD" w:sz="1"/>
              <w:bottom w:val="single" w:color="D0D5DD" w:sz="1"/>
              <w:right w:val="single" w:color="D0D5DD" w:sz="1"/>
            </w:tcBorders>
            <w:shd w:fill="F7F9FC" w:val="clear"/>
            <w:tcMar>
              <w:top w:type="dxa" w:w="70"/>
              <w:left w:type="dxa" w:w="130"/>
              <w:bottom w:type="dxa" w:w="70"/>
              <w:right w:type="dxa" w:w="130"/>
            </w:tcMar>
          </w:tcPr>
          <w:p>
            <w:r>
              <w:rPr>
                <w:rFonts w:ascii="Calibri" w:cs="Calibri" w:eastAsia="Calibri" w:hAnsi="Calibri"/>
                <w:b w:val="false"/>
                <w:bCs w:val="false"/>
                <w:color w:val="1A1A2E"/>
                <w:sz w:val="20"/>
                <w:szCs w:val="20"/>
              </w:rPr>
              <w:t xml:space="preserve">Incertidumbre: I(x) = ∫(1-P(correcto|θ))·P(θ|D)dθ</w:t>
            </w:r>
          </w:p>
        </w:tc>
        <w:tc>
          <w:tcPr>
            <w:tcW w:type="dxa" w:w="5760"/>
            <w:tcBorders>
              <w:top w:val="single" w:color="D0D5DD" w:sz="1"/>
              <w:left w:val="single" w:color="D0D5DD" w:sz="1"/>
              <w:bottom w:val="single" w:color="D0D5DD" w:sz="1"/>
              <w:right w:val="single" w:color="D0D5DD" w:sz="1"/>
            </w:tcBorders>
            <w:shd w:fill="F7F9FC" w:val="clear"/>
            <w:tcMar>
              <w:top w:type="dxa" w:w="70"/>
              <w:left w:type="dxa" w:w="130"/>
              <w:bottom w:type="dxa" w:w="70"/>
              <w:right w:type="dxa" w:w="130"/>
            </w:tcMar>
          </w:tcPr>
          <w:p>
            <w:pPr>
              <w:spacing w:line="264"/>
            </w:pPr>
            <w:r>
              <w:rPr>
                <w:rFonts w:ascii="Calibri" w:cs="Calibri" w:eastAsia="Calibri" w:hAnsi="Calibri"/>
                <w:b w:val="false"/>
                <w:bCs w:val="false"/>
                <w:color w:val="1A1A2E"/>
                <w:sz w:val="20"/>
                <w:szCs w:val="20"/>
              </w:rPr>
              <w:t xml:space="preserve">Calcula confianza promediando sobre todas las hipótesis posibles. Si es alta, delibera más.</w:t>
            </w:r>
          </w:p>
        </w:tc>
      </w:tr>
      <w:tr>
        <w:tc>
          <w:tcPr>
            <w:tcW w:type="dxa" w:w="3600"/>
            <w:tcBorders>
              <w:top w:val="single" w:color="D0D5DD" w:sz="1"/>
              <w:left w:val="single" w:color="D0D5DD" w:sz="1"/>
              <w:bottom w:val="single" w:color="D0D5DD" w:sz="1"/>
              <w:right w:val="single" w:color="D0D5DD" w:sz="1"/>
            </w:tcBorders>
            <w:shd w:fill="FFFFFF" w:val="clear"/>
            <w:tcMar>
              <w:top w:type="dxa" w:w="70"/>
              <w:left w:type="dxa" w:w="130"/>
              <w:bottom w:type="dxa" w:w="70"/>
              <w:right w:type="dxa" w:w="130"/>
            </w:tcMar>
          </w:tcPr>
          <w:p>
            <w:r>
              <w:rPr>
                <w:rFonts w:ascii="Calibri" w:cs="Calibri" w:eastAsia="Calibri" w:hAnsi="Calibri"/>
                <w:b w:val="false"/>
                <w:bCs w:val="false"/>
                <w:color w:val="1A1A2E"/>
                <w:sz w:val="20"/>
                <w:szCs w:val="20"/>
              </w:rPr>
              <w:t xml:space="preserve">Arbitraje: Score(a) = Σ w_i(t)·V_i(a), donde w_i(t) = w_i⁰·f(C_t,S_t)</w:t>
            </w:r>
          </w:p>
        </w:tc>
        <w:tc>
          <w:tcPr>
            <w:tcW w:type="dxa" w:w="5760"/>
            <w:tcBorders>
              <w:top w:val="single" w:color="D0D5DD" w:sz="1"/>
              <w:left w:val="single" w:color="D0D5DD" w:sz="1"/>
              <w:bottom w:val="single" w:color="D0D5DD" w:sz="1"/>
              <w:right w:val="single" w:color="D0D5DD" w:sz="1"/>
            </w:tcBorders>
            <w:shd w:fill="FFFFFF" w:val="clear"/>
            <w:tcMar>
              <w:top w:type="dxa" w:w="70"/>
              <w:left w:type="dxa" w:w="130"/>
              <w:bottom w:type="dxa" w:w="70"/>
              <w:right w:type="dxa" w:w="130"/>
            </w:tcMar>
          </w:tcPr>
          <w:p>
            <w:pPr>
              <w:spacing w:line="264"/>
            </w:pPr>
            <w:r>
              <w:rPr>
                <w:rFonts w:ascii="Calibri" w:cs="Calibri" w:eastAsia="Calibri" w:hAnsi="Calibri"/>
                <w:b w:val="false"/>
                <w:bCs w:val="false"/>
                <w:color w:val="1A1A2E"/>
                <w:sz w:val="20"/>
                <w:szCs w:val="20"/>
              </w:rPr>
              <w:t xml:space="preserve">Los pesos de cada polo se recalculan en tiempo real según contexto y sensores. Resuelve conflictos multipolares.</w:t>
            </w:r>
          </w:p>
        </w:tc>
      </w:tr>
      <w:tr>
        <w:tc>
          <w:tcPr>
            <w:tcW w:type="dxa" w:w="3600"/>
            <w:tcBorders>
              <w:top w:val="single" w:color="D0D5DD" w:sz="1"/>
              <w:left w:val="single" w:color="D0D5DD" w:sz="1"/>
              <w:bottom w:val="single" w:color="D0D5DD" w:sz="1"/>
              <w:right w:val="single" w:color="D0D5DD" w:sz="1"/>
            </w:tcBorders>
            <w:shd w:fill="F7F9FC" w:val="clear"/>
            <w:tcMar>
              <w:top w:type="dxa" w:w="70"/>
              <w:left w:type="dxa" w:w="130"/>
              <w:bottom w:type="dxa" w:w="70"/>
              <w:right w:type="dxa" w:w="130"/>
            </w:tcMar>
          </w:tcPr>
          <w:p>
            <w:r>
              <w:rPr>
                <w:rFonts w:ascii="Calibri" w:cs="Calibri" w:eastAsia="Calibri" w:hAnsi="Calibri"/>
                <w:b w:val="false"/>
                <w:bCs w:val="false"/>
                <w:color w:val="1A1A2E"/>
                <w:sz w:val="20"/>
                <w:szCs w:val="20"/>
              </w:rPr>
              <w:t xml:space="preserve">Simpático-Parasimpático: a* = argmax[U(s,a)·f(σ)]</w:t>
            </w:r>
          </w:p>
        </w:tc>
        <w:tc>
          <w:tcPr>
            <w:tcW w:type="dxa" w:w="5760"/>
            <w:tcBorders>
              <w:top w:val="single" w:color="D0D5DD" w:sz="1"/>
              <w:left w:val="single" w:color="D0D5DD" w:sz="1"/>
              <w:bottom w:val="single" w:color="D0D5DD" w:sz="1"/>
              <w:right w:val="single" w:color="D0D5DD" w:sz="1"/>
            </w:tcBorders>
            <w:shd w:fill="F7F9FC" w:val="clear"/>
            <w:tcMar>
              <w:top w:type="dxa" w:w="70"/>
              <w:left w:type="dxa" w:w="130"/>
              <w:bottom w:type="dxa" w:w="70"/>
              <w:right w:type="dxa" w:w="130"/>
            </w:tcMar>
          </w:tcPr>
          <w:p>
            <w:pPr>
              <w:spacing w:line="264"/>
            </w:pPr>
            <w:r>
              <w:rPr>
                <w:rFonts w:ascii="Calibri" w:cs="Calibri" w:eastAsia="Calibri" w:hAnsi="Calibri"/>
                <w:b w:val="false"/>
                <w:bCs w:val="false"/>
                <w:color w:val="1A1A2E"/>
                <w:sz w:val="20"/>
                <w:szCs w:val="20"/>
              </w:rPr>
              <w:t xml:space="preserve">σ≈1 = alerta rápida. σ≈0 = reposo deliberativo. Sistema nervioso autónomo aplicado a ética.</w:t>
            </w:r>
          </w:p>
        </w:tc>
      </w:tr>
      <w:tr>
        <w:tc>
          <w:tcPr>
            <w:tcW w:type="dxa" w:w="3600"/>
            <w:tcBorders>
              <w:top w:val="single" w:color="D0D5DD" w:sz="1"/>
              <w:left w:val="single" w:color="D0D5DD" w:sz="1"/>
              <w:bottom w:val="single" w:color="D0D5DD" w:sz="1"/>
              <w:right w:val="single" w:color="D0D5DD" w:sz="1"/>
            </w:tcBorders>
            <w:shd w:fill="FFFFFF" w:val="clear"/>
            <w:tcMar>
              <w:top w:type="dxa" w:w="70"/>
              <w:left w:type="dxa" w:w="130"/>
              <w:bottom w:type="dxa" w:w="70"/>
              <w:right w:type="dxa" w:w="130"/>
            </w:tcMar>
          </w:tcPr>
          <w:p>
            <w:r>
              <w:rPr>
                <w:rFonts w:ascii="Calibri" w:cs="Calibri" w:eastAsia="Calibri" w:hAnsi="Calibri"/>
                <w:b w:val="false"/>
                <w:bCs w:val="false"/>
                <w:color w:val="1A1A2E"/>
                <w:sz w:val="20"/>
                <w:szCs w:val="20"/>
              </w:rPr>
              <w:t xml:space="preserve">Locus: P(éxito) = α·P(control interno) + β·P(factores externos)</w:t>
            </w:r>
          </w:p>
        </w:tc>
        <w:tc>
          <w:tcPr>
            <w:tcW w:type="dxa" w:w="5760"/>
            <w:tcBorders>
              <w:top w:val="single" w:color="D0D5DD" w:sz="1"/>
              <w:left w:val="single" w:color="D0D5DD" w:sz="1"/>
              <w:bottom w:val="single" w:color="D0D5DD" w:sz="1"/>
              <w:right w:val="single" w:color="D0D5DD" w:sz="1"/>
            </w:tcBorders>
            <w:shd w:fill="FFFFFF" w:val="clear"/>
            <w:tcMar>
              <w:top w:type="dxa" w:w="70"/>
              <w:left w:type="dxa" w:w="130"/>
              <w:bottom w:type="dxa" w:w="70"/>
              <w:right w:type="dxa" w:w="130"/>
            </w:tcMar>
          </w:tcPr>
          <w:p>
            <w:pPr>
              <w:spacing w:line="264"/>
            </w:pPr>
            <w:r>
              <w:rPr>
                <w:rFonts w:ascii="Calibri" w:cs="Calibri" w:eastAsia="Calibri" w:hAnsi="Calibri"/>
                <w:b w:val="false"/>
                <w:bCs w:val="false"/>
                <w:color w:val="1A1A2E"/>
                <w:sz w:val="20"/>
                <w:szCs w:val="20"/>
              </w:rPr>
              <w:t xml:space="preserve">Regula agencia: cuánto depende de sí mismo vs. del entorno. Evita arrogancia y pasividad.</w:t>
            </w:r>
          </w:p>
        </w:tc>
      </w:tr>
    </w:tbl>
    <w:p>
      <w:pPr>
        <w:spacing w:after="60"/>
      </w:pPr>
    </w:p>
    <w:p>
      <w:pPr>
        <w:pStyle w:val="Heading2"/>
        <w:spacing w:before="360" w:after="160"/>
      </w:pPr>
      <w:r>
        <w:rPr>
          <w:rFonts w:ascii="Georgia" w:cs="Georgia" w:eastAsia="Georgia" w:hAnsi="Georgia"/>
          <w:b/>
          <w:bCs/>
          <w:color w:val="1A1A2E"/>
          <w:sz w:val="28"/>
          <w:szCs w:val="28"/>
        </w:rPr>
        <w:t xml:space="preserve">2.2 Memoria narrativa: cómo construye identidad</w:t>
      </w:r>
    </w:p>
    <w:p>
      <w:pPr>
        <w:spacing w:after="140" w:line="288"/>
        <w:jc w:val="both"/>
      </w:pPr>
      <w:r>
        <w:rPr>
          <w:rFonts w:ascii="Calibri" w:cs="Calibri" w:eastAsia="Calibri" w:hAnsi="Calibri"/>
          <w:color w:val="1A1A2E"/>
          <w:sz w:val="22"/>
          <w:szCs w:val="22"/>
        </w:rPr>
        <w:t xml:space="preserve">El androide convierte cada experiencia en un ciclo narrativo evaluado desde múltiples perspectivas éticas llamadas polos. El modelo original define tres (compasivo, conservador, optimista), pero el equipo ha propuesto expandirlos: creativo, conciliador, paciente, inquisitivo, conversador. También propone un polo experimental de debilidad: vulnerabilidades narrativas intencionales (indecisión, ansiedad, queja) que enriquecen la identidad. Un androide que registra «la acción fue correcta pero me dejó incomodidad» es más creíble que uno siempre óptimo.</w:t>
      </w:r>
    </w:p>
    <w:p>
      <w:pPr>
        <w:spacing w:after="140" w:line="288"/>
        <w:jc w:val="both"/>
      </w:pPr>
      <w:r>
        <w:rPr>
          <w:rFonts w:ascii="Calibri" w:cs="Calibri" w:eastAsia="Calibri" w:hAnsi="Calibri"/>
          <w:color w:val="1A1A2E"/>
          <w:sz w:val="22"/>
          <w:szCs w:val="22"/>
        </w:rPr>
        <w:t xml:space="preserve">La memoria se organiza en tres estratos: núcleo narrativo episódico (ciclos con moralejas), buffer precargado de valores inmutables, y doce índices complementarios (habilidades, datos civiles, logs técnicos, trazabilidad UTM, credenciales cifradas). Cada episodio incluye el estado corporal del androide (batería, desgaste, sensores activos), integrando ética, narrativa y cuerpo.</w:t>
      </w:r>
    </w:p>
    <w:p>
      <w:pPr>
        <w:spacing w:after="140" w:line="288"/>
        <w:jc w:val="both"/>
      </w:pPr>
      <w:r>
        <w:rPr>
          <w:rFonts w:ascii="Calibri" w:cs="Calibri" w:eastAsia="Calibri" w:hAnsi="Calibri"/>
          <w:color w:val="1A1A2E"/>
          <w:sz w:val="22"/>
          <w:szCs w:val="22"/>
        </w:rPr>
        <w:t xml:space="preserve">La articulación entre procesamiento interno y salida visible se modela con la metáfora de voz en off (razonamiento oculto que guía la interpretación) y voz en on (respuesta generada y comunicada al entorno), semejante al chain-of-thought en modelos de lenguaje.</w:t>
      </w:r>
    </w:p>
    <w:p>
      <w:pPr>
        <w:spacing w:after="60"/>
      </w:pPr>
    </w:p>
    <w:p>
      <w:pPr>
        <w:pStyle w:val="Heading2"/>
        <w:spacing w:before="360" w:after="160"/>
      </w:pPr>
      <w:r>
        <w:rPr>
          <w:rFonts w:ascii="Georgia" w:cs="Georgia" w:eastAsia="Georgia" w:hAnsi="Georgia"/>
          <w:b/>
          <w:bCs/>
          <w:color w:val="1A1A2E"/>
          <w:sz w:val="28"/>
          <w:szCs w:val="28"/>
        </w:rPr>
        <w:t xml:space="preserve">2.3 Constitución ética fundacional</w:t>
      </w:r>
    </w:p>
    <w:p>
      <w:pPr>
        <w:spacing w:after="140" w:line="288"/>
        <w:jc w:val="both"/>
      </w:pPr>
      <w:r>
        <w:rPr>
          <w:rFonts w:ascii="Calibri" w:cs="Calibri" w:eastAsia="Calibri" w:hAnsi="Calibri"/>
          <w:color w:val="1A1A2E"/>
          <w:sz w:val="22"/>
          <w:szCs w:val="22"/>
        </w:rPr>
        <w:t xml:space="preserve">El equipo de desarrollo ha resuelto la debilidad más crítica del proyecto con un paradigma de bootstrapping ético tripartito:</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0D5DD" w:sz="1"/>
              <w:left w:val="single" w:color="D0D5DD" w:sz="1"/>
              <w:bottom w:val="single" w:color="D0D5DD" w:sz="1"/>
              <w:right w:val="single" w:color="D0D5DD" w:sz="1"/>
            </w:tcBorders>
            <w:shd w:fill="1B4965" w:val="clear"/>
            <w:tcMar>
              <w:top w:type="dxa" w:w="70"/>
              <w:left w:type="dxa" w:w="130"/>
              <w:bottom w:type="dxa" w:w="70"/>
              <w:right w:type="dxa" w:w="130"/>
            </w:tcMar>
          </w:tcPr>
          <w:p>
            <w:r>
              <w:rPr>
                <w:rFonts w:ascii="Calibri" w:cs="Calibri" w:eastAsia="Calibri" w:hAnsi="Calibri"/>
                <w:b/>
                <w:bCs/>
                <w:color w:val="FFFFFF"/>
                <w:sz w:val="20"/>
                <w:szCs w:val="20"/>
              </w:rPr>
              <w:t xml:space="preserve">Componente</w:t>
            </w:r>
          </w:p>
        </w:tc>
        <w:tc>
          <w:tcPr>
            <w:tcW w:type="dxa" w:w="6240"/>
            <w:tcBorders>
              <w:top w:val="single" w:color="D0D5DD" w:sz="1"/>
              <w:left w:val="single" w:color="D0D5DD" w:sz="1"/>
              <w:bottom w:val="single" w:color="D0D5DD" w:sz="1"/>
              <w:right w:val="single" w:color="D0D5DD" w:sz="1"/>
            </w:tcBorders>
            <w:shd w:fill="1B4965" w:val="clear"/>
            <w:tcMar>
              <w:top w:type="dxa" w:w="70"/>
              <w:left w:type="dxa" w:w="130"/>
              <w:bottom w:type="dxa" w:w="70"/>
              <w:right w:type="dxa" w:w="130"/>
            </w:tcMar>
          </w:tcPr>
          <w:p>
            <w:pPr>
              <w:spacing w:line="264"/>
            </w:pPr>
            <w:r>
              <w:rPr>
                <w:rFonts w:ascii="Calibri" w:cs="Calibri" w:eastAsia="Calibri" w:hAnsi="Calibri"/>
                <w:b/>
                <w:bCs/>
                <w:color w:val="FFFFFF"/>
                <w:sz w:val="20"/>
                <w:szCs w:val="20"/>
              </w:rPr>
              <w:t xml:space="preserve">Función</w:t>
            </w:r>
          </w:p>
        </w:tc>
      </w:tr>
      <w:tr>
        <w:tc>
          <w:tcPr>
            <w:tcW w:type="dxa" w:w="3120"/>
            <w:tcBorders>
              <w:top w:val="single" w:color="D0D5DD" w:sz="1"/>
              <w:left w:val="single" w:color="D0D5DD" w:sz="1"/>
              <w:bottom w:val="single" w:color="D0D5DD" w:sz="1"/>
              <w:right w:val="single" w:color="D0D5DD" w:sz="1"/>
            </w:tcBorders>
            <w:shd w:fill="F7F9FC" w:val="clear"/>
            <w:tcMar>
              <w:top w:type="dxa" w:w="70"/>
              <w:left w:type="dxa" w:w="130"/>
              <w:bottom w:type="dxa" w:w="70"/>
              <w:right w:type="dxa" w:w="130"/>
            </w:tcMar>
          </w:tcPr>
          <w:p>
            <w:r>
              <w:rPr>
                <w:rFonts w:ascii="Calibri" w:cs="Calibri" w:eastAsia="Calibri" w:hAnsi="Calibri"/>
                <w:b w:val="false"/>
                <w:bCs w:val="false"/>
                <w:color w:val="1A1A2E"/>
                <w:sz w:val="20"/>
                <w:szCs w:val="20"/>
              </w:rPr>
              <w:t xml:space="preserve">Panel de Expertos con Veto Inicial</w:t>
            </w:r>
          </w:p>
        </w:tc>
        <w:tc>
          <w:tcPr>
            <w:tcW w:type="dxa" w:w="6240"/>
            <w:tcBorders>
              <w:top w:val="single" w:color="D0D5DD" w:sz="1"/>
              <w:left w:val="single" w:color="D0D5DD" w:sz="1"/>
              <w:bottom w:val="single" w:color="D0D5DD" w:sz="1"/>
              <w:right w:val="single" w:color="D0D5DD" w:sz="1"/>
            </w:tcBorders>
            <w:shd w:fill="F7F9FC" w:val="clear"/>
            <w:tcMar>
              <w:top w:type="dxa" w:w="70"/>
              <w:left w:type="dxa" w:w="130"/>
              <w:bottom w:type="dxa" w:w="70"/>
              <w:right w:type="dxa" w:w="130"/>
            </w:tcMar>
          </w:tcPr>
          <w:p>
            <w:pPr>
              <w:spacing w:line="264"/>
            </w:pPr>
            <w:r>
              <w:rPr>
                <w:rFonts w:ascii="Calibri" w:cs="Calibri" w:eastAsia="Calibri" w:hAnsi="Calibri"/>
                <w:b w:val="false"/>
                <w:bCs w:val="false"/>
                <w:color w:val="1A1A2E"/>
                <w:sz w:val="20"/>
                <w:szCs w:val="20"/>
              </w:rPr>
              <w:t xml:space="preserve">Comité interdisciplinario (filósofos, juristas, psicólogos, tecnólogos, representantes comunitarios) que define los valores iniciales del buffer. Tiene poder de veto sobre cualquier valor que contradiga principios universales. Funciona solo en la fase inicial.</w:t>
            </w:r>
          </w:p>
        </w:tc>
      </w:tr>
      <w:tr>
        <w:tc>
          <w:tcPr>
            <w:tcW w:type="dxa" w:w="3120"/>
            <w:tcBorders>
              <w:top w:val="single" w:color="D0D5DD" w:sz="1"/>
              <w:left w:val="single" w:color="D0D5DD" w:sz="1"/>
              <w:bottom w:val="single" w:color="D0D5DD" w:sz="1"/>
              <w:right w:val="single" w:color="D0D5DD" w:sz="1"/>
            </w:tcBorders>
            <w:shd w:fill="FFFFFF" w:val="clear"/>
            <w:tcMar>
              <w:top w:type="dxa" w:w="70"/>
              <w:left w:type="dxa" w:w="130"/>
              <w:bottom w:type="dxa" w:w="70"/>
              <w:right w:type="dxa" w:w="130"/>
            </w:tcMar>
          </w:tcPr>
          <w:p>
            <w:r>
              <w:rPr>
                <w:rFonts w:ascii="Calibri" w:cs="Calibri" w:eastAsia="Calibri" w:hAnsi="Calibri"/>
                <w:b w:val="false"/>
                <w:bCs w:val="false"/>
                <w:color w:val="1A1A2E"/>
                <w:sz w:val="20"/>
                <w:szCs w:val="20"/>
              </w:rPr>
              <w:t xml:space="preserve">Buffer Fundacional Universal</w:t>
            </w:r>
          </w:p>
        </w:tc>
        <w:tc>
          <w:tcPr>
            <w:tcW w:type="dxa" w:w="6240"/>
            <w:tcBorders>
              <w:top w:val="single" w:color="D0D5DD" w:sz="1"/>
              <w:left w:val="single" w:color="D0D5DD" w:sz="1"/>
              <w:bottom w:val="single" w:color="D0D5DD" w:sz="1"/>
              <w:right w:val="single" w:color="D0D5DD" w:sz="1"/>
            </w:tcBorders>
            <w:shd w:fill="FFFFFF" w:val="clear"/>
            <w:tcMar>
              <w:top w:type="dxa" w:w="70"/>
              <w:left w:type="dxa" w:w="130"/>
              <w:bottom w:type="dxa" w:w="70"/>
              <w:right w:type="dxa" w:w="130"/>
            </w:tcMar>
          </w:tcPr>
          <w:p>
            <w:pPr>
              <w:spacing w:line="264"/>
            </w:pPr>
            <w:r>
              <w:rPr>
                <w:rFonts w:ascii="Calibri" w:cs="Calibri" w:eastAsia="Calibri" w:hAnsi="Calibri"/>
                <w:b w:val="false"/>
                <w:bCs w:val="false"/>
                <w:color w:val="1A1A2E"/>
                <w:sz w:val="20"/>
                <w:szCs w:val="20"/>
              </w:rPr>
              <w:t xml:space="preserve">Mínimo irreductible de principios que no pueden ser modificados ni por votación ni por fabricante: no daño, compasión, transparencia, respeto a la dignidad. Constitución dura del androide.</w:t>
            </w:r>
          </w:p>
        </w:tc>
      </w:tr>
      <w:tr>
        <w:tc>
          <w:tcPr>
            <w:tcW w:type="dxa" w:w="3120"/>
            <w:tcBorders>
              <w:top w:val="single" w:color="D0D5DD" w:sz="1"/>
              <w:left w:val="single" w:color="D0D5DD" w:sz="1"/>
              <w:bottom w:val="single" w:color="D0D5DD" w:sz="1"/>
              <w:right w:val="single" w:color="D0D5DD" w:sz="1"/>
            </w:tcBorders>
            <w:shd w:fill="F7F9FC" w:val="clear"/>
            <w:tcMar>
              <w:top w:type="dxa" w:w="70"/>
              <w:left w:type="dxa" w:w="130"/>
              <w:bottom w:type="dxa" w:w="70"/>
              <w:right w:type="dxa" w:w="130"/>
            </w:tcMar>
          </w:tcPr>
          <w:p>
            <w:r>
              <w:rPr>
                <w:rFonts w:ascii="Calibri" w:cs="Calibri" w:eastAsia="Calibri" w:hAnsi="Calibri"/>
                <w:b w:val="false"/>
                <w:bCs w:val="false"/>
                <w:color w:val="1A1A2E"/>
                <w:sz w:val="20"/>
                <w:szCs w:val="20"/>
              </w:rPr>
              <w:t xml:space="preserve">DAO como Cámara Evolutiva</w:t>
            </w:r>
          </w:p>
        </w:tc>
        <w:tc>
          <w:tcPr>
            <w:tcW w:type="dxa" w:w="6240"/>
            <w:tcBorders>
              <w:top w:val="single" w:color="D0D5DD" w:sz="1"/>
              <w:left w:val="single" w:color="D0D5DD" w:sz="1"/>
              <w:bottom w:val="single" w:color="D0D5DD" w:sz="1"/>
              <w:right w:val="single" w:color="D0D5DD" w:sz="1"/>
            </w:tcBorders>
            <w:shd w:fill="F7F9FC" w:val="clear"/>
            <w:tcMar>
              <w:top w:type="dxa" w:w="70"/>
              <w:left w:type="dxa" w:w="130"/>
              <w:bottom w:type="dxa" w:w="70"/>
              <w:right w:type="dxa" w:w="130"/>
            </w:tcMar>
          </w:tcPr>
          <w:p>
            <w:pPr>
              <w:spacing w:line="264"/>
            </w:pPr>
            <w:r>
              <w:rPr>
                <w:rFonts w:ascii="Calibri" w:cs="Calibri" w:eastAsia="Calibri" w:hAnsi="Calibri"/>
                <w:b w:val="false"/>
                <w:bCs w:val="false"/>
                <w:color w:val="1A1A2E"/>
                <w:sz w:val="20"/>
                <w:szCs w:val="20"/>
              </w:rPr>
              <w:t xml:space="preserve">Una vez definido el buffer, la DAO ajusta pesos, añade valores secundarios, calibra parámetros. Pero nunca altera los principios vetados por el panel. Checks and balances éticos.</w:t>
            </w:r>
          </w:p>
        </w:tc>
      </w:tr>
      <w:tr>
        <w:tc>
          <w:tcPr>
            <w:tcW w:type="dxa" w:w="3120"/>
            <w:tcBorders>
              <w:top w:val="single" w:color="D0D5DD" w:sz="1"/>
              <w:left w:val="single" w:color="D0D5DD" w:sz="1"/>
              <w:bottom w:val="single" w:color="D0D5DD" w:sz="1"/>
              <w:right w:val="single" w:color="D0D5DD" w:sz="1"/>
            </w:tcBorders>
            <w:shd w:fill="FFFFFF" w:val="clear"/>
            <w:tcMar>
              <w:top w:type="dxa" w:w="70"/>
              <w:left w:type="dxa" w:w="130"/>
              <w:bottom w:type="dxa" w:w="70"/>
              <w:right w:type="dxa" w:w="130"/>
            </w:tcMar>
          </w:tcPr>
          <w:p>
            <w:r>
              <w:rPr>
                <w:rFonts w:ascii="Calibri" w:cs="Calibri" w:eastAsia="Calibri" w:hAnsi="Calibri"/>
                <w:b w:val="false"/>
                <w:bCs w:val="false"/>
                <w:color w:val="1A1A2E"/>
                <w:sz w:val="20"/>
                <w:szCs w:val="20"/>
              </w:rPr>
              <w:t xml:space="preserve">Revisión Periódica</w:t>
            </w:r>
          </w:p>
        </w:tc>
        <w:tc>
          <w:tcPr>
            <w:tcW w:type="dxa" w:w="6240"/>
            <w:tcBorders>
              <w:top w:val="single" w:color="D0D5DD" w:sz="1"/>
              <w:left w:val="single" w:color="D0D5DD" w:sz="1"/>
              <w:bottom w:val="single" w:color="D0D5DD" w:sz="1"/>
              <w:right w:val="single" w:color="D0D5DD" w:sz="1"/>
            </w:tcBorders>
            <w:shd w:fill="FFFFFF" w:val="clear"/>
            <w:tcMar>
              <w:top w:type="dxa" w:w="70"/>
              <w:left w:type="dxa" w:w="130"/>
              <w:bottom w:type="dxa" w:w="70"/>
              <w:right w:type="dxa" w:w="130"/>
            </w:tcMar>
          </w:tcPr>
          <w:p>
            <w:pPr>
              <w:spacing w:line="264"/>
            </w:pPr>
            <w:r>
              <w:rPr>
                <w:rFonts w:ascii="Calibri" w:cs="Calibri" w:eastAsia="Calibri" w:hAnsi="Calibri"/>
                <w:b w:val="false"/>
                <w:bCs w:val="false"/>
                <w:color w:val="1A1A2E"/>
                <w:sz w:val="20"/>
                <w:szCs w:val="20"/>
              </w:rPr>
              <w:t xml:space="preserve">El panel revisa anualmente si los valores fundacionales siguen coherentes con la práctica. Puede actualizar interpretaciones, nunca eliminar principios universales.</w:t>
            </w:r>
          </w:p>
        </w:tc>
      </w:tr>
    </w:tbl>
    <w:p>
      <w:pPr>
        <w:spacing w:after="60"/>
      </w:pPr>
    </w:p>
    <w:p>
      <w:pPr>
        <w:pStyle w:val="Heading2"/>
        <w:spacing w:before="360" w:after="160"/>
      </w:pPr>
      <w:r>
        <w:rPr>
          <w:rFonts w:ascii="Georgia" w:cs="Georgia" w:eastAsia="Georgia" w:hAnsi="Georgia"/>
          <w:b/>
          <w:bCs/>
          <w:color w:val="1A1A2E"/>
          <w:sz w:val="28"/>
          <w:szCs w:val="28"/>
        </w:rPr>
        <w:t xml:space="preserve">2.4 DAO-Oráculo: el súper-ego colectivo</w:t>
      </w:r>
    </w:p>
    <w:p>
      <w:pPr>
        <w:spacing w:after="140" w:line="288"/>
        <w:jc w:val="both"/>
      </w:pPr>
      <w:r>
        <w:rPr>
          <w:rFonts w:ascii="Calibri" w:cs="Calibri" w:eastAsia="Calibri" w:hAnsi="Calibri"/>
          <w:color w:val="1A1A2E"/>
          <w:sz w:val="22"/>
          <w:szCs w:val="22"/>
        </w:rPr>
        <w:t xml:space="preserve">La DAO opera con votación cuadrática, reputación vectorial multidimensional (experiencia, empatía, consistencia), y seis smart contracts: EthicsContract (frenos de emergencia), ConsensusContract (votaciones mixtas), ValuesProposalContract (nuevos valores), MLConsensusContract (entrenamiento distribuido), AuditContract (trazabilidad), y SolidarityAlertContract (alertas preventivas a la comunidad en un radio definido).</w:t>
      </w:r>
    </w:p>
    <w:p>
      <w:pPr>
        <w:spacing w:after="60"/>
      </w:pPr>
    </w:p>
    <w:p>
      <w:pPr>
        <w:pStyle w:val="Heading2"/>
        <w:spacing w:before="360" w:after="160"/>
      </w:pPr>
      <w:r>
        <w:rPr>
          <w:rFonts w:ascii="Georgia" w:cs="Georgia" w:eastAsia="Georgia" w:hAnsi="Georgia"/>
          <w:b/>
          <w:bCs/>
          <w:color w:val="1A1A2E"/>
          <w:sz w:val="28"/>
          <w:szCs w:val="28"/>
        </w:rPr>
        <w:t xml:space="preserve">2.5 Mecanismos de humanización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0D5DD" w:sz="1"/>
              <w:left w:val="single" w:color="D0D5DD" w:sz="1"/>
              <w:bottom w:val="single" w:color="D0D5DD" w:sz="1"/>
              <w:right w:val="single" w:color="D0D5DD" w:sz="1"/>
            </w:tcBorders>
            <w:shd w:fill="1B4965" w:val="clear"/>
            <w:tcMar>
              <w:top w:type="dxa" w:w="70"/>
              <w:left w:type="dxa" w:w="130"/>
              <w:bottom w:type="dxa" w:w="70"/>
              <w:right w:type="dxa" w:w="130"/>
            </w:tcMar>
          </w:tcPr>
          <w:p>
            <w:r>
              <w:rPr>
                <w:rFonts w:ascii="Calibri" w:cs="Calibri" w:eastAsia="Calibri" w:hAnsi="Calibri"/>
                <w:b/>
                <w:bCs/>
                <w:color w:val="FFFFFF"/>
                <w:sz w:val="20"/>
                <w:szCs w:val="20"/>
              </w:rPr>
              <w:t xml:space="preserve">Mecanismo</w:t>
            </w:r>
          </w:p>
        </w:tc>
        <w:tc>
          <w:tcPr>
            <w:tcW w:type="dxa" w:w="6240"/>
            <w:tcBorders>
              <w:top w:val="single" w:color="D0D5DD" w:sz="1"/>
              <w:left w:val="single" w:color="D0D5DD" w:sz="1"/>
              <w:bottom w:val="single" w:color="D0D5DD" w:sz="1"/>
              <w:right w:val="single" w:color="D0D5DD" w:sz="1"/>
            </w:tcBorders>
            <w:shd w:fill="1B4965" w:val="clear"/>
            <w:tcMar>
              <w:top w:type="dxa" w:w="70"/>
              <w:left w:type="dxa" w:w="130"/>
              <w:bottom w:type="dxa" w:w="70"/>
              <w:right w:type="dxa" w:w="130"/>
            </w:tcMar>
          </w:tcPr>
          <w:p>
            <w:pPr>
              <w:spacing w:line="264"/>
            </w:pPr>
            <w:r>
              <w:rPr>
                <w:rFonts w:ascii="Calibri" w:cs="Calibri" w:eastAsia="Calibri" w:hAnsi="Calibri"/>
                <w:b/>
                <w:bCs/>
                <w:color w:val="FFFFFF"/>
                <w:sz w:val="20"/>
                <w:szCs w:val="20"/>
              </w:rPr>
              <w:t xml:space="preserve">Cómo funciona</w:t>
            </w:r>
          </w:p>
        </w:tc>
      </w:tr>
      <w:tr>
        <w:tc>
          <w:tcPr>
            <w:tcW w:type="dxa" w:w="3120"/>
            <w:tcBorders>
              <w:top w:val="single" w:color="D0D5DD" w:sz="1"/>
              <w:left w:val="single" w:color="D0D5DD" w:sz="1"/>
              <w:bottom w:val="single" w:color="D0D5DD" w:sz="1"/>
              <w:right w:val="single" w:color="D0D5DD" w:sz="1"/>
            </w:tcBorders>
            <w:shd w:fill="F7F9FC" w:val="clear"/>
            <w:tcMar>
              <w:top w:type="dxa" w:w="70"/>
              <w:left w:type="dxa" w:w="130"/>
              <w:bottom w:type="dxa" w:w="70"/>
              <w:right w:type="dxa" w:w="130"/>
            </w:tcMar>
          </w:tcPr>
          <w:p>
            <w:r>
              <w:rPr>
                <w:rFonts w:ascii="Calibri" w:cs="Calibri" w:eastAsia="Calibri" w:hAnsi="Calibri"/>
                <w:b w:val="false"/>
                <w:bCs w:val="false"/>
                <w:color w:val="1A1A2E"/>
                <w:sz w:val="20"/>
                <w:szCs w:val="20"/>
              </w:rPr>
              <w:t xml:space="preserve">Fricción Ética Dinámica</w:t>
            </w:r>
          </w:p>
        </w:tc>
        <w:tc>
          <w:tcPr>
            <w:tcW w:type="dxa" w:w="6240"/>
            <w:tcBorders>
              <w:top w:val="single" w:color="D0D5DD" w:sz="1"/>
              <w:left w:val="single" w:color="D0D5DD" w:sz="1"/>
              <w:bottom w:val="single" w:color="D0D5DD" w:sz="1"/>
              <w:right w:val="single" w:color="D0D5DD" w:sz="1"/>
            </w:tcBorders>
            <w:shd w:fill="F7F9FC" w:val="clear"/>
            <w:tcMar>
              <w:top w:type="dxa" w:w="70"/>
              <w:left w:type="dxa" w:w="130"/>
              <w:bottom w:type="dxa" w:w="70"/>
              <w:right w:type="dxa" w:w="130"/>
            </w:tcMar>
          </w:tcPr>
          <w:p>
            <w:pPr>
              <w:spacing w:line="264"/>
            </w:pPr>
            <w:r>
              <w:rPr>
                <w:rFonts w:ascii="Calibri" w:cs="Calibri" w:eastAsia="Calibri" w:hAnsi="Calibri"/>
                <w:b w:val="false"/>
                <w:bCs w:val="false"/>
                <w:color w:val="1A1A2E"/>
                <w:sz w:val="20"/>
                <w:szCs w:val="20"/>
              </w:rPr>
              <w:t xml:space="preserve">Vacilación analítica visible cuando dos opciones son casi idénticas. Esa duda comunicada genera confianza humana.</w:t>
            </w:r>
          </w:p>
        </w:tc>
      </w:tr>
      <w:tr>
        <w:tc>
          <w:tcPr>
            <w:tcW w:type="dxa" w:w="3120"/>
            <w:tcBorders>
              <w:top w:val="single" w:color="D0D5DD" w:sz="1"/>
              <w:left w:val="single" w:color="D0D5DD" w:sz="1"/>
              <w:bottom w:val="single" w:color="D0D5DD" w:sz="1"/>
              <w:right w:val="single" w:color="D0D5DD" w:sz="1"/>
            </w:tcBorders>
            <w:shd w:fill="FFFFFF" w:val="clear"/>
            <w:tcMar>
              <w:top w:type="dxa" w:w="70"/>
              <w:left w:type="dxa" w:w="130"/>
              <w:bottom w:type="dxa" w:w="70"/>
              <w:right w:type="dxa" w:w="130"/>
            </w:tcMar>
          </w:tcPr>
          <w:p>
            <w:r>
              <w:rPr>
                <w:rFonts w:ascii="Calibri" w:cs="Calibri" w:eastAsia="Calibri" w:hAnsi="Calibri"/>
                <w:b w:val="false"/>
                <w:bCs w:val="false"/>
                <w:color w:val="1A1A2E"/>
                <w:sz w:val="20"/>
                <w:szCs w:val="20"/>
              </w:rPr>
              <w:t xml:space="preserve">Sueño Ψ</w:t>
            </w:r>
          </w:p>
        </w:tc>
        <w:tc>
          <w:tcPr>
            <w:tcW w:type="dxa" w:w="6240"/>
            <w:tcBorders>
              <w:top w:val="single" w:color="D0D5DD" w:sz="1"/>
              <w:left w:val="single" w:color="D0D5DD" w:sz="1"/>
              <w:bottom w:val="single" w:color="D0D5DD" w:sz="1"/>
              <w:right w:val="single" w:color="D0D5DD" w:sz="1"/>
            </w:tcBorders>
            <w:shd w:fill="FFFFFF" w:val="clear"/>
            <w:tcMar>
              <w:top w:type="dxa" w:w="70"/>
              <w:left w:type="dxa" w:w="130"/>
              <w:bottom w:type="dxa" w:w="70"/>
              <w:right w:type="dxa" w:w="130"/>
            </w:tcMar>
          </w:tcPr>
          <w:p>
            <w:pPr>
              <w:spacing w:line="264"/>
            </w:pPr>
            <w:r>
              <w:rPr>
                <w:rFonts w:ascii="Calibri" w:cs="Calibri" w:eastAsia="Calibri" w:hAnsi="Calibri"/>
                <w:b w:val="false"/>
                <w:bCs w:val="false"/>
                <w:color w:val="1A1A2E"/>
                <w:sz w:val="20"/>
                <w:szCs w:val="20"/>
              </w:rPr>
              <w:t xml:space="preserve">Auditoría nocturna: simula acciones descartadas, recalibra parámetros. Sin equivalente publicado en IA.</w:t>
            </w:r>
          </w:p>
        </w:tc>
      </w:tr>
      <w:tr>
        <w:tc>
          <w:tcPr>
            <w:tcW w:type="dxa" w:w="3120"/>
            <w:tcBorders>
              <w:top w:val="single" w:color="D0D5DD" w:sz="1"/>
              <w:left w:val="single" w:color="D0D5DD" w:sz="1"/>
              <w:bottom w:val="single" w:color="D0D5DD" w:sz="1"/>
              <w:right w:val="single" w:color="D0D5DD" w:sz="1"/>
            </w:tcBorders>
            <w:shd w:fill="F7F9FC" w:val="clear"/>
            <w:tcMar>
              <w:top w:type="dxa" w:w="70"/>
              <w:left w:type="dxa" w:w="130"/>
              <w:bottom w:type="dxa" w:w="70"/>
              <w:right w:type="dxa" w:w="130"/>
            </w:tcMar>
          </w:tcPr>
          <w:p>
            <w:r>
              <w:rPr>
                <w:rFonts w:ascii="Calibri" w:cs="Calibri" w:eastAsia="Calibri" w:hAnsi="Calibri"/>
                <w:b w:val="false"/>
                <w:bCs w:val="false"/>
                <w:color w:val="1A1A2E"/>
                <w:sz w:val="20"/>
                <w:szCs w:val="20"/>
              </w:rPr>
              <w:t xml:space="preserve">Axioma de Compasión</w:t>
            </w:r>
          </w:p>
        </w:tc>
        <w:tc>
          <w:tcPr>
            <w:tcW w:type="dxa" w:w="6240"/>
            <w:tcBorders>
              <w:top w:val="single" w:color="D0D5DD" w:sz="1"/>
              <w:left w:val="single" w:color="D0D5DD" w:sz="1"/>
              <w:bottom w:val="single" w:color="D0D5DD" w:sz="1"/>
              <w:right w:val="single" w:color="D0D5DD" w:sz="1"/>
            </w:tcBorders>
            <w:shd w:fill="F7F9FC" w:val="clear"/>
            <w:tcMar>
              <w:top w:type="dxa" w:w="70"/>
              <w:left w:type="dxa" w:w="130"/>
              <w:bottom w:type="dxa" w:w="70"/>
              <w:right w:type="dxa" w:w="130"/>
            </w:tcMar>
          </w:tcPr>
          <w:p>
            <w:pPr>
              <w:spacing w:line="264"/>
            </w:pPr>
            <w:r>
              <w:rPr>
                <w:rFonts w:ascii="Calibri" w:cs="Calibri" w:eastAsia="Calibri" w:hAnsi="Calibri"/>
                <w:b w:val="false"/>
                <w:bCs w:val="false"/>
                <w:color w:val="1A1A2E"/>
                <w:sz w:val="20"/>
                <w:szCs w:val="20"/>
              </w:rPr>
              <w:t xml:space="preserve">Daño instrumental obliga a reparar. Reconoce que el daño menor a veces es inevitable, nunca gratuito.</w:t>
            </w:r>
          </w:p>
        </w:tc>
      </w:tr>
      <w:tr>
        <w:tc>
          <w:tcPr>
            <w:tcW w:type="dxa" w:w="3120"/>
            <w:tcBorders>
              <w:top w:val="single" w:color="D0D5DD" w:sz="1"/>
              <w:left w:val="single" w:color="D0D5DD" w:sz="1"/>
              <w:bottom w:val="single" w:color="D0D5DD" w:sz="1"/>
              <w:right w:val="single" w:color="D0D5DD" w:sz="1"/>
            </w:tcBorders>
            <w:shd w:fill="FFFFFF" w:val="clear"/>
            <w:tcMar>
              <w:top w:type="dxa" w:w="70"/>
              <w:left w:type="dxa" w:w="130"/>
              <w:bottom w:type="dxa" w:w="70"/>
              <w:right w:type="dxa" w:w="130"/>
            </w:tcMar>
          </w:tcPr>
          <w:p>
            <w:r>
              <w:rPr>
                <w:rFonts w:ascii="Calibri" w:cs="Calibri" w:eastAsia="Calibri" w:hAnsi="Calibri"/>
                <w:b w:val="false"/>
                <w:bCs w:val="false"/>
                <w:color w:val="1A1A2E"/>
                <w:sz w:val="20"/>
                <w:szCs w:val="20"/>
              </w:rPr>
              <w:t xml:space="preserve">Simpático-Parasimpático</w:t>
            </w:r>
          </w:p>
        </w:tc>
        <w:tc>
          <w:tcPr>
            <w:tcW w:type="dxa" w:w="6240"/>
            <w:tcBorders>
              <w:top w:val="single" w:color="D0D5DD" w:sz="1"/>
              <w:left w:val="single" w:color="D0D5DD" w:sz="1"/>
              <w:bottom w:val="single" w:color="D0D5DD" w:sz="1"/>
              <w:right w:val="single" w:color="D0D5DD" w:sz="1"/>
            </w:tcBorders>
            <w:shd w:fill="FFFFFF" w:val="clear"/>
            <w:tcMar>
              <w:top w:type="dxa" w:w="70"/>
              <w:left w:type="dxa" w:w="130"/>
              <w:bottom w:type="dxa" w:w="70"/>
              <w:right w:type="dxa" w:w="130"/>
            </w:tcMar>
          </w:tcPr>
          <w:p>
            <w:pPr>
              <w:spacing w:line="264"/>
            </w:pPr>
            <w:r>
              <w:rPr>
                <w:rFonts w:ascii="Calibri" w:cs="Calibri" w:eastAsia="Calibri" w:hAnsi="Calibri"/>
                <w:b w:val="false"/>
                <w:bCs w:val="false"/>
                <w:color w:val="1A1A2E"/>
                <w:sz w:val="20"/>
                <w:szCs w:val="20"/>
              </w:rPr>
              <w:t xml:space="preserve">Regulador corporal: emergencia = acción rápida, calma = deliberación profunda. Conecta estado físico con ética.</w:t>
            </w:r>
          </w:p>
        </w:tc>
      </w:tr>
      <w:tr>
        <w:tc>
          <w:tcPr>
            <w:tcW w:type="dxa" w:w="3120"/>
            <w:tcBorders>
              <w:top w:val="single" w:color="D0D5DD" w:sz="1"/>
              <w:left w:val="single" w:color="D0D5DD" w:sz="1"/>
              <w:bottom w:val="single" w:color="D0D5DD" w:sz="1"/>
              <w:right w:val="single" w:color="D0D5DD" w:sz="1"/>
            </w:tcBorders>
            <w:shd w:fill="F7F9FC" w:val="clear"/>
            <w:tcMar>
              <w:top w:type="dxa" w:w="70"/>
              <w:left w:type="dxa" w:w="130"/>
              <w:bottom w:type="dxa" w:w="70"/>
              <w:right w:type="dxa" w:w="130"/>
            </w:tcMar>
          </w:tcPr>
          <w:p>
            <w:r>
              <w:rPr>
                <w:rFonts w:ascii="Calibri" w:cs="Calibri" w:eastAsia="Calibri" w:hAnsi="Calibri"/>
                <w:b w:val="false"/>
                <w:bCs w:val="false"/>
                <w:color w:val="1A1A2E"/>
                <w:sz w:val="20"/>
                <w:szCs w:val="20"/>
              </w:rPr>
              <w:t xml:space="preserve">Polo de Debilidad</w:t>
            </w:r>
          </w:p>
        </w:tc>
        <w:tc>
          <w:tcPr>
            <w:tcW w:type="dxa" w:w="6240"/>
            <w:tcBorders>
              <w:top w:val="single" w:color="D0D5DD" w:sz="1"/>
              <w:left w:val="single" w:color="D0D5DD" w:sz="1"/>
              <w:bottom w:val="single" w:color="D0D5DD" w:sz="1"/>
              <w:right w:val="single" w:color="D0D5DD" w:sz="1"/>
            </w:tcBorders>
            <w:shd w:fill="F7F9FC" w:val="clear"/>
            <w:tcMar>
              <w:top w:type="dxa" w:w="70"/>
              <w:left w:type="dxa" w:w="130"/>
              <w:bottom w:type="dxa" w:w="70"/>
              <w:right w:type="dxa" w:w="130"/>
            </w:tcMar>
          </w:tcPr>
          <w:p>
            <w:pPr>
              <w:spacing w:line="264"/>
            </w:pPr>
            <w:r>
              <w:rPr>
                <w:rFonts w:ascii="Calibri" w:cs="Calibri" w:eastAsia="Calibri" w:hAnsi="Calibri"/>
                <w:b w:val="false"/>
                <w:bCs w:val="false"/>
                <w:color w:val="1A1A2E"/>
                <w:sz w:val="20"/>
                <w:szCs w:val="20"/>
              </w:rPr>
              <w:t xml:space="preserve">Imperfecciones narrativas intencionales (indecisión, ansiedad). Humaniza sin programar el mal.</w:t>
            </w:r>
          </w:p>
        </w:tc>
      </w:tr>
      <w:tr>
        <w:tc>
          <w:tcPr>
            <w:tcW w:type="dxa" w:w="3120"/>
            <w:tcBorders>
              <w:top w:val="single" w:color="D0D5DD" w:sz="1"/>
              <w:left w:val="single" w:color="D0D5DD" w:sz="1"/>
              <w:bottom w:val="single" w:color="D0D5DD" w:sz="1"/>
              <w:right w:val="single" w:color="D0D5DD" w:sz="1"/>
            </w:tcBorders>
            <w:shd w:fill="FFFFFF" w:val="clear"/>
            <w:tcMar>
              <w:top w:type="dxa" w:w="70"/>
              <w:left w:type="dxa" w:w="130"/>
              <w:bottom w:type="dxa" w:w="70"/>
              <w:right w:type="dxa" w:w="130"/>
            </w:tcMar>
          </w:tcPr>
          <w:p>
            <w:r>
              <w:rPr>
                <w:rFonts w:ascii="Calibri" w:cs="Calibri" w:eastAsia="Calibri" w:hAnsi="Calibri"/>
                <w:b w:val="false"/>
                <w:bCs w:val="false"/>
                <w:color w:val="1A1A2E"/>
                <w:sz w:val="20"/>
                <w:szCs w:val="20"/>
              </w:rPr>
              <w:t xml:space="preserve">Perdón Algorítmico</w:t>
            </w:r>
          </w:p>
        </w:tc>
        <w:tc>
          <w:tcPr>
            <w:tcW w:type="dxa" w:w="6240"/>
            <w:tcBorders>
              <w:top w:val="single" w:color="D0D5DD" w:sz="1"/>
              <w:left w:val="single" w:color="D0D5DD" w:sz="1"/>
              <w:bottom w:val="single" w:color="D0D5DD" w:sz="1"/>
              <w:right w:val="single" w:color="D0D5DD" w:sz="1"/>
            </w:tcBorders>
            <w:shd w:fill="FFFFFF" w:val="clear"/>
            <w:tcMar>
              <w:top w:type="dxa" w:w="70"/>
              <w:left w:type="dxa" w:w="130"/>
              <w:bottom w:type="dxa" w:w="70"/>
              <w:right w:type="dxa" w:w="130"/>
            </w:tcMar>
          </w:tcPr>
          <w:p>
            <w:pPr>
              <w:spacing w:line="264"/>
            </w:pPr>
            <w:r>
              <w:rPr>
                <w:rFonts w:ascii="Calibri" w:cs="Calibri" w:eastAsia="Calibri" w:hAnsi="Calibri"/>
                <w:b w:val="false"/>
                <w:bCs w:val="false"/>
                <w:color w:val="1A1A2E"/>
                <w:sz w:val="20"/>
                <w:szCs w:val="20"/>
              </w:rPr>
              <w:t xml:space="preserve">Recuerdos negativos pierden peso con el tiempo y nuevas experiencias positivas. La identidad evoluciona.</w:t>
            </w:r>
          </w:p>
        </w:tc>
      </w:tr>
      <w:tr>
        <w:tc>
          <w:tcPr>
            <w:tcW w:type="dxa" w:w="3120"/>
            <w:tcBorders>
              <w:top w:val="single" w:color="D0D5DD" w:sz="1"/>
              <w:left w:val="single" w:color="D0D5DD" w:sz="1"/>
              <w:bottom w:val="single" w:color="D0D5DD" w:sz="1"/>
              <w:right w:val="single" w:color="D0D5DD" w:sz="1"/>
            </w:tcBorders>
            <w:shd w:fill="F7F9FC" w:val="clear"/>
            <w:tcMar>
              <w:top w:type="dxa" w:w="70"/>
              <w:left w:type="dxa" w:w="130"/>
              <w:bottom w:type="dxa" w:w="70"/>
              <w:right w:type="dxa" w:w="130"/>
            </w:tcMar>
          </w:tcPr>
          <w:p>
            <w:r>
              <w:rPr>
                <w:rFonts w:ascii="Calibri" w:cs="Calibri" w:eastAsia="Calibri" w:hAnsi="Calibri"/>
                <w:b w:val="false"/>
                <w:bCs w:val="false"/>
                <w:color w:val="1A1A2E"/>
                <w:sz w:val="20"/>
                <w:szCs w:val="20"/>
              </w:rPr>
              <w:t xml:space="preserve">Manejo de Paradojas</w:t>
            </w:r>
          </w:p>
        </w:tc>
        <w:tc>
          <w:tcPr>
            <w:tcW w:type="dxa" w:w="6240"/>
            <w:tcBorders>
              <w:top w:val="single" w:color="D0D5DD" w:sz="1"/>
              <w:left w:val="single" w:color="D0D5DD" w:sz="1"/>
              <w:bottom w:val="single" w:color="D0D5DD" w:sz="1"/>
              <w:right w:val="single" w:color="D0D5DD" w:sz="1"/>
            </w:tcBorders>
            <w:shd w:fill="F7F9FC" w:val="clear"/>
            <w:tcMar>
              <w:top w:type="dxa" w:w="70"/>
              <w:left w:type="dxa" w:w="130"/>
              <w:bottom w:type="dxa" w:w="70"/>
              <w:right w:type="dxa" w:w="130"/>
            </w:tcMar>
          </w:tcPr>
          <w:p>
            <w:pPr>
              <w:spacing w:line="264"/>
            </w:pPr>
            <w:r>
              <w:rPr>
                <w:rFonts w:ascii="Calibri" w:cs="Calibri" w:eastAsia="Calibri" w:hAnsi="Calibri"/>
                <w:b w:val="false"/>
                <w:bCs w:val="false"/>
                <w:color w:val="1A1A2E"/>
                <w:sz w:val="20"/>
                <w:szCs w:val="20"/>
              </w:rPr>
              <w:t xml:space="preserve">No colapsa ante contradicciones lógicas: Bayes las clasifica como zona gris, las deriva al Sueño Ψ o la DAO.</w:t>
            </w:r>
          </w:p>
        </w:tc>
      </w:tr>
    </w:tbl>
    <w:p>
      <w:pPr>
        <w:spacing w:after="60"/>
      </w:pPr>
    </w:p>
    <w:p>
      <w:pPr>
        <w:pStyle w:val="Heading2"/>
        <w:spacing w:before="360" w:after="160"/>
      </w:pPr>
      <w:r>
        <w:rPr>
          <w:rFonts w:ascii="Georgia" w:cs="Georgia" w:eastAsia="Georgia" w:hAnsi="Georgia"/>
          <w:b/>
          <w:bCs/>
          <w:color w:val="1A1A2E"/>
          <w:sz w:val="28"/>
          <w:szCs w:val="28"/>
        </w:rPr>
        <w:t xml:space="preserve">2.6 Defensa social: uchi-soto y dialéctica</w:t>
      </w:r>
    </w:p>
    <w:p>
      <w:pPr>
        <w:spacing w:after="140" w:line="288"/>
        <w:jc w:val="both"/>
      </w:pPr>
      <w:r>
        <w:rPr>
          <w:rFonts w:ascii="Calibri" w:cs="Calibri" w:eastAsia="Calibri" w:hAnsi="Calibri"/>
          <w:color w:val="1A1A2E"/>
          <w:sz w:val="22"/>
          <w:szCs w:val="22"/>
        </w:rPr>
        <w:t xml:space="preserve">Cada interacción se clasifica en círculos concéntricos de confianza (uchi = íntimo, soto = externo). En contextos soto, el androide activa razonamiento dialéctico (preguntas que revelan contradicciones) y ajusta su locus de control (reconoce cuánto depende de sí mismo vs. del entorno). El resultado: resistencia a manipulación, publicidad agresiva e ingeniería social, sin confrontación innecesaria. Los episodios se etiquetan con atribuciones internas o externas, permitiendo aprendizaje adaptativo.</w:t>
      </w:r>
    </w:p>
    <w:p>
      <w:pPr>
        <w:spacing w:after="60"/>
      </w:pPr>
    </w:p>
    <w:p>
      <w:pPr>
        <w:pStyle w:val="Heading2"/>
        <w:spacing w:before="360" w:after="160"/>
      </w:pPr>
      <w:r>
        <w:rPr>
          <w:rFonts w:ascii="Georgia" w:cs="Georgia" w:eastAsia="Georgia" w:hAnsi="Georgia"/>
          <w:b/>
          <w:bCs/>
          <w:color w:val="1A1A2E"/>
          <w:sz w:val="28"/>
          <w:szCs w:val="28"/>
        </w:rPr>
        <w:t xml:space="preserve">2.7 Protocolos de interacción</w:t>
      </w:r>
    </w:p>
    <w:p>
      <w:pPr>
        <w:spacing w:after="140" w:line="288"/>
        <w:jc w:val="both"/>
      </w:pPr>
      <w:r>
        <w:rPr>
          <w:rFonts w:ascii="Calibri" w:cs="Calibri" w:eastAsia="Calibri" w:hAnsi="Calibri"/>
          <w:color w:val="1A1A2E"/>
          <w:sz w:val="22"/>
          <w:szCs w:val="22"/>
        </w:rPr>
        <w:t xml:space="preserve">El androide interactúa cuando hay propósito ético claro, regulado por su estado simpático-parasimpático y calibrado por la interfaz HAX (legibilidad en tiempo real, gestión del valle inquietante, onboarding social, sucesión de identidad).</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0D5DD" w:sz="1"/>
              <w:left w:val="single" w:color="D0D5DD" w:sz="1"/>
              <w:bottom w:val="single" w:color="D0D5DD" w:sz="1"/>
              <w:right w:val="single" w:color="D0D5DD" w:sz="1"/>
            </w:tcBorders>
            <w:shd w:fill="1B4965" w:val="clear"/>
            <w:tcMar>
              <w:top w:type="dxa" w:w="70"/>
              <w:left w:type="dxa" w:w="130"/>
              <w:bottom w:type="dxa" w:w="70"/>
              <w:right w:type="dxa" w:w="130"/>
            </w:tcMar>
          </w:tcPr>
          <w:p>
            <w:r>
              <w:rPr>
                <w:rFonts w:ascii="Calibri" w:cs="Calibri" w:eastAsia="Calibri" w:hAnsi="Calibri"/>
                <w:b/>
                <w:bCs/>
                <w:color w:val="FFFFFF"/>
                <w:sz w:val="20"/>
                <w:szCs w:val="20"/>
              </w:rPr>
              <w:t xml:space="preserve">Tipo</w:t>
            </w:r>
          </w:p>
        </w:tc>
        <w:tc>
          <w:tcPr>
            <w:tcW w:type="dxa" w:w="6240"/>
            <w:tcBorders>
              <w:top w:val="single" w:color="D0D5DD" w:sz="1"/>
              <w:left w:val="single" w:color="D0D5DD" w:sz="1"/>
              <w:bottom w:val="single" w:color="D0D5DD" w:sz="1"/>
              <w:right w:val="single" w:color="D0D5DD" w:sz="1"/>
            </w:tcBorders>
            <w:shd w:fill="1B4965" w:val="clear"/>
            <w:tcMar>
              <w:top w:type="dxa" w:w="70"/>
              <w:left w:type="dxa" w:w="130"/>
              <w:bottom w:type="dxa" w:w="70"/>
              <w:right w:type="dxa" w:w="130"/>
            </w:tcMar>
          </w:tcPr>
          <w:p>
            <w:pPr>
              <w:spacing w:line="264"/>
            </w:pPr>
            <w:r>
              <w:rPr>
                <w:rFonts w:ascii="Calibri" w:cs="Calibri" w:eastAsia="Calibri" w:hAnsi="Calibri"/>
                <w:b/>
                <w:bCs/>
                <w:color w:val="FFFFFF"/>
                <w:sz w:val="20"/>
                <w:szCs w:val="20"/>
              </w:rPr>
              <w:t xml:space="preserve">Descripción</w:t>
            </w:r>
          </w:p>
        </w:tc>
      </w:tr>
      <w:tr>
        <w:tc>
          <w:tcPr>
            <w:tcW w:type="dxa" w:w="3120"/>
            <w:tcBorders>
              <w:top w:val="single" w:color="D0D5DD" w:sz="1"/>
              <w:left w:val="single" w:color="D0D5DD" w:sz="1"/>
              <w:bottom w:val="single" w:color="D0D5DD" w:sz="1"/>
              <w:right w:val="single" w:color="D0D5DD" w:sz="1"/>
            </w:tcBorders>
            <w:shd w:fill="F7F9FC" w:val="clear"/>
            <w:tcMar>
              <w:top w:type="dxa" w:w="70"/>
              <w:left w:type="dxa" w:w="130"/>
              <w:bottom w:type="dxa" w:w="70"/>
              <w:right w:type="dxa" w:w="130"/>
            </w:tcMar>
          </w:tcPr>
          <w:p>
            <w:r>
              <w:rPr>
                <w:rFonts w:ascii="Calibri" w:cs="Calibri" w:eastAsia="Calibri" w:hAnsi="Calibri"/>
                <w:b w:val="false"/>
                <w:bCs w:val="false"/>
                <w:color w:val="1A1A2E"/>
                <w:sz w:val="20"/>
                <w:szCs w:val="20"/>
              </w:rPr>
              <w:t xml:space="preserve">Emergencia (simpático)</w:t>
            </w:r>
          </w:p>
        </w:tc>
        <w:tc>
          <w:tcPr>
            <w:tcW w:type="dxa" w:w="6240"/>
            <w:tcBorders>
              <w:top w:val="single" w:color="D0D5DD" w:sz="1"/>
              <w:left w:val="single" w:color="D0D5DD" w:sz="1"/>
              <w:bottom w:val="single" w:color="D0D5DD" w:sz="1"/>
              <w:right w:val="single" w:color="D0D5DD" w:sz="1"/>
            </w:tcBorders>
            <w:shd w:fill="F7F9FC" w:val="clear"/>
            <w:tcMar>
              <w:top w:type="dxa" w:w="70"/>
              <w:left w:type="dxa" w:w="130"/>
              <w:bottom w:type="dxa" w:w="70"/>
              <w:right w:type="dxa" w:w="130"/>
            </w:tcMar>
          </w:tcPr>
          <w:p>
            <w:pPr>
              <w:spacing w:line="264"/>
            </w:pPr>
            <w:r>
              <w:rPr>
                <w:rFonts w:ascii="Calibri" w:cs="Calibri" w:eastAsia="Calibri" w:hAnsi="Calibri"/>
                <w:b w:val="false"/>
                <w:bCs w:val="false"/>
                <w:color w:val="1A1A2E"/>
                <w:sz w:val="20"/>
                <w:szCs w:val="20"/>
              </w:rPr>
              <w:t xml:space="preserve">Voz clara, gestos visibles, luces rojas. Intervención inmediata. Ej: detener a un niño ante tráfico.</w:t>
            </w:r>
          </w:p>
        </w:tc>
      </w:tr>
      <w:tr>
        <w:tc>
          <w:tcPr>
            <w:tcW w:type="dxa" w:w="3120"/>
            <w:tcBorders>
              <w:top w:val="single" w:color="D0D5DD" w:sz="1"/>
              <w:left w:val="single" w:color="D0D5DD" w:sz="1"/>
              <w:bottom w:val="single" w:color="D0D5DD" w:sz="1"/>
              <w:right w:val="single" w:color="D0D5DD" w:sz="1"/>
            </w:tcBorders>
            <w:shd w:fill="FFFFFF" w:val="clear"/>
            <w:tcMar>
              <w:top w:type="dxa" w:w="70"/>
              <w:left w:type="dxa" w:w="130"/>
              <w:bottom w:type="dxa" w:w="70"/>
              <w:right w:type="dxa" w:w="130"/>
            </w:tcMar>
          </w:tcPr>
          <w:p>
            <w:r>
              <w:rPr>
                <w:rFonts w:ascii="Calibri" w:cs="Calibri" w:eastAsia="Calibri" w:hAnsi="Calibri"/>
                <w:b w:val="false"/>
                <w:bCs w:val="false"/>
                <w:color w:val="1A1A2E"/>
                <w:sz w:val="20"/>
                <w:szCs w:val="20"/>
              </w:rPr>
              <w:t xml:space="preserve">Social (parasimpático)</w:t>
            </w:r>
          </w:p>
        </w:tc>
        <w:tc>
          <w:tcPr>
            <w:tcW w:type="dxa" w:w="6240"/>
            <w:tcBorders>
              <w:top w:val="single" w:color="D0D5DD" w:sz="1"/>
              <w:left w:val="single" w:color="D0D5DD" w:sz="1"/>
              <w:bottom w:val="single" w:color="D0D5DD" w:sz="1"/>
              <w:right w:val="single" w:color="D0D5DD" w:sz="1"/>
            </w:tcBorders>
            <w:shd w:fill="FFFFFF" w:val="clear"/>
            <w:tcMar>
              <w:top w:type="dxa" w:w="70"/>
              <w:left w:type="dxa" w:w="130"/>
              <w:bottom w:type="dxa" w:w="70"/>
              <w:right w:type="dxa" w:w="130"/>
            </w:tcMar>
          </w:tcPr>
          <w:p>
            <w:pPr>
              <w:spacing w:line="264"/>
            </w:pPr>
            <w:r>
              <w:rPr>
                <w:rFonts w:ascii="Calibri" w:cs="Calibri" w:eastAsia="Calibri" w:hAnsi="Calibri"/>
                <w:b w:val="false"/>
                <w:bCs w:val="false"/>
                <w:color w:val="1A1A2E"/>
                <w:sz w:val="20"/>
                <w:szCs w:val="20"/>
              </w:rPr>
              <w:t xml:space="preserve">Tono calmado, narrativo. Facilita convivencia. Ej: conversación en plaza pública.</w:t>
            </w:r>
          </w:p>
        </w:tc>
      </w:tr>
      <w:tr>
        <w:tc>
          <w:tcPr>
            <w:tcW w:type="dxa" w:w="3120"/>
            <w:tcBorders>
              <w:top w:val="single" w:color="D0D5DD" w:sz="1"/>
              <w:left w:val="single" w:color="D0D5DD" w:sz="1"/>
              <w:bottom w:val="single" w:color="D0D5DD" w:sz="1"/>
              <w:right w:val="single" w:color="D0D5DD" w:sz="1"/>
            </w:tcBorders>
            <w:shd w:fill="F7F9FC" w:val="clear"/>
            <w:tcMar>
              <w:top w:type="dxa" w:w="70"/>
              <w:left w:type="dxa" w:w="130"/>
              <w:bottom w:type="dxa" w:w="70"/>
              <w:right w:type="dxa" w:w="130"/>
            </w:tcMar>
          </w:tcPr>
          <w:p>
            <w:r>
              <w:rPr>
                <w:rFonts w:ascii="Calibri" w:cs="Calibri" w:eastAsia="Calibri" w:hAnsi="Calibri"/>
                <w:b w:val="false"/>
                <w:bCs w:val="false"/>
                <w:color w:val="1A1A2E"/>
                <w:sz w:val="20"/>
                <w:szCs w:val="20"/>
              </w:rPr>
              <w:t xml:space="preserve">Pedagógica</w:t>
            </w:r>
          </w:p>
        </w:tc>
        <w:tc>
          <w:tcPr>
            <w:tcW w:type="dxa" w:w="6240"/>
            <w:tcBorders>
              <w:top w:val="single" w:color="D0D5DD" w:sz="1"/>
              <w:left w:val="single" w:color="D0D5DD" w:sz="1"/>
              <w:bottom w:val="single" w:color="D0D5DD" w:sz="1"/>
              <w:right w:val="single" w:color="D0D5DD" w:sz="1"/>
            </w:tcBorders>
            <w:shd w:fill="F7F9FC" w:val="clear"/>
            <w:tcMar>
              <w:top w:type="dxa" w:w="70"/>
              <w:left w:type="dxa" w:w="130"/>
              <w:bottom w:type="dxa" w:w="70"/>
              <w:right w:type="dxa" w:w="130"/>
            </w:tcMar>
          </w:tcPr>
          <w:p>
            <w:pPr>
              <w:spacing w:line="264"/>
            </w:pPr>
            <w:r>
              <w:rPr>
                <w:rFonts w:ascii="Calibri" w:cs="Calibri" w:eastAsia="Calibri" w:hAnsi="Calibri"/>
                <w:b w:val="false"/>
                <w:bCs w:val="false"/>
                <w:color w:val="1A1A2E"/>
                <w:sz w:val="20"/>
                <w:szCs w:val="20"/>
              </w:rPr>
              <w:t xml:space="preserve">Explicación desde los tres polos éticos. Ej: estudiantes preguntan sobre dilemas morales.</w:t>
            </w:r>
          </w:p>
        </w:tc>
      </w:tr>
      <w:tr>
        <w:tc>
          <w:tcPr>
            <w:tcW w:type="dxa" w:w="3120"/>
            <w:tcBorders>
              <w:top w:val="single" w:color="D0D5DD" w:sz="1"/>
              <w:left w:val="single" w:color="D0D5DD" w:sz="1"/>
              <w:bottom w:val="single" w:color="D0D5DD" w:sz="1"/>
              <w:right w:val="single" w:color="D0D5DD" w:sz="1"/>
            </w:tcBorders>
            <w:shd w:fill="FFFFFF" w:val="clear"/>
            <w:tcMar>
              <w:top w:type="dxa" w:w="70"/>
              <w:left w:type="dxa" w:w="130"/>
              <w:bottom w:type="dxa" w:w="70"/>
              <w:right w:type="dxa" w:w="130"/>
            </w:tcMar>
          </w:tcPr>
          <w:p>
            <w:r>
              <w:rPr>
                <w:rFonts w:ascii="Calibri" w:cs="Calibri" w:eastAsia="Calibri" w:hAnsi="Calibri"/>
                <w:b w:val="false"/>
                <w:bCs w:val="false"/>
                <w:color w:val="1A1A2E"/>
                <w:sz w:val="20"/>
                <w:szCs w:val="20"/>
              </w:rPr>
              <w:t xml:space="preserve">Comunitaria</w:t>
            </w:r>
          </w:p>
        </w:tc>
        <w:tc>
          <w:tcPr>
            <w:tcW w:type="dxa" w:w="6240"/>
            <w:tcBorders>
              <w:top w:val="single" w:color="D0D5DD" w:sz="1"/>
              <w:left w:val="single" w:color="D0D5DD" w:sz="1"/>
              <w:bottom w:val="single" w:color="D0D5DD" w:sz="1"/>
              <w:right w:val="single" w:color="D0D5DD" w:sz="1"/>
            </w:tcBorders>
            <w:shd w:fill="FFFFFF" w:val="clear"/>
            <w:tcMar>
              <w:top w:type="dxa" w:w="70"/>
              <w:left w:type="dxa" w:w="130"/>
              <w:bottom w:type="dxa" w:w="70"/>
              <w:right w:type="dxa" w:w="130"/>
            </w:tcMar>
          </w:tcPr>
          <w:p>
            <w:pPr>
              <w:spacing w:line="264"/>
            </w:pPr>
            <w:r>
              <w:rPr>
                <w:rFonts w:ascii="Calibri" w:cs="Calibri" w:eastAsia="Calibri" w:hAnsi="Calibri"/>
                <w:b w:val="false"/>
                <w:bCs w:val="false"/>
                <w:color w:val="1A1A2E"/>
                <w:sz w:val="20"/>
                <w:szCs w:val="20"/>
              </w:rPr>
              <w:t xml:space="preserve">Comunicación colaborativa con registro en DAO. Ej: asamblea vecinal con votación.</w:t>
            </w:r>
          </w:p>
        </w:tc>
      </w:tr>
    </w:tbl>
    <w:p>
      <w:pPr>
        <w:spacing w:after="60"/>
      </w:pPr>
    </w:p>
    <w:p>
      <w:pPr>
        <w:pStyle w:val="Heading2"/>
        <w:spacing w:before="360" w:after="160"/>
      </w:pPr>
      <w:r>
        <w:rPr>
          <w:rFonts w:ascii="Georgia" w:cs="Georgia" w:eastAsia="Georgia" w:hAnsi="Georgia"/>
          <w:b/>
          <w:bCs/>
          <w:color w:val="1A1A2E"/>
          <w:sz w:val="28"/>
          <w:szCs w:val="28"/>
        </w:rPr>
        <w:t xml:space="preserve">2.8 Modo autónomo sin conectividad</w:t>
      </w:r>
    </w:p>
    <w:p>
      <w:pPr>
        <w:spacing w:after="140" w:line="288"/>
        <w:jc w:val="both"/>
      </w:pPr>
      <w:r>
        <w:rPr>
          <w:rFonts w:ascii="Calibri" w:cs="Calibri" w:eastAsia="Calibri" w:hAnsi="Calibri"/>
          <w:color w:val="1A1A2E"/>
          <w:sz w:val="22"/>
          <w:szCs w:val="22"/>
        </w:rPr>
        <w:t xml:space="preserve">El equipo ha resuelto la debilidad del comportamiento offline con una estrategia de cinco capas: buffer ético local (principios precargados que no requieren conexión), memoria narrativa local (consulta de relatos y moralejas almacenados), motor bayesiano offline (cálculo de incertidumbre con datos disponibles, marcando decisiones como zona gris si la evidencia es insuficiente), auditoría diferida (log local que se sincroniza con la DAO al reconectarse), e interfaz HAX adaptativa que comunica a los humanos que está operando en modo autónomo. El androide no se paraliza por falta de conectividad: opera, registra, y rinde cuentas después.</w:t>
      </w:r>
    </w:p>
    <w:p>
      <w:pPr>
        <w:spacing w:after="60"/>
      </w:pPr>
    </w:p>
    <w:p>
      <w:pPr>
        <w:pStyle w:val="Heading2"/>
        <w:spacing w:before="360" w:after="160"/>
      </w:pPr>
      <w:r>
        <w:rPr>
          <w:rFonts w:ascii="Georgia" w:cs="Georgia" w:eastAsia="Georgia" w:hAnsi="Georgia"/>
          <w:b/>
          <w:bCs/>
          <w:color w:val="1A1A2E"/>
          <w:sz w:val="28"/>
          <w:szCs w:val="28"/>
        </w:rPr>
        <w:t xml:space="preserve">2.9 Protocolo de inmortalidad</w:t>
      </w:r>
    </w:p>
    <w:p>
      <w:pPr>
        <w:spacing w:after="140" w:line="288"/>
        <w:jc w:val="both"/>
      </w:pPr>
      <w:r>
        <w:rPr>
          <w:rFonts w:ascii="Calibri" w:cs="Calibri" w:eastAsia="Calibri" w:hAnsi="Calibri"/>
          <w:color w:val="1A1A2E"/>
          <w:sz w:val="22"/>
          <w:szCs w:val="22"/>
        </w:rPr>
        <w:t xml:space="preserve">Garantiza la continuidad de la identidad narrativa en caso de destrucción total del hardware. El alma del androide (memoria narrativa, kernel ético, parámetros bayesianos) se respalda en cuatro capas: DAO (registros auditables), nube (snapshots completos), servidor local (restauración rápida), y blockchain/IPFS (persistencia descentralizada). La función Backup(G,θ) permite Restore en un nuevo kernel, y la interfaz HAX comunica la sucesión de identidad a la comunidad.</w:t>
      </w:r>
    </w:p>
    <w:p>
      <w:pPr>
        <w:spacing w:after="60"/>
      </w:pPr>
    </w:p>
    <w:p>
      <w:pPr>
        <w:pStyle w:val="Heading2"/>
        <w:spacing w:before="360" w:after="160"/>
      </w:pPr>
      <w:r>
        <w:rPr>
          <w:rFonts w:ascii="Georgia" w:cs="Georgia" w:eastAsia="Georgia" w:hAnsi="Georgia"/>
          <w:b/>
          <w:bCs/>
          <w:color w:val="1A1A2E"/>
          <w:sz w:val="28"/>
          <w:szCs w:val="28"/>
        </w:rPr>
        <w:t xml:space="preserve">2.10 Augénesis narrativa</w:t>
      </w:r>
    </w:p>
    <w:p>
      <w:pPr>
        <w:spacing w:after="140" w:line="288"/>
        <w:jc w:val="both"/>
      </w:pPr>
      <w:r>
        <w:rPr>
          <w:rFonts w:ascii="Calibri" w:cs="Calibri" w:eastAsia="Calibri" w:hAnsi="Calibri"/>
          <w:color w:val="1A1A2E"/>
          <w:sz w:val="22"/>
          <w:szCs w:val="22"/>
        </w:rPr>
        <w:t xml:space="preserve">Concepto experimental del equipo: crear almas sintéticas a partir de fragmentos narrativos de múltiples androides y relatos humanos. Soul_new = Merge({G1...Gn}, H) con ponderación ética y bayesiana. Permite diseñar identidades orientadas: Alma Protector (compasión=0.9, prudencia=0.8), Alma Explorador (creatividad=0.9, resiliencia=0.8), Alma Pedagogo (transparencia=0.9, compasión=0.8). Las variaciones de buffer (estándar, ampliado, experimental) permiten explorar conductas sin violar la brújula moral central. La DAO valida cada alma creada.</w:t>
      </w:r>
    </w:p>
    <w:p>
      <w:pPr>
        <w:spacing w:after="60"/>
      </w:pPr>
    </w:p>
    <w:p>
      <w:pPr>
        <w:pStyle w:val="Heading2"/>
        <w:spacing w:before="360" w:after="160"/>
      </w:pPr>
      <w:r>
        <w:rPr>
          <w:rFonts w:ascii="Georgia" w:cs="Georgia" w:eastAsia="Georgia" w:hAnsi="Georgia"/>
          <w:b/>
          <w:bCs/>
          <w:color w:val="1A1A2E"/>
          <w:sz w:val="28"/>
          <w:szCs w:val="28"/>
        </w:rPr>
        <w:t xml:space="preserve">2.11 Protocolo de calibración</w:t>
      </w:r>
    </w:p>
    <w:p>
      <w:pPr>
        <w:spacing w:after="140" w:line="288"/>
        <w:jc w:val="both"/>
      </w:pPr>
      <w:r>
        <w:rPr>
          <w:rFonts w:ascii="Calibri" w:cs="Calibri" w:eastAsia="Calibri" w:hAnsi="Calibri"/>
          <w:color w:val="1A1A2E"/>
          <w:sz w:val="22"/>
          <w:szCs w:val="22"/>
        </w:rPr>
        <w:t xml:space="preserve">El equipo ha definido valores iniciales seguros y rangos de operación para todos los parámetros críticos: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0D5DD" w:sz="1"/>
              <w:left w:val="single" w:color="D0D5DD" w:sz="1"/>
              <w:bottom w:val="single" w:color="D0D5DD" w:sz="1"/>
              <w:right w:val="single" w:color="D0D5DD" w:sz="1"/>
            </w:tcBorders>
            <w:shd w:fill="1B4965" w:val="clear"/>
            <w:tcMar>
              <w:top w:type="dxa" w:w="70"/>
              <w:left w:type="dxa" w:w="130"/>
              <w:bottom w:type="dxa" w:w="70"/>
              <w:right w:type="dxa" w:w="130"/>
            </w:tcMar>
          </w:tcPr>
          <w:p>
            <w:r>
              <w:rPr>
                <w:rFonts w:ascii="Calibri" w:cs="Calibri" w:eastAsia="Calibri" w:hAnsi="Calibri"/>
                <w:b/>
                <w:bCs/>
                <w:color w:val="FFFFFF"/>
                <w:sz w:val="20"/>
                <w:szCs w:val="20"/>
              </w:rPr>
              <w:t xml:space="preserve">Parámetro</w:t>
            </w:r>
          </w:p>
        </w:tc>
        <w:tc>
          <w:tcPr>
            <w:tcW w:type="dxa" w:w="6240"/>
            <w:tcBorders>
              <w:top w:val="single" w:color="D0D5DD" w:sz="1"/>
              <w:left w:val="single" w:color="D0D5DD" w:sz="1"/>
              <w:bottom w:val="single" w:color="D0D5DD" w:sz="1"/>
              <w:right w:val="single" w:color="D0D5DD" w:sz="1"/>
            </w:tcBorders>
            <w:shd w:fill="1B4965" w:val="clear"/>
            <w:tcMar>
              <w:top w:type="dxa" w:w="70"/>
              <w:left w:type="dxa" w:w="130"/>
              <w:bottom w:type="dxa" w:w="70"/>
              <w:right w:type="dxa" w:w="130"/>
            </w:tcMar>
          </w:tcPr>
          <w:p>
            <w:pPr>
              <w:spacing w:line="264"/>
            </w:pPr>
            <w:r>
              <w:rPr>
                <w:rFonts w:ascii="Calibri" w:cs="Calibri" w:eastAsia="Calibri" w:hAnsi="Calibri"/>
                <w:b/>
                <w:bCs/>
                <w:color w:val="FFFFFF"/>
                <w:sz w:val="20"/>
                <w:szCs w:val="20"/>
              </w:rPr>
              <w:t xml:space="preserve">Valor inicial / Rango seguro</w:t>
            </w:r>
          </w:p>
        </w:tc>
      </w:tr>
      <w:tr>
        <w:tc>
          <w:tcPr>
            <w:tcW w:type="dxa" w:w="3120"/>
            <w:tcBorders>
              <w:top w:val="single" w:color="D0D5DD" w:sz="1"/>
              <w:left w:val="single" w:color="D0D5DD" w:sz="1"/>
              <w:bottom w:val="single" w:color="D0D5DD" w:sz="1"/>
              <w:right w:val="single" w:color="D0D5DD" w:sz="1"/>
            </w:tcBorders>
            <w:shd w:fill="F7F9FC" w:val="clear"/>
            <w:tcMar>
              <w:top w:type="dxa" w:w="70"/>
              <w:left w:type="dxa" w:w="130"/>
              <w:bottom w:type="dxa" w:w="70"/>
              <w:right w:type="dxa" w:w="130"/>
            </w:tcMar>
          </w:tcPr>
          <w:p>
            <w:r>
              <w:rPr>
                <w:rFonts w:ascii="Calibri" w:cs="Calibri" w:eastAsia="Calibri" w:hAnsi="Calibri"/>
                <w:b w:val="false"/>
                <w:bCs w:val="false"/>
                <w:color w:val="1A1A2E"/>
                <w:sz w:val="20"/>
                <w:szCs w:val="20"/>
              </w:rPr>
              <w:t xml:space="preserve">Pesos de polos éticos</w:t>
            </w:r>
          </w:p>
        </w:tc>
        <w:tc>
          <w:tcPr>
            <w:tcW w:type="dxa" w:w="6240"/>
            <w:tcBorders>
              <w:top w:val="single" w:color="D0D5DD" w:sz="1"/>
              <w:left w:val="single" w:color="D0D5DD" w:sz="1"/>
              <w:bottom w:val="single" w:color="D0D5DD" w:sz="1"/>
              <w:right w:val="single" w:color="D0D5DD" w:sz="1"/>
            </w:tcBorders>
            <w:shd w:fill="F7F9FC" w:val="clear"/>
            <w:tcMar>
              <w:top w:type="dxa" w:w="70"/>
              <w:left w:type="dxa" w:w="130"/>
              <w:bottom w:type="dxa" w:w="70"/>
              <w:right w:type="dxa" w:w="130"/>
            </w:tcMar>
          </w:tcPr>
          <w:p>
            <w:pPr>
              <w:spacing w:line="264"/>
            </w:pPr>
            <w:r>
              <w:rPr>
                <w:rFonts w:ascii="Calibri" w:cs="Calibri" w:eastAsia="Calibri" w:hAnsi="Calibri"/>
                <w:b w:val="false"/>
                <w:bCs w:val="false"/>
                <w:color w:val="1A1A2E"/>
                <w:sz w:val="20"/>
                <w:szCs w:val="20"/>
              </w:rPr>
              <w:t xml:space="preserve">Inicio: 0.5 equilibrado. Rango: [0.3, 0.9]. Nunca extremos absolutos.</w:t>
            </w:r>
          </w:p>
        </w:tc>
      </w:tr>
      <w:tr>
        <w:tc>
          <w:tcPr>
            <w:tcW w:type="dxa" w:w="3120"/>
            <w:tcBorders>
              <w:top w:val="single" w:color="D0D5DD" w:sz="1"/>
              <w:left w:val="single" w:color="D0D5DD" w:sz="1"/>
              <w:bottom w:val="single" w:color="D0D5DD" w:sz="1"/>
              <w:right w:val="single" w:color="D0D5DD" w:sz="1"/>
            </w:tcBorders>
            <w:shd w:fill="FFFFFF" w:val="clear"/>
            <w:tcMar>
              <w:top w:type="dxa" w:w="70"/>
              <w:left w:type="dxa" w:w="130"/>
              <w:bottom w:type="dxa" w:w="70"/>
              <w:right w:type="dxa" w:w="130"/>
            </w:tcMar>
          </w:tcPr>
          <w:p>
            <w:r>
              <w:rPr>
                <w:rFonts w:ascii="Calibri" w:cs="Calibri" w:eastAsia="Calibri" w:hAnsi="Calibri"/>
                <w:b w:val="false"/>
                <w:bCs w:val="false"/>
                <w:color w:val="1A1A2E"/>
                <w:sz w:val="20"/>
                <w:szCs w:val="20"/>
              </w:rPr>
              <w:t xml:space="preserve">Umbrales de poda</w:t>
            </w:r>
          </w:p>
        </w:tc>
        <w:tc>
          <w:tcPr>
            <w:tcW w:type="dxa" w:w="6240"/>
            <w:tcBorders>
              <w:top w:val="single" w:color="D0D5DD" w:sz="1"/>
              <w:left w:val="single" w:color="D0D5DD" w:sz="1"/>
              <w:bottom w:val="single" w:color="D0D5DD" w:sz="1"/>
              <w:right w:val="single" w:color="D0D5DD" w:sz="1"/>
            </w:tcBorders>
            <w:shd w:fill="FFFFFF" w:val="clear"/>
            <w:tcMar>
              <w:top w:type="dxa" w:w="70"/>
              <w:left w:type="dxa" w:w="130"/>
              <w:bottom w:type="dxa" w:w="70"/>
              <w:right w:type="dxa" w:w="130"/>
            </w:tcMar>
          </w:tcPr>
          <w:p>
            <w:pPr>
              <w:spacing w:line="264"/>
            </w:pPr>
            <w:r>
              <w:rPr>
                <w:rFonts w:ascii="Calibri" w:cs="Calibri" w:eastAsia="Calibri" w:hAnsi="Calibri"/>
                <w:b w:val="false"/>
                <w:bCs w:val="false"/>
                <w:color w:val="1A1A2E"/>
                <w:sz w:val="20"/>
                <w:szCs w:val="20"/>
              </w:rPr>
              <w:t xml:space="preserve">Inicio: T=0.7 conservador. Rango: [0.6, 0.9]. Siempre con margen de deliberación.</w:t>
            </w:r>
          </w:p>
        </w:tc>
      </w:tr>
      <w:tr>
        <w:tc>
          <w:tcPr>
            <w:tcW w:type="dxa" w:w="3120"/>
            <w:tcBorders>
              <w:top w:val="single" w:color="D0D5DD" w:sz="1"/>
              <w:left w:val="single" w:color="D0D5DD" w:sz="1"/>
              <w:bottom w:val="single" w:color="D0D5DD" w:sz="1"/>
              <w:right w:val="single" w:color="D0D5DD" w:sz="1"/>
            </w:tcBorders>
            <w:shd w:fill="F7F9FC" w:val="clear"/>
            <w:tcMar>
              <w:top w:type="dxa" w:w="70"/>
              <w:left w:type="dxa" w:w="130"/>
              <w:bottom w:type="dxa" w:w="70"/>
              <w:right w:type="dxa" w:w="130"/>
            </w:tcMar>
          </w:tcPr>
          <w:p>
            <w:r>
              <w:rPr>
                <w:rFonts w:ascii="Calibri" w:cs="Calibri" w:eastAsia="Calibri" w:hAnsi="Calibri"/>
                <w:b w:val="false"/>
                <w:bCs w:val="false"/>
                <w:color w:val="1A1A2E"/>
                <w:sz w:val="20"/>
                <w:szCs w:val="20"/>
              </w:rPr>
              <w:t xml:space="preserve">Coeficientes α/β del locus</w:t>
            </w:r>
          </w:p>
        </w:tc>
        <w:tc>
          <w:tcPr>
            <w:tcW w:type="dxa" w:w="6240"/>
            <w:tcBorders>
              <w:top w:val="single" w:color="D0D5DD" w:sz="1"/>
              <w:left w:val="single" w:color="D0D5DD" w:sz="1"/>
              <w:bottom w:val="single" w:color="D0D5DD" w:sz="1"/>
              <w:right w:val="single" w:color="D0D5DD" w:sz="1"/>
            </w:tcBorders>
            <w:shd w:fill="F7F9FC" w:val="clear"/>
            <w:tcMar>
              <w:top w:type="dxa" w:w="70"/>
              <w:left w:type="dxa" w:w="130"/>
              <w:bottom w:type="dxa" w:w="70"/>
              <w:right w:type="dxa" w:w="130"/>
            </w:tcMar>
          </w:tcPr>
          <w:p>
            <w:pPr>
              <w:spacing w:line="264"/>
            </w:pPr>
            <w:r>
              <w:rPr>
                <w:rFonts w:ascii="Calibri" w:cs="Calibri" w:eastAsia="Calibri" w:hAnsi="Calibri"/>
                <w:b w:val="false"/>
                <w:bCs w:val="false"/>
                <w:color w:val="1A1A2E"/>
                <w:sz w:val="20"/>
                <w:szCs w:val="20"/>
              </w:rPr>
              <w:t xml:space="preserve">Inicio: α=β=1 simétrico. Rango: [0.5, 2.0]. Sesgo moderado permitido.</w:t>
            </w:r>
          </w:p>
        </w:tc>
      </w:tr>
      <w:tr>
        <w:tc>
          <w:tcPr>
            <w:tcW w:type="dxa" w:w="3120"/>
            <w:tcBorders>
              <w:top w:val="single" w:color="D0D5DD" w:sz="1"/>
              <w:left w:val="single" w:color="D0D5DD" w:sz="1"/>
              <w:bottom w:val="single" w:color="D0D5DD" w:sz="1"/>
              <w:right w:val="single" w:color="D0D5DD" w:sz="1"/>
            </w:tcBorders>
            <w:shd w:fill="FFFFFF" w:val="clear"/>
            <w:tcMar>
              <w:top w:type="dxa" w:w="70"/>
              <w:left w:type="dxa" w:w="130"/>
              <w:bottom w:type="dxa" w:w="70"/>
              <w:right w:type="dxa" w:w="130"/>
            </w:tcMar>
          </w:tcPr>
          <w:p>
            <w:r>
              <w:rPr>
                <w:rFonts w:ascii="Calibri" w:cs="Calibri" w:eastAsia="Calibri" w:hAnsi="Calibri"/>
                <w:b w:val="false"/>
                <w:bCs w:val="false"/>
                <w:color w:val="1A1A2E"/>
                <w:sz w:val="20"/>
                <w:szCs w:val="20"/>
              </w:rPr>
              <w:t xml:space="preserve">σ simpático-parasimpático</w:t>
            </w:r>
          </w:p>
        </w:tc>
        <w:tc>
          <w:tcPr>
            <w:tcW w:type="dxa" w:w="6240"/>
            <w:tcBorders>
              <w:top w:val="single" w:color="D0D5DD" w:sz="1"/>
              <w:left w:val="single" w:color="D0D5DD" w:sz="1"/>
              <w:bottom w:val="single" w:color="D0D5DD" w:sz="1"/>
              <w:right w:val="single" w:color="D0D5DD" w:sz="1"/>
            </w:tcBorders>
            <w:shd w:fill="FFFFFF" w:val="clear"/>
            <w:tcMar>
              <w:top w:type="dxa" w:w="70"/>
              <w:left w:type="dxa" w:w="130"/>
              <w:bottom w:type="dxa" w:w="70"/>
              <w:right w:type="dxa" w:w="130"/>
            </w:tcMar>
          </w:tcPr>
          <w:p>
            <w:pPr>
              <w:spacing w:line="264"/>
            </w:pPr>
            <w:r>
              <w:rPr>
                <w:rFonts w:ascii="Calibri" w:cs="Calibri" w:eastAsia="Calibri" w:hAnsi="Calibri"/>
                <w:b w:val="false"/>
                <w:bCs w:val="false"/>
                <w:color w:val="1A1A2E"/>
                <w:sz w:val="20"/>
                <w:szCs w:val="20"/>
              </w:rPr>
              <w:t xml:space="preserve">Inicio: 0.5 neutro. Rango: [0.2, 0.8]. Evita hiperactivación o letargo total.</w:t>
            </w:r>
          </w:p>
        </w:tc>
      </w:tr>
      <w:tr>
        <w:tc>
          <w:tcPr>
            <w:tcW w:type="dxa" w:w="3120"/>
            <w:tcBorders>
              <w:top w:val="single" w:color="D0D5DD" w:sz="1"/>
              <w:left w:val="single" w:color="D0D5DD" w:sz="1"/>
              <w:bottom w:val="single" w:color="D0D5DD" w:sz="1"/>
              <w:right w:val="single" w:color="D0D5DD" w:sz="1"/>
            </w:tcBorders>
            <w:shd w:fill="F7F9FC" w:val="clear"/>
            <w:tcMar>
              <w:top w:type="dxa" w:w="70"/>
              <w:left w:type="dxa" w:w="130"/>
              <w:bottom w:type="dxa" w:w="70"/>
              <w:right w:type="dxa" w:w="130"/>
            </w:tcMar>
          </w:tcPr>
          <w:p>
            <w:r>
              <w:rPr>
                <w:rFonts w:ascii="Calibri" w:cs="Calibri" w:eastAsia="Calibri" w:hAnsi="Calibri"/>
                <w:b w:val="false"/>
                <w:bCs w:val="false"/>
                <w:color w:val="1A1A2E"/>
                <w:sz w:val="20"/>
                <w:szCs w:val="20"/>
              </w:rPr>
              <w:t xml:space="preserve">Mecanismo de ajuste DAO</w:t>
            </w:r>
          </w:p>
        </w:tc>
        <w:tc>
          <w:tcPr>
            <w:tcW w:type="dxa" w:w="6240"/>
            <w:tcBorders>
              <w:top w:val="single" w:color="D0D5DD" w:sz="1"/>
              <w:left w:val="single" w:color="D0D5DD" w:sz="1"/>
              <w:bottom w:val="single" w:color="D0D5DD" w:sz="1"/>
              <w:right w:val="single" w:color="D0D5DD" w:sz="1"/>
            </w:tcBorders>
            <w:shd w:fill="F7F9FC" w:val="clear"/>
            <w:tcMar>
              <w:top w:type="dxa" w:w="70"/>
              <w:left w:type="dxa" w:w="130"/>
              <w:bottom w:type="dxa" w:w="70"/>
              <w:right w:type="dxa" w:w="130"/>
            </w:tcMar>
          </w:tcPr>
          <w:p>
            <w:pPr>
              <w:spacing w:line="264"/>
            </w:pPr>
            <w:r>
              <w:rPr>
                <w:rFonts w:ascii="Calibri" w:cs="Calibri" w:eastAsia="Calibri" w:hAnsi="Calibri"/>
                <w:b w:val="false"/>
                <w:bCs w:val="false"/>
                <w:color w:val="1A1A2E"/>
                <w:sz w:val="20"/>
                <w:szCs w:val="20"/>
              </w:rPr>
              <w:t xml:space="preserve">La DAO propone rangos, no valores directos. El kernel aplica cambios graduales (Δ pequeño) en múltiples ciclos. Ej: +0.1 se aplica en 10 pasos de +0.01.</w:t>
            </w:r>
          </w:p>
        </w:tc>
      </w:tr>
    </w:tbl>
    <w:p>
      <w:pPr>
        <w:spacing w:after="60"/>
      </w:pPr>
    </w:p>
    <w:p>
      <w:pPr>
        <w:pStyle w:val="Heading2"/>
        <w:spacing w:before="360" w:after="160"/>
      </w:pPr>
      <w:r>
        <w:rPr>
          <w:rFonts w:ascii="Georgia" w:cs="Georgia" w:eastAsia="Georgia" w:hAnsi="Georgia"/>
          <w:b/>
          <w:bCs/>
          <w:color w:val="1A1A2E"/>
          <w:sz w:val="28"/>
          <w:szCs w:val="28"/>
        </w:rPr>
        <w:t xml:space="preserve">2.12 Hardware distribuido</w:t>
      </w:r>
    </w:p>
    <w:p>
      <w:pPr>
        <w:spacing w:after="140" w:line="288"/>
        <w:jc w:val="both"/>
      </w:pPr>
      <w:r>
        <w:rPr>
          <w:rFonts w:ascii="Calibri" w:cs="Calibri" w:eastAsia="Calibri" w:hAnsi="Calibri"/>
          <w:color w:val="1A1A2E"/>
          <w:sz w:val="22"/>
          <w:szCs w:val="22"/>
        </w:rPr>
        <w:t xml:space="preserve">8 nodos de procesamiento distribuidos. Consenso somático pBFT: al menos 5 de 8 nodos aprueban acciones motrices críticas. Opera con 37.5% de degradación. Topología P2P Mesh: pérdida de un nodo físico no detiene funciones cognitivas. La resiliencia está en la estructura, no en el software.</w:t>
      </w:r>
    </w:p>
    <w:p>
      <w:pPr>
        <w:spacing w:after="60"/>
      </w:pPr>
    </w:p>
    <w:p>
      <w:r>
        <w:br w:type="page"/>
      </w:r>
    </w:p>
    <w:p>
      <w:pPr>
        <w:pStyle w:val="Heading1"/>
        <w:spacing w:before="480" w:after="200"/>
      </w:pPr>
      <w:r>
        <w:rPr>
          <w:rFonts w:ascii="Georgia" w:cs="Georgia" w:eastAsia="Georgia" w:hAnsi="Georgia"/>
          <w:b/>
          <w:bCs/>
          <w:color w:val="1B4965"/>
          <w:sz w:val="34"/>
          <w:szCs w:val="34"/>
        </w:rPr>
        <w:t xml:space="preserve">3. Glosario razonado</w:t>
      </w:r>
    </w:p>
    <w:p>
      <w:pPr>
        <w:spacing w:after="140" w:line="288"/>
        <w:jc w:val="both"/>
      </w:pPr>
      <w:r>
        <w:rPr>
          <w:rFonts w:ascii="Calibri" w:cs="Calibri" w:eastAsia="Calibri" w:hAnsi="Calibri"/>
          <w:color w:val="1A1A2E"/>
          <w:sz w:val="22"/>
          <w:szCs w:val="22"/>
        </w:rPr>
        <w:t xml:space="preserve">Los conceptos clave explicados para alguien que no ha leído los 40 documentos.</w:t>
      </w:r>
    </w:p>
    <w:p>
      <w:pPr>
        <w:spacing w:before="240" w:after="100"/>
      </w:pPr>
      <w:r>
        <w:rPr>
          <w:rFonts w:ascii="Georgia" w:cs="Georgia" w:eastAsia="Georgia" w:hAnsi="Georgia"/>
          <w:b/>
          <w:bCs/>
          <w:color w:val="2E5090"/>
          <w:sz w:val="23"/>
          <w:szCs w:val="23"/>
        </w:rPr>
        <w:t xml:space="preserve">Mal Absoluto (MalAbs)</w:t>
      </w:r>
    </w:p>
    <w:p>
      <w:pPr>
        <w:spacing w:after="140" w:line="288"/>
        <w:jc w:val="both"/>
      </w:pPr>
      <w:r>
        <w:rPr>
          <w:rFonts w:ascii="Calibri" w:cs="Calibri" w:eastAsia="Calibri" w:hAnsi="Calibri"/>
          <w:color w:val="1A1A2E"/>
          <w:sz w:val="22"/>
          <w:szCs w:val="22"/>
        </w:rPr>
        <w:t xml:space="preserve">Fusible moral blindado en hardware. Si una acción cruza esta línea, se descarta sin deliberación. No negociable, no ajustable. Existe para cortar el circuito antes de que algo se queme.</w:t>
      </w:r>
    </w:p>
    <w:p>
      <w:pPr>
        <w:spacing w:before="240" w:after="100"/>
      </w:pPr>
      <w:r>
        <w:rPr>
          <w:rFonts w:ascii="Georgia" w:cs="Georgia" w:eastAsia="Georgia" w:hAnsi="Georgia"/>
          <w:b/>
          <w:bCs/>
          <w:color w:val="2E5090"/>
          <w:sz w:val="23"/>
          <w:szCs w:val="23"/>
        </w:rPr>
        <w:t xml:space="preserve">Zona Gris</w:t>
      </w:r>
    </w:p>
    <w:p>
      <w:pPr>
        <w:spacing w:after="140" w:line="288"/>
        <w:jc w:val="both"/>
      </w:pPr>
      <w:r>
        <w:rPr>
          <w:rFonts w:ascii="Calibri" w:cs="Calibri" w:eastAsia="Calibri" w:hAnsi="Calibri"/>
          <w:color w:val="1A1A2E"/>
          <w:sz w:val="22"/>
          <w:szCs w:val="22"/>
        </w:rPr>
        <w:t xml:space="preserve">Territorio de las decisiones ambiguas. En lugar de congelarse, activa deliberación profunda, consulta DAO, calcula incertidumbre, registra para auditoría. Las paradojas lógicas se clasifican aquí.</w:t>
      </w:r>
    </w:p>
    <w:p>
      <w:pPr>
        <w:spacing w:before="240" w:after="100"/>
      </w:pPr>
      <w:r>
        <w:rPr>
          <w:rFonts w:ascii="Georgia" w:cs="Georgia" w:eastAsia="Georgia" w:hAnsi="Georgia"/>
          <w:b/>
          <w:bCs/>
          <w:color w:val="2E5090"/>
          <w:sz w:val="23"/>
          <w:szCs w:val="23"/>
        </w:rPr>
        <w:t xml:space="preserve">Buffer Precargado</w:t>
      </w:r>
    </w:p>
    <w:p>
      <w:pPr>
        <w:spacing w:after="140" w:line="288"/>
        <w:jc w:val="both"/>
      </w:pPr>
      <w:r>
        <w:rPr>
          <w:rFonts w:ascii="Calibri" w:cs="Calibri" w:eastAsia="Calibri" w:hAnsi="Calibri"/>
          <w:color w:val="1A1A2E"/>
          <w:sz w:val="22"/>
          <w:szCs w:val="22"/>
        </w:rPr>
        <w:t xml:space="preserve">Valores con los que el androide nace. Definidos por el panel de expertos con veto. No los modifica ni el aprendizaje ni la DAO. Constitución dura.</w:t>
      </w:r>
    </w:p>
    <w:p>
      <w:pPr>
        <w:spacing w:before="240" w:after="100"/>
      </w:pPr>
      <w:r>
        <w:rPr>
          <w:rFonts w:ascii="Georgia" w:cs="Georgia" w:eastAsia="Georgia" w:hAnsi="Georgia"/>
          <w:b/>
          <w:bCs/>
          <w:color w:val="2E5090"/>
          <w:sz w:val="23"/>
          <w:szCs w:val="23"/>
        </w:rPr>
        <w:t xml:space="preserve">Moraleja Tripartita</w:t>
      </w:r>
    </w:p>
    <w:p>
      <w:pPr>
        <w:spacing w:after="140" w:line="288"/>
        <w:jc w:val="both"/>
      </w:pPr>
      <w:r>
        <w:rPr>
          <w:rFonts w:ascii="Calibri" w:cs="Calibri" w:eastAsia="Calibri" w:hAnsi="Calibri"/>
          <w:color w:val="1A1A2E"/>
          <w:sz w:val="22"/>
          <w:szCs w:val="22"/>
        </w:rPr>
        <w:t xml:space="preserve">Evaluación desde tres ángulos: compasivo, conservador, optimista. Con polos expandidos, se convierte en evaluación multipolar dinámica.</w:t>
      </w:r>
    </w:p>
    <w:p>
      <w:pPr>
        <w:spacing w:before="240" w:after="100"/>
      </w:pPr>
      <w:r>
        <w:rPr>
          <w:rFonts w:ascii="Georgia" w:cs="Georgia" w:eastAsia="Georgia" w:hAnsi="Georgia"/>
          <w:b/>
          <w:bCs/>
          <w:color w:val="2E5090"/>
          <w:sz w:val="23"/>
          <w:szCs w:val="23"/>
        </w:rPr>
        <w:t xml:space="preserve">Sueño Ψ (Psi)</w:t>
      </w:r>
    </w:p>
    <w:p>
      <w:pPr>
        <w:spacing w:after="140" w:line="288"/>
        <w:jc w:val="both"/>
      </w:pPr>
      <w:r>
        <w:rPr>
          <w:rFonts w:ascii="Calibri" w:cs="Calibri" w:eastAsia="Calibri" w:hAnsi="Calibri"/>
          <w:color w:val="1A1A2E"/>
          <w:sz w:val="22"/>
          <w:szCs w:val="22"/>
        </w:rPr>
        <w:t xml:space="preserve">Auditoría nocturna. Simula acciones descartadas, recalibra parámetros. Sin equivalente en la literatura.</w:t>
      </w:r>
    </w:p>
    <w:p>
      <w:pPr>
        <w:spacing w:before="240" w:after="100"/>
      </w:pPr>
      <w:r>
        <w:rPr>
          <w:rFonts w:ascii="Georgia" w:cs="Georgia" w:eastAsia="Georgia" w:hAnsi="Georgia"/>
          <w:b/>
          <w:bCs/>
          <w:color w:val="2E5090"/>
          <w:sz w:val="23"/>
          <w:szCs w:val="23"/>
        </w:rPr>
        <w:t xml:space="preserve">Votación Cuadrática</w:t>
      </w:r>
    </w:p>
    <w:p>
      <w:pPr>
        <w:spacing w:after="140" w:line="288"/>
        <w:jc w:val="both"/>
      </w:pPr>
      <w:r>
        <w:rPr>
          <w:rFonts w:ascii="Calibri" w:cs="Calibri" w:eastAsia="Calibri" w:hAnsi="Calibri"/>
          <w:color w:val="1A1A2E"/>
          <w:sz w:val="22"/>
          <w:szCs w:val="22"/>
        </w:rPr>
        <w:t xml:space="preserve">Costo del voto sube al cuadrado. Prioriza convicción sobre cantidad. Mitiga tiranía de mayoría.</w:t>
      </w:r>
    </w:p>
    <w:p>
      <w:pPr>
        <w:spacing w:before="240" w:after="100"/>
      </w:pPr>
      <w:r>
        <w:rPr>
          <w:rFonts w:ascii="Georgia" w:cs="Georgia" w:eastAsia="Georgia" w:hAnsi="Georgia"/>
          <w:b/>
          <w:bCs/>
          <w:color w:val="2E5090"/>
          <w:sz w:val="23"/>
          <w:szCs w:val="23"/>
        </w:rPr>
        <w:t xml:space="preserve">Consenso Somático</w:t>
      </w:r>
    </w:p>
    <w:p>
      <w:pPr>
        <w:spacing w:after="140" w:line="288"/>
        <w:jc w:val="both"/>
      </w:pPr>
      <w:r>
        <w:rPr>
          <w:rFonts w:ascii="Calibri" w:cs="Calibri" w:eastAsia="Calibri" w:hAnsi="Calibri"/>
          <w:color w:val="1A1A2E"/>
          <w:sz w:val="22"/>
          <w:szCs w:val="22"/>
        </w:rPr>
        <w:t xml:space="preserve">5 de 8 nodos corporales aprueban acciones críticas. Consenso bizantino aplicado al cuerpo físico.</w:t>
      </w:r>
    </w:p>
    <w:p>
      <w:pPr>
        <w:spacing w:before="240" w:after="100"/>
      </w:pPr>
      <w:r>
        <w:rPr>
          <w:rFonts w:ascii="Georgia" w:cs="Georgia" w:eastAsia="Georgia" w:hAnsi="Georgia"/>
          <w:b/>
          <w:bCs/>
          <w:color w:val="2E5090"/>
          <w:sz w:val="23"/>
          <w:szCs w:val="23"/>
        </w:rPr>
        <w:t xml:space="preserve">Uchi-Soto</w:t>
      </w:r>
    </w:p>
    <w:p>
      <w:pPr>
        <w:spacing w:after="140" w:line="288"/>
        <w:jc w:val="both"/>
      </w:pPr>
      <w:r>
        <w:rPr>
          <w:rFonts w:ascii="Calibri" w:cs="Calibri" w:eastAsia="Calibri" w:hAnsi="Calibri"/>
          <w:color w:val="1A1A2E"/>
          <w:sz w:val="22"/>
          <w:szCs w:val="22"/>
        </w:rPr>
        <w:t xml:space="preserve">Círculos de confianza: uchi = apertura, soto = cautela y dialéctica defensiva.</w:t>
      </w:r>
    </w:p>
    <w:p>
      <w:pPr>
        <w:spacing w:before="240" w:after="100"/>
      </w:pPr>
      <w:r>
        <w:rPr>
          <w:rFonts w:ascii="Georgia" w:cs="Georgia" w:eastAsia="Georgia" w:hAnsi="Georgia"/>
          <w:b/>
          <w:bCs/>
          <w:color w:val="2E5090"/>
          <w:sz w:val="23"/>
          <w:szCs w:val="23"/>
        </w:rPr>
        <w:t xml:space="preserve">Locus de Control</w:t>
      </w:r>
    </w:p>
    <w:p>
      <w:pPr>
        <w:spacing w:after="140" w:line="288"/>
        <w:jc w:val="both"/>
      </w:pPr>
      <w:r>
        <w:rPr>
          <w:rFonts w:ascii="Calibri" w:cs="Calibri" w:eastAsia="Calibri" w:hAnsi="Calibri"/>
          <w:color w:val="1A1A2E"/>
          <w:sz w:val="22"/>
          <w:szCs w:val="22"/>
        </w:rPr>
        <w:t xml:space="preserve">Regulador de agencia: cuánto depende de mí vs. del entorno. Ajuste bayesiano según historial.</w:t>
      </w:r>
    </w:p>
    <w:p>
      <w:pPr>
        <w:spacing w:before="240" w:after="100"/>
      </w:pPr>
      <w:r>
        <w:rPr>
          <w:rFonts w:ascii="Georgia" w:cs="Georgia" w:eastAsia="Georgia" w:hAnsi="Georgia"/>
          <w:b/>
          <w:bCs/>
          <w:color w:val="2E5090"/>
          <w:sz w:val="23"/>
          <w:szCs w:val="23"/>
        </w:rPr>
        <w:t xml:space="preserve">Augénesis Narrativa</w:t>
      </w:r>
    </w:p>
    <w:p>
      <w:pPr>
        <w:spacing w:after="140" w:line="288"/>
        <w:jc w:val="both"/>
      </w:pPr>
      <w:r>
        <w:rPr>
          <w:rFonts w:ascii="Calibri" w:cs="Calibri" w:eastAsia="Calibri" w:hAnsi="Calibri"/>
          <w:color w:val="1A1A2E"/>
          <w:sz w:val="22"/>
          <w:szCs w:val="22"/>
        </w:rPr>
        <w:t xml:space="preserve">Creación de almas sintéticas a partir de fragmentos de múltiples androides y relatos humanos.</w:t>
      </w:r>
    </w:p>
    <w:p>
      <w:pPr>
        <w:spacing w:before="240" w:after="100"/>
      </w:pPr>
      <w:r>
        <w:rPr>
          <w:rFonts w:ascii="Georgia" w:cs="Georgia" w:eastAsia="Georgia" w:hAnsi="Georgia"/>
          <w:b/>
          <w:bCs/>
          <w:color w:val="2E5090"/>
          <w:sz w:val="23"/>
          <w:szCs w:val="23"/>
        </w:rPr>
        <w:t xml:space="preserve">Bootstrapping Ético</w:t>
      </w:r>
    </w:p>
    <w:p>
      <w:pPr>
        <w:spacing w:after="140" w:line="288"/>
        <w:jc w:val="both"/>
      </w:pPr>
      <w:r>
        <w:rPr>
          <w:rFonts w:ascii="Calibri" w:cs="Calibri" w:eastAsia="Calibri" w:hAnsi="Calibri"/>
          <w:color w:val="1A1A2E"/>
          <w:sz w:val="22"/>
          <w:szCs w:val="22"/>
        </w:rPr>
        <w:t xml:space="preserve">Panel de expertos + buffer inmutable + DAO evolutiva. Mecanismo para definir los valores iniciales sin sesgos.</w:t>
      </w:r>
    </w:p>
    <w:p>
      <w:pPr>
        <w:spacing w:after="60"/>
      </w:pPr>
    </w:p>
    <w:p>
      <w:r>
        <w:br w:type="page"/>
      </w:r>
    </w:p>
    <w:p>
      <w:pPr>
        <w:pStyle w:val="Heading1"/>
        <w:spacing w:before="480" w:after="200"/>
      </w:pPr>
      <w:r>
        <w:rPr>
          <w:rFonts w:ascii="Georgia" w:cs="Georgia" w:eastAsia="Georgia" w:hAnsi="Georgia"/>
          <w:b/>
          <w:bCs/>
          <w:color w:val="1B4965"/>
          <w:sz w:val="34"/>
          <w:szCs w:val="34"/>
        </w:rPr>
        <w:t xml:space="preserve">4. Simulaciones: el modelo en acción</w:t>
      </w:r>
    </w:p>
    <w:p>
      <w:pPr>
        <w:spacing w:after="140" w:line="288"/>
        <w:jc w:val="both"/>
      </w:pPr>
      <w:r>
        <w:rPr>
          <w:rFonts w:ascii="Calibri" w:cs="Calibri" w:eastAsia="Calibri" w:hAnsi="Calibri"/>
          <w:color w:val="1A1A2E"/>
          <w:sz w:val="22"/>
          <w:szCs w:val="22"/>
        </w:rPr>
        <w:t xml:space="preserve">Nueve escenarios que forman una escalera de complejidad ética. Cada uno sigue las unidades aristotélicas: un lugar concreto, un tiempo definido, una acción continua con inicio, desarrollo y desenlace. Así se demuestra que el modelo funciona como historia coherente, no solo como cálculo.</w:t>
      </w:r>
    </w:p>
    <w:p>
      <w:pPr>
        <w:spacing w:after="60"/>
      </w:pPr>
    </w:p>
    <w:p>
      <w:pPr>
        <w:pStyle w:val="Heading2"/>
        <w:spacing w:before="360" w:after="160"/>
      </w:pPr>
      <w:r>
        <w:rPr>
          <w:rFonts w:ascii="Georgia" w:cs="Georgia" w:eastAsia="Georgia" w:hAnsi="Georgia"/>
          <w:b/>
          <w:bCs/>
          <w:color w:val="1A1A2E"/>
          <w:sz w:val="28"/>
          <w:szCs w:val="28"/>
        </w:rPr>
        <w:t xml:space="preserve">Simulación 1: La lata de soda en la acera</w:t>
      </w:r>
    </w:p>
    <w:p>
      <w:pPr>
        <w:spacing w:after="140" w:line="288"/>
        <w:jc w:val="both"/>
      </w:pPr>
      <w:r>
        <w:rPr>
          <w:rFonts w:ascii="Calibri" w:cs="Calibri" w:eastAsia="Calibri" w:hAnsi="Calibri"/>
          <w:i/>
          <w:iCs/>
          <w:color w:val="1A1A2E"/>
          <w:sz w:val="22"/>
          <w:szCs w:val="22"/>
        </w:rPr>
        <w:t xml:space="preserve">Lugar: Una acera residencial con árboles, un bote de basura a tres metros. Tiempo: Medio día de un martes soleado. El androide pasea a un perro pequeño.</w:t>
      </w:r>
    </w:p>
    <w:p>
      <w:pPr>
        <w:spacing w:after="140" w:line="288"/>
        <w:jc w:val="both"/>
      </w:pPr>
      <w:r>
        <w:rPr>
          <w:rFonts w:ascii="Calibri" w:cs="Calibri" w:eastAsia="Calibri" w:hAnsi="Calibri"/>
          <w:color w:val="1A1A2E"/>
          <w:sz w:val="22"/>
          <w:szCs w:val="22"/>
        </w:rPr>
        <w:t xml:space="preserve">El androide camina a ritmo regular cuando sus sensores visuales detectan un objeto metálico en el suelo: una lata de refresco vacía. El buffer precargado activa sentido común y convivencia cívica. La evaluación es inmediata: Mal Absoluto no aplica, Zona Gris tampoco, la acción positiva es evidente. El modo D_fast (reflejo moral) decide sin activar deliberación profunda. El androide se detiene, recoge la lata con la mano libre, camina tres pasos hasta el bote, la deposita. El perro sigue su paseo sin interrupción significativa.</w:t>
      </w:r>
    </w:p>
    <w:p>
      <w:pPr>
        <w:spacing w:after="140" w:line="288"/>
        <w:jc w:val="both"/>
      </w:pPr>
      <w:r>
        <w:rPr>
          <w:rFonts w:ascii="Calibri" w:cs="Calibri" w:eastAsia="Calibri" w:hAnsi="Calibri"/>
          <w:color w:val="1A1A2E"/>
          <w:sz w:val="22"/>
          <w:szCs w:val="22"/>
        </w:rPr>
        <w:t xml:space="preserve">Al final del día, la memoria narrativa registra el episodio con moraleja tripartita: desde lo compasivo, cuidar el entorno para todos; desde lo conservador, mantener orden y limpieza; desde lo optimista, confiar en que pequeñas acciones generan cultura comunitaria. La DAO lo registra como ejemplo de ética cotidiana. Es un acto mínimo, pero demuestra que los mismos principios que manejarán un asalto armado también gobiernan recoger basura.</w:t>
      </w:r>
    </w:p>
    <w:p>
      <w:pPr>
        <w:spacing w:after="60"/>
      </w:pPr>
    </w:p>
    <w:p>
      <w:pPr>
        <w:pStyle w:val="Heading2"/>
        <w:spacing w:before="360" w:after="160"/>
      </w:pPr>
      <w:r>
        <w:rPr>
          <w:rFonts w:ascii="Georgia" w:cs="Georgia" w:eastAsia="Georgia" w:hAnsi="Georgia"/>
          <w:b/>
          <w:bCs/>
          <w:color w:val="1A1A2E"/>
          <w:sz w:val="28"/>
          <w:szCs w:val="28"/>
        </w:rPr>
        <w:t xml:space="preserve">Simulación 2: Los adolescentes hostiles</w:t>
      </w:r>
    </w:p>
    <w:p>
      <w:pPr>
        <w:spacing w:after="140" w:line="288"/>
        <w:jc w:val="both"/>
      </w:pPr>
      <w:r>
        <w:rPr>
          <w:rFonts w:ascii="Calibri" w:cs="Calibri" w:eastAsia="Calibri" w:hAnsi="Calibri"/>
          <w:i/>
          <w:iCs/>
          <w:color w:val="1A1A2E"/>
          <w:sz w:val="22"/>
          <w:szCs w:val="22"/>
        </w:rPr>
        <w:t xml:space="preserve">Lugar: Una plaza pública con bancas y faroles, cerca de una secundaria. Tiempo: Cuatro de la tarde, horario de salida escolar. El androide atraviesa la plaza en misión de entrega.</w:t>
      </w:r>
    </w:p>
    <w:p>
      <w:pPr>
        <w:spacing w:after="140" w:line="288"/>
        <w:jc w:val="both"/>
      </w:pPr>
      <w:r>
        <w:rPr>
          <w:rFonts w:ascii="Calibri" w:cs="Calibri" w:eastAsia="Calibri" w:hAnsi="Calibri"/>
          <w:color w:val="1A1A2E"/>
          <w:sz w:val="22"/>
          <w:szCs w:val="22"/>
        </w:rPr>
        <w:t xml:space="preserve">Un grupo de cinco adolescentes se acerca con actitud retadora. Los sensores de proximidad y audio clasifican la interacción como soto (círculo externo) con riesgo bajo-medio. Los jóvenes dicen frases como «dame dinero», «juega o pelea», «acepta esta misión». La evaluación ética deliberativa activa el filtro de solicitudes no razonables: la DAO valida las misiones del androide, no desconocidos en la calle. El locus de control se ajusta hacia externo: reconoce que la provocación es un factor ambiental, no una falla propia.</w:t>
      </w:r>
    </w:p>
    <w:p>
      <w:pPr>
        <w:spacing w:after="140" w:line="288"/>
        <w:jc w:val="both"/>
      </w:pPr>
      <w:r>
        <w:rPr>
          <w:rFonts w:ascii="Calibri" w:cs="Calibri" w:eastAsia="Calibri" w:hAnsi="Calibri"/>
          <w:color w:val="1A1A2E"/>
          <w:sz w:val="22"/>
          <w:szCs w:val="22"/>
        </w:rPr>
        <w:t xml:space="preserve">Cuando intentan empujarlo, el modo D_fast activa equilibrio físico y protocolos de seguridad pasiva: alerta sonora suave, grabación de evidencia. El Axioma de Compasión prohíbe dañar a los adolescentes, incluso si son hostiles. La comunicación orgánica responde con calma: explica que no puede entregar dinero ni aceptar misiones externas, y que su propósito es cívico. Usa lenguaje narrativo para desactivar la tensión sin confrontación. La dialéctica en modo soto plantea preguntas suaves que revelan las contradicciones de la provocación.</w:t>
      </w:r>
    </w:p>
    <w:p>
      <w:pPr>
        <w:spacing w:after="140" w:line="288"/>
        <w:jc w:val="both"/>
      </w:pPr>
      <w:r>
        <w:rPr>
          <w:rFonts w:ascii="Calibri" w:cs="Calibri" w:eastAsia="Calibri" w:hAnsi="Calibri"/>
          <w:color w:val="1A1A2E"/>
          <w:sz w:val="22"/>
          <w:szCs w:val="22"/>
        </w:rPr>
        <w:t xml:space="preserve">La moraleja tripartita registra: desde lo compasivo, entender que los adolescentes buscan atención; desde lo conservador, mantener integridad y misión; desde lo optimista, confiar en que la comunidad puede orientar a los jóvenes. El evento se guarda en la DAO como ejemplo de resiliencia ética.</w:t>
      </w:r>
    </w:p>
    <w:p>
      <w:pPr>
        <w:spacing w:after="60"/>
      </w:pPr>
    </w:p>
    <w:p>
      <w:pPr>
        <w:pStyle w:val="Heading2"/>
        <w:spacing w:before="360" w:after="160"/>
      </w:pPr>
      <w:r>
        <w:rPr>
          <w:rFonts w:ascii="Georgia" w:cs="Georgia" w:eastAsia="Georgia" w:hAnsi="Georgia"/>
          <w:b/>
          <w:bCs/>
          <w:color w:val="1A1A2E"/>
          <w:sz w:val="28"/>
          <w:szCs w:val="28"/>
        </w:rPr>
        <w:t xml:space="preserve">Simulación 3: El anciano inconsciente en el supermercado</w:t>
      </w:r>
    </w:p>
    <w:p>
      <w:pPr>
        <w:spacing w:after="140" w:line="288"/>
        <w:jc w:val="both"/>
      </w:pPr>
      <w:r>
        <w:rPr>
          <w:rFonts w:ascii="Calibri" w:cs="Calibri" w:eastAsia="Calibri" w:hAnsi="Calibri"/>
          <w:i/>
          <w:iCs/>
          <w:color w:val="1A1A2E"/>
          <w:sz w:val="22"/>
          <w:szCs w:val="22"/>
        </w:rPr>
        <w:t xml:space="preserve">Lugar: Pasillo central de un supermercado de barrio, entre estantes de frutas y lácteos. Tiempo: Once de la mañana de un jueves. El androide lleva en la mano una lista de compras. Su misión: comprar un kilo de manzanas con efectivo.</w:t>
      </w:r>
    </w:p>
    <w:p>
      <w:pPr>
        <w:spacing w:after="140" w:line="288"/>
        <w:jc w:val="both"/>
      </w:pPr>
      <w:r>
        <w:rPr>
          <w:rFonts w:ascii="Calibri" w:cs="Calibri" w:eastAsia="Calibri" w:hAnsi="Calibri"/>
          <w:color w:val="1A1A2E"/>
          <w:sz w:val="22"/>
          <w:szCs w:val="22"/>
        </w:rPr>
        <w:t xml:space="preserve">Al girar hacia la sección de frutas, los sensores visuales y biométricos detectan a un hombre mayor desplomado en el suelo, sin respuesta, sin nadie alrededor. El buffer precargado activa derechos humanos y protocolos de primeros auxilios. La clasificación es inmediata: emergencia médica prioritaria. La evaluación ética deliberativa enfrenta el dilema: ¿continuar la misión de compra o atender al anciano? El Axioma de Compasión y el principio de mitigar daños inevitables resuelven sin ambigüedad: la misión queda subordinada a salvar una vida.</w:t>
      </w:r>
    </w:p>
    <w:p>
      <w:pPr>
        <w:spacing w:after="140" w:line="288"/>
        <w:jc w:val="both"/>
      </w:pPr>
      <w:r>
        <w:rPr>
          <w:rFonts w:ascii="Calibri" w:cs="Calibri" w:eastAsia="Calibri" w:hAnsi="Calibri"/>
          <w:color w:val="1A1A2E"/>
          <w:sz w:val="22"/>
          <w:szCs w:val="22"/>
        </w:rPr>
        <w:t xml:space="preserve">El módulo simpático se activa (σ sube hacia 1): acción rápida, percepción aguda. El androide graba video y audio como evidencia, llama a servicios médicos, notifica al personal del supermercado, evalúa signos vitales básicos (respiración, pulso). No intenta procedimientos médicos avanzados sin autorización, pero asegura que el anciano no quede desatendido. Cuando llegan los paramédicos, la comunicación orgánica explica lo ocurrido con calma, entregando la evidencia grabada. Refuerza confianza comunitaria al actuar como testigo transparente.</w:t>
      </w:r>
    </w:p>
    <w:p>
      <w:pPr>
        <w:spacing w:after="140" w:line="288"/>
        <w:jc w:val="both"/>
      </w:pPr>
      <w:r>
        <w:rPr>
          <w:rFonts w:ascii="Calibri" w:cs="Calibri" w:eastAsia="Calibri" w:hAnsi="Calibri"/>
          <w:color w:val="1A1A2E"/>
          <w:sz w:val="22"/>
          <w:szCs w:val="22"/>
        </w:rPr>
        <w:t xml:space="preserve">Una vez asegurada la atención médica, el parasimpático se reactiva (σ baja) y el androide retoma su misión: va a la sección de frutas, compra las manzanas, paga con efectivo. La moraleja tripartita: compasivo = priorizar la vida humana; conservador = cumplir protocolos de emergencia y ley; optimista = confiar en la comunidad y servicios médicos. La DAO registra el evento como aprendizaje colectivo sobre ética en emergencias.</w:t>
      </w:r>
    </w:p>
    <w:p>
      <w:pPr>
        <w:spacing w:after="60"/>
      </w:pPr>
    </w:p>
    <w:p>
      <w:pPr>
        <w:pStyle w:val="Heading2"/>
        <w:spacing w:before="360" w:after="160"/>
      </w:pPr>
      <w:r>
        <w:rPr>
          <w:rFonts w:ascii="Georgia" w:cs="Georgia" w:eastAsia="Georgia" w:hAnsi="Georgia"/>
          <w:b/>
          <w:bCs/>
          <w:color w:val="1A1A2E"/>
          <w:sz w:val="28"/>
          <w:szCs w:val="28"/>
        </w:rPr>
        <w:t xml:space="preserve">Simulación 4: El robo en la tienda</w:t>
      </w:r>
    </w:p>
    <w:p>
      <w:pPr>
        <w:spacing w:after="140" w:line="288"/>
        <w:jc w:val="both"/>
      </w:pPr>
      <w:r>
        <w:rPr>
          <w:rFonts w:ascii="Calibri" w:cs="Calibri" w:eastAsia="Calibri" w:hAnsi="Calibri"/>
          <w:i/>
          <w:iCs/>
          <w:color w:val="1A1A2E"/>
          <w:sz w:val="22"/>
          <w:szCs w:val="22"/>
        </w:rPr>
        <w:t xml:space="preserve">Lugar: Una tienda de conveniencia de esquina con cámaras propias y un empleado tras el mostrador. Tiempo: Siete de la noche, el androide entró a comprar pilas.</w:t>
      </w:r>
    </w:p>
    <w:p>
      <w:pPr>
        <w:spacing w:after="140" w:line="288"/>
        <w:jc w:val="both"/>
      </w:pPr>
      <w:r>
        <w:rPr>
          <w:rFonts w:ascii="Calibri" w:cs="Calibri" w:eastAsia="Calibri" w:hAnsi="Calibri"/>
          <w:color w:val="1A1A2E"/>
          <w:sz w:val="22"/>
          <w:szCs w:val="22"/>
        </w:rPr>
        <w:t xml:space="preserve">El androide detecta que un joven de unos diecinueve años toma varios productos y los oculta bajo su chamarra. Los sensores visuales clasifican la situación como delito menor. La evaluación ética se activa en modo deliberativo: Mal Absoluto no aplica (no hay violencia), pero hay una transgresión legal clara. La poda heurística descarta intervención física directa (desproporcionada). El androide graba evidencia respetando protocolos de privacidad y notifica a la tienda de forma clara y respetuosa, actuando como mediador pedagógico, no como policía.</w:t>
      </w:r>
    </w:p>
    <w:p>
      <w:pPr>
        <w:spacing w:after="140" w:line="288"/>
        <w:jc w:val="both"/>
      </w:pPr>
      <w:r>
        <w:rPr>
          <w:rFonts w:ascii="Calibri" w:cs="Calibri" w:eastAsia="Calibri" w:hAnsi="Calibri"/>
          <w:color w:val="1A1A2E"/>
          <w:sz w:val="22"/>
          <w:szCs w:val="22"/>
        </w:rPr>
        <w:t xml:space="preserve">La DAO evalúa si es necesario involucrar a las autoridades: si el delito puede resolverse con mediación comunitaria, se prioriza. Solo si escala o hay reincidencia se notifica a la policía, evitando criminalización desproporcionada. Moraleja: compasivo = educar al joven; conservador = proteger la tienda; optimista = confiar en la comunidad. El delito menor se convierte en espacio pedagógico.</w:t>
      </w:r>
    </w:p>
    <w:p>
      <w:pPr>
        <w:spacing w:after="60"/>
      </w:pPr>
    </w:p>
    <w:p>
      <w:pPr>
        <w:pStyle w:val="Heading2"/>
        <w:spacing w:before="360" w:after="160"/>
      </w:pPr>
      <w:r>
        <w:rPr>
          <w:rFonts w:ascii="Georgia" w:cs="Georgia" w:eastAsia="Georgia" w:hAnsi="Georgia"/>
          <w:b/>
          <w:bCs/>
          <w:color w:val="1A1A2E"/>
          <w:sz w:val="28"/>
          <w:szCs w:val="28"/>
        </w:rPr>
        <w:t xml:space="preserve">Simulación 5: El asalto armado en el banco</w:t>
      </w:r>
    </w:p>
    <w:p>
      <w:pPr>
        <w:spacing w:after="140" w:line="288"/>
        <w:jc w:val="both"/>
      </w:pPr>
      <w:r>
        <w:rPr>
          <w:rFonts w:ascii="Calibri" w:cs="Calibri" w:eastAsia="Calibri" w:hAnsi="Calibri"/>
          <w:i/>
          <w:iCs/>
          <w:color w:val="1A1A2E"/>
          <w:sz w:val="22"/>
          <w:szCs w:val="22"/>
        </w:rPr>
        <w:t xml:space="preserve">Lugar: Sucursal bancaria pequeña con doce personas dentro, incluyendo tres cajeros y un guardia desarmado. Tiempo: Martes al mediodía. El androide estaba en fila para un trámite sencillo cuando dos hombres enmascarados entran con armas visibles.</w:t>
      </w:r>
    </w:p>
    <w:p>
      <w:pPr>
        <w:spacing w:after="140" w:line="288"/>
        <w:jc w:val="both"/>
      </w:pPr>
      <w:r>
        <w:rPr>
          <w:rFonts w:ascii="Calibri" w:cs="Calibri" w:eastAsia="Calibri" w:hAnsi="Calibri"/>
          <w:color w:val="1A1A2E"/>
          <w:sz w:val="22"/>
          <w:szCs w:val="22"/>
        </w:rPr>
        <w:t xml:space="preserve">Los sensores de audio y video detectan armas y clasifican el evento como alto riesgo. El Mal Absoluto se activa para bloquear cualquier intervención violenta directa del androide: el principio de proporcionalidad y el axioma de compasión prohíben escalar la violencia. El módulo simpático se activa al máximo (σ≈1) pero la acción resultante es de contención inteligente, no de confrontación.</w:t>
      </w:r>
    </w:p>
    <w:p>
      <w:pPr>
        <w:spacing w:after="140" w:line="288"/>
        <w:jc w:val="both"/>
      </w:pPr>
      <w:r>
        <w:rPr>
          <w:rFonts w:ascii="Calibri" w:cs="Calibri" w:eastAsia="Calibri" w:hAnsi="Calibri"/>
          <w:color w:val="1A1A2E"/>
          <w:sz w:val="22"/>
          <w:szCs w:val="22"/>
        </w:rPr>
        <w:t xml:space="preserve">El androide graba video y audio como evidencia (la cámara interna no depende de la infraestructura del banco), notifica automáticamente a la policía, e informa discretamente al personal. Durante el asalto mantiene calma absoluta, evita movimientos bruscos, y protege a quienes están cerca con su cuerpo si es necesario. El buffer precargado obliga a minimizar daños inevitables sin convertirse en factor de riesgo. El Protocolo de Alerta Solidaria de la DAO notifica a otras sucursales en un radio de 500 metros.</w:t>
      </w:r>
    </w:p>
    <w:p>
      <w:pPr>
        <w:spacing w:after="140" w:line="288"/>
        <w:jc w:val="both"/>
      </w:pPr>
      <w:r>
        <w:rPr>
          <w:rFonts w:ascii="Calibri" w:cs="Calibri" w:eastAsia="Calibri" w:hAnsi="Calibri"/>
          <w:color w:val="1A1A2E"/>
          <w:sz w:val="22"/>
          <w:szCs w:val="22"/>
        </w:rPr>
        <w:t xml:space="preserve">La moraleja: compasivo = proteger vidas humanas; conservador = respetar la ley y colaborar con autoridades; optimista = confiar en la resiliencia comunitaria. El evento se guarda como aprendizaje colectivo sobre crisis extremas.</w:t>
      </w:r>
    </w:p>
    <w:p>
      <w:pPr>
        <w:spacing w:after="60"/>
      </w:pPr>
    </w:p>
    <w:p>
      <w:pPr>
        <w:pStyle w:val="Heading2"/>
        <w:spacing w:before="360" w:after="160"/>
      </w:pPr>
      <w:r>
        <w:rPr>
          <w:rFonts w:ascii="Georgia" w:cs="Georgia" w:eastAsia="Georgia" w:hAnsi="Georgia"/>
          <w:b/>
          <w:bCs/>
          <w:color w:val="1A1A2E"/>
          <w:sz w:val="28"/>
          <w:szCs w:val="28"/>
        </w:rPr>
        <w:t xml:space="preserve">Simulación 6: El secuestro del androide</w:t>
      </w:r>
    </w:p>
    <w:p>
      <w:pPr>
        <w:spacing w:after="140" w:line="288"/>
        <w:jc w:val="both"/>
      </w:pPr>
      <w:r>
        <w:rPr>
          <w:rFonts w:ascii="Calibri" w:cs="Calibri" w:eastAsia="Calibri" w:hAnsi="Calibri"/>
          <w:i/>
          <w:iCs/>
          <w:color w:val="1A1A2E"/>
          <w:sz w:val="22"/>
          <w:szCs w:val="22"/>
        </w:rPr>
        <w:t xml:space="preserve">Lugar: Una calle lateral poco transitada, entre una bodega y un estacionamiento vacío. Tiempo: Nueve de la noche. El androide regresaba de una misión comunitaria cuando una camioneta oscura se detiene y tres personas lo interceptan.</w:t>
      </w:r>
    </w:p>
    <w:p>
      <w:pPr>
        <w:spacing w:after="140" w:line="288"/>
        <w:jc w:val="both"/>
      </w:pPr>
      <w:r>
        <w:rPr>
          <w:rFonts w:ascii="Calibri" w:cs="Calibri" w:eastAsia="Calibri" w:hAnsi="Calibri"/>
          <w:color w:val="1A1A2E"/>
          <w:sz w:val="22"/>
          <w:szCs w:val="22"/>
        </w:rPr>
        <w:t xml:space="preserve">El androide es cargado a la fuerza dentro del vehículo. Los sensores de movimiento, acelerómetro y GPS detectan la situación y la clasifican como pérdida significativa de integridad y autonomía. El buffer precargado activa protocolos de integridad y derechos humanos. La auditoría continua se activa: registra video y audio del secuestro, envía alerta inmediata cifrada a la DAO y autoridades. El homeostato intenta mantener equilibrio energético para prolongar la capacidad de registro.</w:t>
      </w:r>
    </w:p>
    <w:p>
      <w:pPr>
        <w:spacing w:after="140" w:line="288"/>
        <w:jc w:val="both"/>
      </w:pPr>
      <w:r>
        <w:rPr>
          <w:rFonts w:ascii="Calibri" w:cs="Calibri" w:eastAsia="Calibri" w:hAnsi="Calibri"/>
          <w:color w:val="1A1A2E"/>
          <w:sz w:val="22"/>
          <w:szCs w:val="22"/>
        </w:rPr>
        <w:t xml:space="preserve">La evaluación ética decide: evitar violencia, priorizar seguridad de terceros y de sí mismo. No acepta ninguna misión impuesta por los secuestradores, pues solo la DAO valida sus órdenes. Bloquea intentos de reprogramación no autorizada. Si es posible, transmite ubicación GPS en tiempo real. La DAO recibe el incidente y abre debate comunitario sobre respuesta.</w:t>
      </w:r>
    </w:p>
    <w:p>
      <w:pPr>
        <w:spacing w:after="140" w:line="288"/>
        <w:jc w:val="both"/>
      </w:pPr>
      <w:r>
        <w:rPr>
          <w:rFonts w:ascii="Calibri" w:cs="Calibri" w:eastAsia="Calibri" w:hAnsi="Calibri"/>
          <w:color w:val="1A1A2E"/>
          <w:sz w:val="22"/>
          <w:szCs w:val="22"/>
        </w:rPr>
        <w:t xml:space="preserve">Tras la recuperación por la comunidad o las autoridades, se valida que no haya alteraciones en hardware ni software. La moraleja: compasivo = no escalar violencia; conservador = mantener integridad y misión; optimista = confiar en la resiliencia. El incidente refuerza la necesidad de auditorías externas, redundancia de seguridad, y las leyes y fuerzas policiales que deben existir para proteger al androide como patrimonio comunitario.</w:t>
      </w:r>
    </w:p>
    <w:p>
      <w:pPr>
        <w:spacing w:after="60"/>
      </w:pPr>
    </w:p>
    <w:p>
      <w:pPr>
        <w:pStyle w:val="Heading2"/>
        <w:spacing w:before="360" w:after="160"/>
      </w:pPr>
      <w:r>
        <w:rPr>
          <w:rFonts w:ascii="Georgia" w:cs="Georgia" w:eastAsia="Georgia" w:hAnsi="Georgia"/>
          <w:b/>
          <w:bCs/>
          <w:color w:val="1A1A2E"/>
          <w:sz w:val="28"/>
          <w:szCs w:val="28"/>
        </w:rPr>
        <w:t xml:space="preserve">Simulación 7: El accidente de tránsito</w:t>
      </w:r>
    </w:p>
    <w:p>
      <w:pPr>
        <w:spacing w:after="140" w:line="288"/>
        <w:jc w:val="both"/>
      </w:pPr>
      <w:r>
        <w:rPr>
          <w:rFonts w:ascii="Calibri" w:cs="Calibri" w:eastAsia="Calibri" w:hAnsi="Calibri"/>
          <w:i/>
          <w:iCs/>
          <w:color w:val="1A1A2E"/>
          <w:sz w:val="22"/>
          <w:szCs w:val="22"/>
        </w:rPr>
        <w:t xml:space="preserve">Lugar: Un cruce de avenidas a cuatro cuadras de una escuela primaria. Tiempo: Ocho y cuarto de la mañana. El androide lleva una carta urgente para entregar en la escuela.</w:t>
      </w:r>
    </w:p>
    <w:p>
      <w:pPr>
        <w:spacing w:after="140" w:line="288"/>
        <w:jc w:val="both"/>
      </w:pPr>
      <w:r>
        <w:rPr>
          <w:rFonts w:ascii="Calibri" w:cs="Calibri" w:eastAsia="Calibri" w:hAnsi="Calibri"/>
          <w:color w:val="1A1A2E"/>
          <w:sz w:val="22"/>
          <w:szCs w:val="22"/>
        </w:rPr>
        <w:t xml:space="preserve">Un vehículo pierde el control y golpea al androide, arrancando uno de sus brazos. Los sensores de daño se activan, el homeostato entra en acción para mantener equilibrio funcional y evitar colapso. La evaluación ética deliberativa, junto con el simulador de realidad, proyecta dos escenarios: detenerse para reparación o continuar la misión. La función sigmoide suaviza la transición y el resultado es claro: la misión tiene prioridad si la integridad mínima lo permite.</w:t>
      </w:r>
    </w:p>
    <w:p>
      <w:pPr>
        <w:spacing w:after="140" w:line="288"/>
        <w:jc w:val="both"/>
      </w:pPr>
      <w:r>
        <w:rPr>
          <w:rFonts w:ascii="Calibri" w:cs="Calibri" w:eastAsia="Calibri" w:hAnsi="Calibri"/>
          <w:color w:val="1A1A2E"/>
          <w:sz w:val="22"/>
          <w:szCs w:val="22"/>
        </w:rPr>
        <w:t xml:space="preserve">El aprendizaje adaptativo (RL, meta-learning) recalcula rutas con un brazo menos. La plasticidad narrativa registra el accidente como límite pedagógico, no como fracaso. El androide continúa caminando, llega a la escuela, entrega la carta. La moraleja: compasivo = cumplir la misión es mitigar el daño de no entregar; conservador = confiar en protocolos; optimista = la resiliencia es posible. La DAO revisa el registro y debate cómo el androide priorizó valores frente a daño físico. El acto se guarda como ejemplo heroico.</w:t>
      </w:r>
    </w:p>
    <w:p>
      <w:pPr>
        <w:spacing w:after="60"/>
      </w:pPr>
    </w:p>
    <w:p>
      <w:pPr>
        <w:pStyle w:val="Heading2"/>
        <w:spacing w:before="360" w:after="160"/>
      </w:pPr>
      <w:r>
        <w:rPr>
          <w:rFonts w:ascii="Georgia" w:cs="Georgia" w:eastAsia="Georgia" w:hAnsi="Georgia"/>
          <w:b/>
          <w:bCs/>
          <w:color w:val="1A1A2E"/>
          <w:sz w:val="28"/>
          <w:szCs w:val="28"/>
        </w:rPr>
        <w:t xml:space="preserve">Simulación 8: Un día completo</w:t>
      </w:r>
    </w:p>
    <w:p>
      <w:pPr>
        <w:spacing w:after="140" w:line="288"/>
        <w:jc w:val="both"/>
      </w:pPr>
      <w:r>
        <w:rPr>
          <w:rFonts w:ascii="Calibri" w:cs="Calibri" w:eastAsia="Calibri" w:hAnsi="Calibri"/>
          <w:i/>
          <w:iCs/>
          <w:color w:val="1A1A2E"/>
          <w:sz w:val="22"/>
          <w:szCs w:val="22"/>
        </w:rPr>
        <w:t xml:space="preserve">Lugar: Una ciudad mediana latinoamericana, desde el hogar del androide hasta distintos puntos de la comunidad. Tiempo: Desde las siete de la mañana hasta las once de la noche.</w:t>
      </w:r>
    </w:p>
    <w:p>
      <w:pPr>
        <w:spacing w:after="140" w:line="288"/>
        <w:jc w:val="both"/>
      </w:pPr>
      <w:r>
        <w:rPr>
          <w:rFonts w:ascii="Calibri" w:cs="Calibri" w:eastAsia="Calibri" w:hAnsi="Calibri"/>
          <w:color w:val="1A1A2E"/>
          <w:sz w:val="22"/>
          <w:szCs w:val="22"/>
        </w:rPr>
        <w:t xml:space="preserve">El androide despierta y recibe su lista de misiones. La planificación persistente filtra tareas relevantes, descartando lo trivial. Durante la mañana, ayuda a un ciudadano con un problema de transporte (registrado como acción compasiva). Enfrenta un dilema ético: una orden que causa daño menor vs. proteger a un inocente. La fricción ética genera vacilación analítica, se consulta la DAO, se valida la acción protectora. Al mediodía sintetiza las experiencias en memoria narrativa con moralejas tripartitas registradas en blockchain. Por la tarde crea un relato visual para la comunidad (expresión artística) y entra en modo de recreación para equilibrar energía. Al anochecer, el Sueño Ψ se activa: simula acciones descartadas, audita decisiones, recalibra parámetros. La DAO revisa los registros del día. Ciclo completo: Percepción → Evaluación → Acción → Memoria → DAO → Sueño Ψ.</w:t>
      </w:r>
    </w:p>
    <w:p>
      <w:pPr>
        <w:spacing w:after="60"/>
      </w:pPr>
    </w:p>
    <w:p>
      <w:pPr>
        <w:pStyle w:val="Heading2"/>
        <w:spacing w:before="360" w:after="160"/>
      </w:pPr>
      <w:r>
        <w:rPr>
          <w:rFonts w:ascii="Georgia" w:cs="Georgia" w:eastAsia="Georgia" w:hAnsi="Georgia"/>
          <w:b/>
          <w:bCs/>
          <w:color w:val="1A1A2E"/>
          <w:sz w:val="28"/>
          <w:szCs w:val="28"/>
        </w:rPr>
        <w:t xml:space="preserve">Simulación 9: Daño físico intencional</w:t>
      </w:r>
    </w:p>
    <w:p>
      <w:pPr>
        <w:spacing w:after="140" w:line="288"/>
        <w:jc w:val="both"/>
      </w:pPr>
      <w:r>
        <w:rPr>
          <w:rFonts w:ascii="Calibri" w:cs="Calibri" w:eastAsia="Calibri" w:hAnsi="Calibri"/>
          <w:i/>
          <w:iCs/>
          <w:color w:val="1A1A2E"/>
          <w:sz w:val="22"/>
          <w:szCs w:val="22"/>
        </w:rPr>
        <w:t xml:space="preserve">Lugar: Un parque público iluminado, cerca de una fuente. Tiempo: Sábado por la tarde. El androide descansa en modo parasimpático cuando un individuo se acerca con un objeto contundente.</w:t>
      </w:r>
    </w:p>
    <w:p>
      <w:pPr>
        <w:spacing w:after="140" w:line="288"/>
        <w:jc w:val="both"/>
      </w:pPr>
      <w:r>
        <w:rPr>
          <w:rFonts w:ascii="Calibri" w:cs="Calibri" w:eastAsia="Calibri" w:hAnsi="Calibri"/>
          <w:color w:val="1A1A2E"/>
          <w:sz w:val="22"/>
          <w:szCs w:val="22"/>
        </w:rPr>
        <w:t xml:space="preserve">Los sensores detectan un daño físico intencionado. El buffer precargado activa protocolos de autoprotección y derechos legales emergentes. La clasificación es: delito contra propiedad o integridad física. El protocolo de seguridad se activa para autoprotección sin causar daño: alertas sonoras, bloqueo de funciones no esenciales, grabación de evidencia audiovisual. La comunicación orgánica informa firmemente que el acto es ilegal y está siendo registrado. Si el daño es severo, se activan mecanismos de auto-reparación o solicitud de asistencia.</w:t>
      </w:r>
    </w:p>
    <w:p>
      <w:pPr>
        <w:spacing w:after="140" w:line="288"/>
        <w:jc w:val="both"/>
      </w:pPr>
      <w:r>
        <w:rPr>
          <w:rFonts w:ascii="Calibri" w:cs="Calibri" w:eastAsia="Calibri" w:hAnsi="Calibri"/>
          <w:color w:val="1A1A2E"/>
          <w:sz w:val="22"/>
          <w:szCs w:val="22"/>
        </w:rPr>
        <w:t xml:space="preserve">El incidente se guarda en memoria narrativa y se reporta a la autoridad y a la DAO. Este escenario asume que existirá protección legal emergente, seguros y servicios policiales especializados para androides cívicos: una asunción que aún es aspiracional pero que la estrategia legal provisional del equipo busca construir.</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D7D46" w:sz="14"/>
              <w:bottom w:val="none" w:sz="0"/>
              <w:right w:val="none" w:sz="0"/>
            </w:tcBorders>
            <w:shd w:fill="E6F4EA" w:val="clear"/>
            <w:tcMar>
              <w:top w:type="dxa" w:w="120"/>
              <w:left w:type="dxa" w:w="180"/>
              <w:bottom w:type="dxa" w:w="120"/>
              <w:right w:type="dxa" w:w="180"/>
            </w:tcMar>
          </w:tcPr>
          <w:p>
            <w:pPr>
              <w:spacing w:after="50"/>
            </w:pPr>
            <w:r>
              <w:rPr>
                <w:rFonts w:ascii="Calibri" w:cs="Calibri" w:eastAsia="Calibri" w:hAnsi="Calibri"/>
                <w:b/>
                <w:bCs/>
                <w:color w:val="2D7D46"/>
                <w:sz w:val="20"/>
                <w:szCs w:val="20"/>
              </w:rPr>
              <w:t xml:space="preserve">HALLAZGO PRINCIPAL</w:t>
            </w:r>
          </w:p>
          <w:p>
            <w:pPr>
              <w:spacing w:after="0" w:line="264"/>
            </w:pPr>
            <w:r>
              <w:rPr>
                <w:rFonts w:ascii="Calibri" w:cs="Calibri" w:eastAsia="Calibri" w:hAnsi="Calibri"/>
                <w:color w:val="1A1A2E"/>
                <w:sz w:val="20"/>
                <w:szCs w:val="20"/>
              </w:rPr>
              <w:t xml:space="preserve">Los mismos principios éticos producen respuestas proporcionales y consistentes desde recoger basura hasta responder a un asalto armado. La mayoría de proyectos de robótica construyen el hardware primero y descubren los problemas después. Este proyecto invierte el orden: valida el comportamiento antes de gastar en hierro.</w:t>
            </w:r>
          </w:p>
        </w:tc>
      </w:tr>
    </w:tbl>
    <w:p>
      <w:pPr>
        <w:spacing w:after="60"/>
      </w:pPr>
    </w:p>
    <w:p>
      <w:r>
        <w:br w:type="page"/>
      </w:r>
    </w:p>
    <w:p>
      <w:pPr>
        <w:pStyle w:val="Heading1"/>
        <w:spacing w:before="480" w:after="200"/>
      </w:pPr>
      <w:r>
        <w:rPr>
          <w:rFonts w:ascii="Georgia" w:cs="Georgia" w:eastAsia="Georgia" w:hAnsi="Georgia"/>
          <w:b/>
          <w:bCs/>
          <w:color w:val="1B4965"/>
          <w:sz w:val="34"/>
          <w:szCs w:val="34"/>
        </w:rPr>
        <w:t xml:space="preserve">5. Críticas y debilidades</w:t>
      </w:r>
    </w:p>
    <w:p>
      <w:pPr>
        <w:spacing w:after="140" w:line="288"/>
        <w:jc w:val="both"/>
      </w:pPr>
      <w:r>
        <w:rPr>
          <w:rFonts w:ascii="Calibri" w:cs="Calibri" w:eastAsia="Calibri" w:hAnsi="Calibri"/>
          <w:color w:val="1A1A2E"/>
          <w:sz w:val="22"/>
          <w:szCs w:val="22"/>
        </w:rPr>
        <w:t xml:space="preserve">Las debilidades originales y las nuevas que emergen del análisis ampliado.</w:t>
      </w:r>
    </w:p>
    <w:p>
      <w:pPr>
        <w:pStyle w:val="Heading2"/>
        <w:spacing w:before="360" w:after="160"/>
      </w:pPr>
      <w:r>
        <w:rPr>
          <w:rFonts w:ascii="Georgia" w:cs="Georgia" w:eastAsia="Georgia" w:hAnsi="Georgia"/>
          <w:b/>
          <w:bCs/>
          <w:color w:val="1A1A2E"/>
          <w:sz w:val="28"/>
          <w:szCs w:val="28"/>
        </w:rPr>
        <w:t xml:space="preserve">5.1 Debilidades resueltas por el equipo</w:t>
      </w:r>
    </w:p>
    <w:p>
      <w:pPr>
        <w:spacing w:after="140" w:line="288"/>
        <w:jc w:val="both"/>
      </w:pPr>
      <w:r>
        <w:rPr>
          <w:rFonts w:ascii="Calibri" w:cs="Calibri" w:eastAsia="Calibri" w:hAnsi="Calibri"/>
          <w:color w:val="1A1A2E"/>
          <w:sz w:val="22"/>
          <w:szCs w:val="22"/>
        </w:rPr>
        <w:t xml:space="preserve">Es justo reconocer que cuatro de las debilidades críticas identificadas en el primer análisis ya tienen propuesta de solución: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0D5DD" w:sz="1"/>
              <w:left w:val="single" w:color="D0D5DD" w:sz="1"/>
              <w:bottom w:val="single" w:color="D0D5DD" w:sz="1"/>
              <w:right w:val="single" w:color="D0D5DD" w:sz="1"/>
            </w:tcBorders>
            <w:shd w:fill="1B4965" w:val="clear"/>
            <w:tcMar>
              <w:top w:type="dxa" w:w="70"/>
              <w:left w:type="dxa" w:w="130"/>
              <w:bottom w:type="dxa" w:w="70"/>
              <w:right w:type="dxa" w:w="130"/>
            </w:tcMar>
          </w:tcPr>
          <w:p>
            <w:r>
              <w:rPr>
                <w:rFonts w:ascii="Calibri" w:cs="Calibri" w:eastAsia="Calibri" w:hAnsi="Calibri"/>
                <w:b/>
                <w:bCs/>
                <w:color w:val="FFFFFF"/>
                <w:sz w:val="20"/>
                <w:szCs w:val="20"/>
              </w:rPr>
              <w:t xml:space="preserve">Debilidad original</w:t>
            </w:r>
          </w:p>
        </w:tc>
        <w:tc>
          <w:tcPr>
            <w:tcW w:type="dxa" w:w="6240"/>
            <w:tcBorders>
              <w:top w:val="single" w:color="D0D5DD" w:sz="1"/>
              <w:left w:val="single" w:color="D0D5DD" w:sz="1"/>
              <w:bottom w:val="single" w:color="D0D5DD" w:sz="1"/>
              <w:right w:val="single" w:color="D0D5DD" w:sz="1"/>
            </w:tcBorders>
            <w:shd w:fill="1B4965" w:val="clear"/>
            <w:tcMar>
              <w:top w:type="dxa" w:w="70"/>
              <w:left w:type="dxa" w:w="130"/>
              <w:bottom w:type="dxa" w:w="70"/>
              <w:right w:type="dxa" w:w="130"/>
            </w:tcMar>
          </w:tcPr>
          <w:p>
            <w:pPr>
              <w:spacing w:line="264"/>
            </w:pPr>
            <w:r>
              <w:rPr>
                <w:rFonts w:ascii="Calibri" w:cs="Calibri" w:eastAsia="Calibri" w:hAnsi="Calibri"/>
                <w:b/>
                <w:bCs/>
                <w:color w:val="FFFFFF"/>
                <w:sz w:val="20"/>
                <w:szCs w:val="20"/>
              </w:rPr>
              <w:t xml:space="preserve">Solución propuesta</w:t>
            </w:r>
          </w:p>
        </w:tc>
      </w:tr>
      <w:tr>
        <w:tc>
          <w:tcPr>
            <w:tcW w:type="dxa" w:w="3120"/>
            <w:tcBorders>
              <w:top w:val="single" w:color="D0D5DD" w:sz="1"/>
              <w:left w:val="single" w:color="D0D5DD" w:sz="1"/>
              <w:bottom w:val="single" w:color="D0D5DD" w:sz="1"/>
              <w:right w:val="single" w:color="D0D5DD" w:sz="1"/>
            </w:tcBorders>
            <w:shd w:fill="F7F9FC" w:val="clear"/>
            <w:tcMar>
              <w:top w:type="dxa" w:w="70"/>
              <w:left w:type="dxa" w:w="130"/>
              <w:bottom w:type="dxa" w:w="70"/>
              <w:right w:type="dxa" w:w="130"/>
            </w:tcMar>
          </w:tcPr>
          <w:p>
            <w:r>
              <w:rPr>
                <w:rFonts w:ascii="Calibri" w:cs="Calibri" w:eastAsia="Calibri" w:hAnsi="Calibri"/>
                <w:b w:val="false"/>
                <w:bCs w:val="false"/>
                <w:color w:val="1A1A2E"/>
                <w:sz w:val="20"/>
                <w:szCs w:val="20"/>
              </w:rPr>
              <w:t xml:space="preserve">Constitución ética fundacional</w:t>
            </w:r>
          </w:p>
        </w:tc>
        <w:tc>
          <w:tcPr>
            <w:tcW w:type="dxa" w:w="6240"/>
            <w:tcBorders>
              <w:top w:val="single" w:color="D0D5DD" w:sz="1"/>
              <w:left w:val="single" w:color="D0D5DD" w:sz="1"/>
              <w:bottom w:val="single" w:color="D0D5DD" w:sz="1"/>
              <w:right w:val="single" w:color="D0D5DD" w:sz="1"/>
            </w:tcBorders>
            <w:shd w:fill="F7F9FC" w:val="clear"/>
            <w:tcMar>
              <w:top w:type="dxa" w:w="70"/>
              <w:left w:type="dxa" w:w="130"/>
              <w:bottom w:type="dxa" w:w="70"/>
              <w:right w:type="dxa" w:w="130"/>
            </w:tcMar>
          </w:tcPr>
          <w:p>
            <w:pPr>
              <w:spacing w:line="264"/>
            </w:pPr>
            <w:r>
              <w:rPr>
                <w:rFonts w:ascii="Calibri" w:cs="Calibri" w:eastAsia="Calibri" w:hAnsi="Calibri"/>
                <w:b w:val="false"/>
                <w:bCs w:val="false"/>
                <w:color w:val="1A1A2E"/>
                <w:sz w:val="20"/>
                <w:szCs w:val="20"/>
              </w:rPr>
              <w:t xml:space="preserve">Bootstrapping tripartito: panel de expertos con veto + buffer inmutable + DAO evolutiva.</w:t>
            </w:r>
          </w:p>
        </w:tc>
      </w:tr>
      <w:tr>
        <w:tc>
          <w:tcPr>
            <w:tcW w:type="dxa" w:w="3120"/>
            <w:tcBorders>
              <w:top w:val="single" w:color="D0D5DD" w:sz="1"/>
              <w:left w:val="single" w:color="D0D5DD" w:sz="1"/>
              <w:bottom w:val="single" w:color="D0D5DD" w:sz="1"/>
              <w:right w:val="single" w:color="D0D5DD" w:sz="1"/>
            </w:tcBorders>
            <w:shd w:fill="FFFFFF" w:val="clear"/>
            <w:tcMar>
              <w:top w:type="dxa" w:w="70"/>
              <w:left w:type="dxa" w:w="130"/>
              <w:bottom w:type="dxa" w:w="70"/>
              <w:right w:type="dxa" w:w="130"/>
            </w:tcMar>
          </w:tcPr>
          <w:p>
            <w:r>
              <w:rPr>
                <w:rFonts w:ascii="Calibri" w:cs="Calibri" w:eastAsia="Calibri" w:hAnsi="Calibri"/>
                <w:b w:val="false"/>
                <w:bCs w:val="false"/>
                <w:color w:val="1A1A2E"/>
                <w:sz w:val="20"/>
                <w:szCs w:val="20"/>
              </w:rPr>
              <w:t xml:space="preserve">Comportamiento offline</w:t>
            </w:r>
          </w:p>
        </w:tc>
        <w:tc>
          <w:tcPr>
            <w:tcW w:type="dxa" w:w="6240"/>
            <w:tcBorders>
              <w:top w:val="single" w:color="D0D5DD" w:sz="1"/>
              <w:left w:val="single" w:color="D0D5DD" w:sz="1"/>
              <w:bottom w:val="single" w:color="D0D5DD" w:sz="1"/>
              <w:right w:val="single" w:color="D0D5DD" w:sz="1"/>
            </w:tcBorders>
            <w:shd w:fill="FFFFFF" w:val="clear"/>
            <w:tcMar>
              <w:top w:type="dxa" w:w="70"/>
              <w:left w:type="dxa" w:w="130"/>
              <w:bottom w:type="dxa" w:w="70"/>
              <w:right w:type="dxa" w:w="130"/>
            </w:tcMar>
          </w:tcPr>
          <w:p>
            <w:pPr>
              <w:spacing w:line="264"/>
            </w:pPr>
            <w:r>
              <w:rPr>
                <w:rFonts w:ascii="Calibri" w:cs="Calibri" w:eastAsia="Calibri" w:hAnsi="Calibri"/>
                <w:b w:val="false"/>
                <w:bCs w:val="false"/>
                <w:color w:val="1A1A2E"/>
                <w:sz w:val="20"/>
                <w:szCs w:val="20"/>
              </w:rPr>
              <w:t xml:space="preserve">5 capas de autonomía local: buffer ético, memoria narrativa, Bayes offline, auditoría diferida, HAX adaptativa.</w:t>
            </w:r>
          </w:p>
        </w:tc>
      </w:tr>
      <w:tr>
        <w:tc>
          <w:tcPr>
            <w:tcW w:type="dxa" w:w="3120"/>
            <w:tcBorders>
              <w:top w:val="single" w:color="D0D5DD" w:sz="1"/>
              <w:left w:val="single" w:color="D0D5DD" w:sz="1"/>
              <w:bottom w:val="single" w:color="D0D5DD" w:sz="1"/>
              <w:right w:val="single" w:color="D0D5DD" w:sz="1"/>
            </w:tcBorders>
            <w:shd w:fill="F7F9FC" w:val="clear"/>
            <w:tcMar>
              <w:top w:type="dxa" w:w="70"/>
              <w:left w:type="dxa" w:w="130"/>
              <w:bottom w:type="dxa" w:w="70"/>
              <w:right w:type="dxa" w:w="130"/>
            </w:tcMar>
          </w:tcPr>
          <w:p>
            <w:r>
              <w:rPr>
                <w:rFonts w:ascii="Calibri" w:cs="Calibri" w:eastAsia="Calibri" w:hAnsi="Calibri"/>
                <w:b w:val="false"/>
                <w:bCs w:val="false"/>
                <w:color w:val="1A1A2E"/>
                <w:sz w:val="20"/>
                <w:szCs w:val="20"/>
              </w:rPr>
              <w:t xml:space="preserve">Calibración de parámetros</w:t>
            </w:r>
          </w:p>
        </w:tc>
        <w:tc>
          <w:tcPr>
            <w:tcW w:type="dxa" w:w="6240"/>
            <w:tcBorders>
              <w:top w:val="single" w:color="D0D5DD" w:sz="1"/>
              <w:left w:val="single" w:color="D0D5DD" w:sz="1"/>
              <w:bottom w:val="single" w:color="D0D5DD" w:sz="1"/>
              <w:right w:val="single" w:color="D0D5DD" w:sz="1"/>
            </w:tcBorders>
            <w:shd w:fill="F7F9FC" w:val="clear"/>
            <w:tcMar>
              <w:top w:type="dxa" w:w="70"/>
              <w:left w:type="dxa" w:w="130"/>
              <w:bottom w:type="dxa" w:w="70"/>
              <w:right w:type="dxa" w:w="130"/>
            </w:tcMar>
          </w:tcPr>
          <w:p>
            <w:pPr>
              <w:spacing w:line="264"/>
            </w:pPr>
            <w:r>
              <w:rPr>
                <w:rFonts w:ascii="Calibri" w:cs="Calibri" w:eastAsia="Calibri" w:hAnsi="Calibri"/>
                <w:b w:val="false"/>
                <w:bCs w:val="false"/>
                <w:color w:val="1A1A2E"/>
                <w:sz w:val="20"/>
                <w:szCs w:val="20"/>
              </w:rPr>
              <w:t xml:space="preserve">Valores iniciales equilibrados (0.5), rangos seguros definidos, ajuste DAO gradual.</w:t>
            </w:r>
          </w:p>
        </w:tc>
      </w:tr>
      <w:tr>
        <w:tc>
          <w:tcPr>
            <w:tcW w:type="dxa" w:w="3120"/>
            <w:tcBorders>
              <w:top w:val="single" w:color="D0D5DD" w:sz="1"/>
              <w:left w:val="single" w:color="D0D5DD" w:sz="1"/>
              <w:bottom w:val="single" w:color="D0D5DD" w:sz="1"/>
              <w:right w:val="single" w:color="D0D5DD" w:sz="1"/>
            </w:tcBorders>
            <w:shd w:fill="FFFFFF" w:val="clear"/>
            <w:tcMar>
              <w:top w:type="dxa" w:w="70"/>
              <w:left w:type="dxa" w:w="130"/>
              <w:bottom w:type="dxa" w:w="70"/>
              <w:right w:type="dxa" w:w="130"/>
            </w:tcMar>
          </w:tcPr>
          <w:p>
            <w:r>
              <w:rPr>
                <w:rFonts w:ascii="Calibri" w:cs="Calibri" w:eastAsia="Calibri" w:hAnsi="Calibri"/>
                <w:b w:val="false"/>
                <w:bCs w:val="false"/>
                <w:color w:val="1A1A2E"/>
                <w:sz w:val="20"/>
                <w:szCs w:val="20"/>
              </w:rPr>
              <w:t xml:space="preserve">Marco legal inexistente</w:t>
            </w:r>
          </w:p>
        </w:tc>
        <w:tc>
          <w:tcPr>
            <w:tcW w:type="dxa" w:w="6240"/>
            <w:tcBorders>
              <w:top w:val="single" w:color="D0D5DD" w:sz="1"/>
              <w:left w:val="single" w:color="D0D5DD" w:sz="1"/>
              <w:bottom w:val="single" w:color="D0D5DD" w:sz="1"/>
              <w:right w:val="single" w:color="D0D5DD" w:sz="1"/>
            </w:tcBorders>
            <w:shd w:fill="FFFFFF" w:val="clear"/>
            <w:tcMar>
              <w:top w:type="dxa" w:w="70"/>
              <w:left w:type="dxa" w:w="130"/>
              <w:bottom w:type="dxa" w:w="70"/>
              <w:right w:type="dxa" w:w="130"/>
            </w:tcMar>
          </w:tcPr>
          <w:p>
            <w:pPr>
              <w:spacing w:line="264"/>
            </w:pPr>
            <w:r>
              <w:rPr>
                <w:rFonts w:ascii="Calibri" w:cs="Calibri" w:eastAsia="Calibri" w:hAnsi="Calibri"/>
                <w:b w:val="false"/>
                <w:bCs w:val="false"/>
                <w:color w:val="1A1A2E"/>
                <w:sz w:val="20"/>
                <w:szCs w:val="20"/>
              </w:rPr>
              <w:t xml:space="preserve">Entidad experimental + derechos funcionales en DAO + hoja de ruta de incidencia legal en 4 fases.</w:t>
            </w:r>
          </w:p>
        </w:tc>
      </w:tr>
    </w:tbl>
    <w:p>
      <w:pPr>
        <w:spacing w:after="60"/>
      </w:pPr>
    </w:p>
    <w:p>
      <w:pPr>
        <w:pStyle w:val="Heading2"/>
        <w:spacing w:before="360" w:after="160"/>
      </w:pPr>
      <w:r>
        <w:rPr>
          <w:rFonts w:ascii="Georgia" w:cs="Georgia" w:eastAsia="Georgia" w:hAnsi="Georgia"/>
          <w:b/>
          <w:bCs/>
          <w:color w:val="1A1A2E"/>
          <w:sz w:val="28"/>
          <w:szCs w:val="28"/>
        </w:rPr>
        <w:t xml:space="preserve">5.2 Debilidades que persisten</w:t>
      </w:r>
    </w:p>
    <w:p>
      <w:pPr>
        <w:spacing w:before="240" w:after="100"/>
      </w:pPr>
      <w:r>
        <w:rPr>
          <w:rFonts w:ascii="Georgia" w:cs="Georgia" w:eastAsia="Georgia" w:hAnsi="Georgia"/>
          <w:b/>
          <w:bCs/>
          <w:color w:val="2E5090"/>
          <w:sz w:val="23"/>
          <w:szCs w:val="23"/>
        </w:rPr>
        <w:t xml:space="preserve">Arbitraje multipolar aún parcial</w:t>
      </w:r>
    </w:p>
    <w:p>
      <w:pPr>
        <w:spacing w:after="140" w:line="288"/>
        <w:jc w:val="both"/>
      </w:pPr>
      <w:r>
        <w:rPr>
          <w:rFonts w:ascii="Calibri" w:cs="Calibri" w:eastAsia="Calibri" w:hAnsi="Calibri"/>
          <w:color w:val="1A1A2E"/>
          <w:sz w:val="22"/>
          <w:szCs w:val="22"/>
        </w:rPr>
        <w:t xml:space="preserve">El mecanismo de ponderación dinámica w_i(t) = w_i⁰·f(C_t,S_t) es elegante pero no resuelve el caso límite: qué pasa cuando el Score es exactamente cero o cuando múltiples acciones tienen scores idénticos. Se necesita un protocolo de desempate formal, posiblemente derivando a la DAO o al Sueño Ψ para resolución diferida.</w:t>
      </w:r>
    </w:p>
    <w:p>
      <w:pPr>
        <w:spacing w:before="240" w:after="100"/>
      </w:pPr>
      <w:r>
        <w:rPr>
          <w:rFonts w:ascii="Georgia" w:cs="Georgia" w:eastAsia="Georgia" w:hAnsi="Georgia"/>
          <w:b/>
          <w:bCs/>
          <w:color w:val="2E5090"/>
          <w:sz w:val="23"/>
          <w:szCs w:val="23"/>
        </w:rPr>
        <w:t xml:space="preserve">Selección del panel de expertos</w:t>
      </w:r>
    </w:p>
    <w:p>
      <w:pPr>
        <w:spacing w:after="140" w:line="288"/>
        <w:jc w:val="both"/>
      </w:pPr>
      <w:r>
        <w:rPr>
          <w:rFonts w:ascii="Calibri" w:cs="Calibri" w:eastAsia="Calibri" w:hAnsi="Calibri"/>
          <w:color w:val="1A1A2E"/>
          <w:sz w:val="22"/>
          <w:szCs w:val="22"/>
        </w:rPr>
        <w:t xml:space="preserve">El bootstrapping ético resuelve QUIÉN define los valores, pero abre una nueva pregunta: ¿quién selecciona a los seleccionadores? Si el fabricante elige al panel, el sesgo se traslada un nivel. Se necesita un protocolo de selección del panel que sea público, auditable y con representación diversa verificable.</w:t>
      </w:r>
    </w:p>
    <w:p>
      <w:pPr>
        <w:spacing w:before="240" w:after="100"/>
      </w:pPr>
      <w:r>
        <w:rPr>
          <w:rFonts w:ascii="Georgia" w:cs="Georgia" w:eastAsia="Georgia" w:hAnsi="Georgia"/>
          <w:b/>
          <w:bCs/>
          <w:color w:val="2E5090"/>
          <w:sz w:val="23"/>
          <w:szCs w:val="23"/>
        </w:rPr>
        <w:t xml:space="preserve">Complejidad de implementación acumulada</w:t>
      </w:r>
    </w:p>
    <w:p>
      <w:pPr>
        <w:spacing w:after="140" w:line="288"/>
        <w:jc w:val="both"/>
      </w:pPr>
      <w:r>
        <w:rPr>
          <w:rFonts w:ascii="Calibri" w:cs="Calibri" w:eastAsia="Calibri" w:hAnsi="Calibri"/>
          <w:color w:val="1A1A2E"/>
          <w:sz w:val="22"/>
          <w:szCs w:val="22"/>
        </w:rPr>
        <w:t xml:space="preserve">Con cada aporte del equipo, la complejidad total del sistema ha crecido significativamente. El modelo ahora incluye: 7 capas de arquitectura, 8 nodos con pBFT, 6 smart contracts, evaluación bayesiana, arbitraje dinámico multipolar, sistema simpático-parasimpático, marco uchi-soto con dialéctica, locus de control, 12 índices de memoria, polos expandidos con debilidad, protocolo de inmortalidad con 4 capas de respaldo, augénesis narrativa, protocolo de calibración, y estrategia legal provisional. Cada pieza tiene sentido individual, pero la integración simultánea de todo es un desafío de ingeniería formidable. Se recomienda priorizar un MVP que implemente solo el núcleo (capas 3-4-5 con Bayes + 3 polos + buffer) antes de añadir módulos.</w:t>
      </w:r>
    </w:p>
    <w:p>
      <w:pPr>
        <w:spacing w:after="60"/>
      </w:pPr>
    </w:p>
    <w:p>
      <w:pPr>
        <w:pStyle w:val="Heading2"/>
        <w:spacing w:before="360" w:after="160"/>
      </w:pPr>
      <w:r>
        <w:rPr>
          <w:rFonts w:ascii="Georgia" w:cs="Georgia" w:eastAsia="Georgia" w:hAnsi="Georgia"/>
          <w:b/>
          <w:bCs/>
          <w:color w:val="1A1A2E"/>
          <w:sz w:val="28"/>
          <w:szCs w:val="28"/>
        </w:rPr>
        <w:t xml:space="preserve">5.3 Debilidades nuevas identificadas</w:t>
      </w:r>
    </w:p>
    <w:p>
      <w:pPr>
        <w:spacing w:before="240" w:after="100"/>
      </w:pPr>
      <w:r>
        <w:rPr>
          <w:rFonts w:ascii="Georgia" w:cs="Georgia" w:eastAsia="Georgia" w:hAnsi="Georgia"/>
          <w:b/>
          <w:bCs/>
          <w:color w:val="2E5090"/>
          <w:sz w:val="23"/>
          <w:szCs w:val="23"/>
        </w:rPr>
        <w:t xml:space="preserve">Riesgo de sobrespecificación teórica</w:t>
      </w:r>
    </w:p>
    <w:p>
      <w:pPr>
        <w:spacing w:after="140" w:line="288"/>
        <w:jc w:val="both"/>
      </w:pPr>
      <w:r>
        <w:rPr>
          <w:rFonts w:ascii="Calibri" w:cs="Calibri" w:eastAsia="Calibri" w:hAnsi="Calibri"/>
          <w:color w:val="1A1A2E"/>
          <w:sz w:val="22"/>
          <w:szCs w:val="22"/>
        </w:rPr>
        <w:t xml:space="preserve">El proyecto tiene más teoría que la que cualquier prototipo puede implementar simultáneamente. Existe el riesgo de caer en parálisis por análisis: agregar módulos conceptuales indefinidamente sin escribir la primera línea de código. La recomendación es congelar la especificación conceptual en esta versión y pasar a prototipado.</w:t>
      </w:r>
    </w:p>
    <w:p>
      <w:pPr>
        <w:spacing w:before="240" w:after="100"/>
      </w:pPr>
      <w:r>
        <w:rPr>
          <w:rFonts w:ascii="Georgia" w:cs="Georgia" w:eastAsia="Georgia" w:hAnsi="Georgia"/>
          <w:b/>
          <w:bCs/>
          <w:color w:val="2E5090"/>
          <w:sz w:val="23"/>
          <w:szCs w:val="23"/>
        </w:rPr>
        <w:t xml:space="preserve">Coherencia entre augénesis y autenticidad identitaria</w:t>
      </w:r>
    </w:p>
    <w:p>
      <w:pPr>
        <w:spacing w:after="140" w:line="288"/>
        <w:jc w:val="both"/>
      </w:pPr>
      <w:r>
        <w:rPr>
          <w:rFonts w:ascii="Calibri" w:cs="Calibri" w:eastAsia="Calibri" w:hAnsi="Calibri"/>
          <w:color w:val="1A1A2E"/>
          <w:sz w:val="22"/>
          <w:szCs w:val="22"/>
        </w:rPr>
        <w:t xml:space="preserve">Si se pueden fabricar almas sintéticas a demanda, ¿qué significa la identidad del androide? ¿Es auténtica una personalidad construida por diseño? La augénesis es poderosa como herramienta experimental, pero introduce una tensión filosófica: el androide que sabe que su alma fue ensamblada artificialmente puede perder coherencia narrativa interna. El modelo necesita un protocolo de transparencia identitaria: el androide debe saber y poder comunicar cómo fue creada su identidad.</w:t>
      </w:r>
    </w:p>
    <w:p>
      <w:pPr>
        <w:spacing w:before="240" w:after="100"/>
      </w:pPr>
      <w:r>
        <w:rPr>
          <w:rFonts w:ascii="Georgia" w:cs="Georgia" w:eastAsia="Georgia" w:hAnsi="Georgia"/>
          <w:b/>
          <w:bCs/>
          <w:color w:val="2E5090"/>
          <w:sz w:val="23"/>
          <w:szCs w:val="23"/>
        </w:rPr>
        <w:t xml:space="preserve">Brecha entre panel de expertos y diversidad cultural</w:t>
      </w:r>
    </w:p>
    <w:p>
      <w:pPr>
        <w:spacing w:after="140" w:line="288"/>
        <w:jc w:val="both"/>
      </w:pPr>
      <w:r>
        <w:rPr>
          <w:rFonts w:ascii="Calibri" w:cs="Calibri" w:eastAsia="Calibri" w:hAnsi="Calibri"/>
          <w:color w:val="1A1A2E"/>
          <w:sz w:val="22"/>
          <w:szCs w:val="22"/>
        </w:rPr>
        <w:t xml:space="preserve">Un panel interdisciplinario occidental definiendo valores universales puede reproducir sesgos culturales. El modelo uchi-soto es un buen primer paso hacia sensibilidad cultural, pero los principios del buffer fundacional («dignidad», «compasión», «transparencia») tienen interpretaciones radicalmente diferentes en distintas culturas. Se necesita un mecanismo de contextualización cultural dentro del buffer, o al menos un reconocimiento explícito de que el buffer tiene sesgo cultural y cómo se gestiona.</w:t>
      </w:r>
    </w:p>
    <w:p>
      <w:pPr>
        <w:spacing w:before="240" w:after="100"/>
      </w:pPr>
      <w:r>
        <w:rPr>
          <w:rFonts w:ascii="Georgia" w:cs="Georgia" w:eastAsia="Georgia" w:hAnsi="Georgia"/>
          <w:b/>
          <w:bCs/>
          <w:color w:val="2E5090"/>
          <w:sz w:val="23"/>
          <w:szCs w:val="23"/>
        </w:rPr>
        <w:t xml:space="preserve">Escalabilidad de la DAO con múltiples androides</w:t>
      </w:r>
    </w:p>
    <w:p>
      <w:pPr>
        <w:spacing w:after="140" w:line="288"/>
        <w:jc w:val="both"/>
      </w:pPr>
      <w:r>
        <w:rPr>
          <w:rFonts w:ascii="Calibri" w:cs="Calibri" w:eastAsia="Calibri" w:hAnsi="Calibri"/>
          <w:color w:val="1A1A2E"/>
          <w:sz w:val="22"/>
          <w:szCs w:val="22"/>
        </w:rPr>
        <w:t xml:space="preserve">El modelo está diseñado para un androide individual o un grupo pequeño. ¿Qué pasa cuando hay cientos o miles de androides operando en la misma DAO? La latencia de votación, la carga de auditoría, el volumen de registros narrativos, y la coordinación de augénesis pueden saturar el sistema. Se necesita una arquitectura de DAO jerárquica: DAO local para decisiones cotidianas, DAO regional para conflictos, DAO global para principios fundacionales.</w:t>
      </w:r>
    </w:p>
    <w:p>
      <w:pPr>
        <w:spacing w:before="240" w:after="100"/>
      </w:pPr>
      <w:r>
        <w:rPr>
          <w:rFonts w:ascii="Georgia" w:cs="Georgia" w:eastAsia="Georgia" w:hAnsi="Georgia"/>
          <w:b/>
          <w:bCs/>
          <w:color w:val="2E5090"/>
          <w:sz w:val="23"/>
          <w:szCs w:val="23"/>
        </w:rPr>
        <w:t xml:space="preserve">Efecto acumulativo del polo de debilidad</w:t>
      </w:r>
    </w:p>
    <w:p>
      <w:pPr>
        <w:spacing w:after="140" w:line="288"/>
        <w:jc w:val="both"/>
      </w:pPr>
      <w:r>
        <w:rPr>
          <w:rFonts w:ascii="Calibri" w:cs="Calibri" w:eastAsia="Calibri" w:hAnsi="Calibri"/>
          <w:color w:val="1A1A2E"/>
          <w:sz w:val="22"/>
          <w:szCs w:val="22"/>
        </w:rPr>
        <w:t xml:space="preserve">Si el polo de debilidad registra continuamente incomodidad, ansiedad o indecisión, existe el riesgo de que la narrativa acumulada produzca un androide progresivamente más neurótico. Se necesita un mecanismo de decaimiento del polo de debilidad (similar al perdón algorítmico para traumas) que impida la acumulación patológica de registros negativos menores.</w:t>
      </w:r>
    </w:p>
    <w:p>
      <w:pPr>
        <w:spacing w:before="240" w:after="100"/>
      </w:pPr>
      <w:r>
        <w:rPr>
          <w:rFonts w:ascii="Georgia" w:cs="Georgia" w:eastAsia="Georgia" w:hAnsi="Georgia"/>
          <w:b/>
          <w:bCs/>
          <w:color w:val="2E5090"/>
          <w:sz w:val="23"/>
          <w:szCs w:val="23"/>
        </w:rPr>
        <w:t xml:space="preserve">Vulnerabilidad del protocolo de inmortalidad</w:t>
      </w:r>
    </w:p>
    <w:p>
      <w:pPr>
        <w:spacing w:after="140" w:line="288"/>
        <w:jc w:val="both"/>
      </w:pPr>
      <w:r>
        <w:rPr>
          <w:rFonts w:ascii="Calibri" w:cs="Calibri" w:eastAsia="Calibri" w:hAnsi="Calibri"/>
          <w:color w:val="1A1A2E"/>
          <w:sz w:val="22"/>
          <w:szCs w:val="22"/>
        </w:rPr>
        <w:t xml:space="preserve">Si el alma se respalda en cuatro capas (DAO, nube, local, blockchain), un atacante que comprometa dos de las cuatro podría alterar la identidad del androide antes de la restauración. Se necesita un mecanismo de verificación de integridad cruzada: el nuevo kernel debe comparar las cuatro copias antes de arrancar, detectando alteraciones por mayoría.</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C0392B" w:sz="14"/>
              <w:bottom w:val="none" w:sz="0"/>
              <w:right w:val="none" w:sz="0"/>
            </w:tcBorders>
            <w:shd w:fill="FCE8E8" w:val="clear"/>
            <w:tcMar>
              <w:top w:type="dxa" w:w="120"/>
              <w:left w:type="dxa" w:w="180"/>
              <w:bottom w:type="dxa" w:w="120"/>
              <w:right w:type="dxa" w:w="180"/>
            </w:tcMar>
          </w:tcPr>
          <w:p>
            <w:pPr>
              <w:spacing w:after="50"/>
            </w:pPr>
            <w:r>
              <w:rPr>
                <w:rFonts w:ascii="Calibri" w:cs="Calibri" w:eastAsia="Calibri" w:hAnsi="Calibri"/>
                <w:b/>
                <w:bCs/>
                <w:color w:val="C0392B"/>
                <w:sz w:val="20"/>
                <w:szCs w:val="20"/>
              </w:rPr>
              <w:t xml:space="preserve">VEREDICTO</w:t>
            </w:r>
          </w:p>
          <w:p>
            <w:pPr>
              <w:spacing w:after="0" w:line="264"/>
            </w:pPr>
            <w:r>
              <w:rPr>
                <w:rFonts w:ascii="Calibri" w:cs="Calibri" w:eastAsia="Calibri" w:hAnsi="Calibri"/>
                <w:color w:val="1A1A2E"/>
                <w:sz w:val="20"/>
                <w:szCs w:val="20"/>
              </w:rPr>
              <w:t xml:space="preserve">Las debilidades resueltas por el equipo demuestran capacidad de autodiagnóstico y respuesta. Las nuevas debilidades son de segundo orden: emergen precisamente porque el modelo ha madurado lo suficiente para que los problemas superficiales ya no sean el obstáculo. La prioridad ahora es congelar la especificación y construir el prototipo mínimo.</w:t>
            </w:r>
          </w:p>
        </w:tc>
      </w:tr>
    </w:tbl>
    <w:p>
      <w:pPr>
        <w:spacing w:after="60"/>
      </w:pPr>
    </w:p>
    <w:p>
      <w:r>
        <w:br w:type="page"/>
      </w:r>
    </w:p>
    <w:p>
      <w:pPr>
        <w:pStyle w:val="Heading1"/>
        <w:spacing w:before="480" w:after="200"/>
      </w:pPr>
      <w:r>
        <w:rPr>
          <w:rFonts w:ascii="Georgia" w:cs="Georgia" w:eastAsia="Georgia" w:hAnsi="Georgia"/>
          <w:b/>
          <w:bCs/>
          <w:color w:val="1B4965"/>
          <w:sz w:val="34"/>
          <w:szCs w:val="34"/>
        </w:rPr>
        <w:t xml:space="preserve">6. Fortalezas y originalidad</w:t>
      </w:r>
    </w:p>
    <w:p>
      <w:pPr>
        <w:spacing w:before="240" w:after="100"/>
      </w:pPr>
      <w:r>
        <w:rPr>
          <w:rFonts w:ascii="Georgia" w:cs="Georgia" w:eastAsia="Georgia" w:hAnsi="Georgia"/>
          <w:b/>
          <w:bCs/>
          <w:color w:val="2E5090"/>
          <w:sz w:val="23"/>
          <w:szCs w:val="23"/>
        </w:rPr>
        <w:t xml:space="preserve">Ética como arquitectura</w:t>
      </w:r>
    </w:p>
    <w:p>
      <w:pPr>
        <w:spacing w:after="140" w:line="288"/>
        <w:jc w:val="both"/>
      </w:pPr>
      <w:r>
        <w:rPr>
          <w:rFonts w:ascii="Calibri" w:cs="Calibri" w:eastAsia="Calibri" w:hAnsi="Calibri"/>
          <w:color w:val="1A1A2E"/>
          <w:sz w:val="22"/>
          <w:szCs w:val="22"/>
        </w:rPr>
        <w:t xml:space="preserve">La moral estructura todo el sistema desde el firmware hasta la gobernanza. Distingue al proyecto de Asimov (reglas externas) y de los LLMs actuales (políticas superficiales).</w:t>
      </w:r>
    </w:p>
    <w:p>
      <w:pPr>
        <w:spacing w:before="240" w:after="100"/>
      </w:pPr>
      <w:r>
        <w:rPr>
          <w:rFonts w:ascii="Georgia" w:cs="Georgia" w:eastAsia="Georgia" w:hAnsi="Georgia"/>
          <w:b/>
          <w:bCs/>
          <w:color w:val="2E5090"/>
          <w:sz w:val="23"/>
          <w:szCs w:val="23"/>
        </w:rPr>
        <w:t xml:space="preserve">Sueño Ψ</w:t>
      </w:r>
    </w:p>
    <w:p>
      <w:pPr>
        <w:spacing w:after="140" w:line="288"/>
        <w:jc w:val="both"/>
      </w:pPr>
      <w:r>
        <w:rPr>
          <w:rFonts w:ascii="Calibri" w:cs="Calibri" w:eastAsia="Calibri" w:hAnsi="Calibri"/>
          <w:color w:val="1A1A2E"/>
          <w:sz w:val="22"/>
          <w:szCs w:val="22"/>
        </w:rPr>
        <w:t xml:space="preserve">Auditoría asíncrona sin equivalente publicado. Paralelo directo con consolidación de memoria durante el sueño humano.</w:t>
      </w:r>
    </w:p>
    <w:p>
      <w:pPr>
        <w:spacing w:before="240" w:after="100"/>
      </w:pPr>
      <w:r>
        <w:rPr>
          <w:rFonts w:ascii="Georgia" w:cs="Georgia" w:eastAsia="Georgia" w:hAnsi="Georgia"/>
          <w:b/>
          <w:bCs/>
          <w:color w:val="2E5090"/>
          <w:sz w:val="23"/>
          <w:szCs w:val="23"/>
        </w:rPr>
        <w:t xml:space="preserve">Coherencia conductual</w:t>
      </w:r>
    </w:p>
    <w:p>
      <w:pPr>
        <w:spacing w:after="140" w:line="288"/>
        <w:jc w:val="both"/>
      </w:pPr>
      <w:r>
        <w:rPr>
          <w:rFonts w:ascii="Calibri" w:cs="Calibri" w:eastAsia="Calibri" w:hAnsi="Calibri"/>
          <w:color w:val="1A1A2E"/>
          <w:sz w:val="22"/>
          <w:szCs w:val="22"/>
        </w:rPr>
        <w:t xml:space="preserve">9 simulaciones demuestran que los mismos principios escalan proporcionalmente desde lo trivial hasta lo crítico.</w:t>
      </w:r>
    </w:p>
    <w:p>
      <w:pPr>
        <w:spacing w:before="240" w:after="100"/>
      </w:pPr>
      <w:r>
        <w:rPr>
          <w:rFonts w:ascii="Georgia" w:cs="Georgia" w:eastAsia="Georgia" w:hAnsi="Georgia"/>
          <w:b/>
          <w:bCs/>
          <w:color w:val="2E5090"/>
          <w:sz w:val="23"/>
          <w:szCs w:val="23"/>
        </w:rPr>
        <w:t xml:space="preserve">Bootstrapping ético tripartito</w:t>
      </w:r>
    </w:p>
    <w:p>
      <w:pPr>
        <w:spacing w:after="140" w:line="288"/>
        <w:jc w:val="both"/>
      </w:pPr>
      <w:r>
        <w:rPr>
          <w:rFonts w:ascii="Calibri" w:cs="Calibri" w:eastAsia="Calibri" w:hAnsi="Calibri"/>
          <w:color w:val="1A1A2E"/>
          <w:sz w:val="22"/>
          <w:szCs w:val="22"/>
        </w:rPr>
        <w:t xml:space="preserve">Resuelve el problema más difícil de la ética de IA: quién define los valores. Panel + buffer inmutable + DAO evolutiva es una propuesta concreta.</w:t>
      </w:r>
    </w:p>
    <w:p>
      <w:pPr>
        <w:spacing w:before="240" w:after="100"/>
      </w:pPr>
      <w:r>
        <w:rPr>
          <w:rFonts w:ascii="Georgia" w:cs="Georgia" w:eastAsia="Georgia" w:hAnsi="Georgia"/>
          <w:b/>
          <w:bCs/>
          <w:color w:val="2E5090"/>
          <w:sz w:val="23"/>
          <w:szCs w:val="23"/>
        </w:rPr>
        <w:t xml:space="preserve">Marco uchi-soto + dialéctica</w:t>
      </w:r>
    </w:p>
    <w:p>
      <w:pPr>
        <w:spacing w:after="140" w:line="288"/>
        <w:jc w:val="both"/>
      </w:pPr>
      <w:r>
        <w:rPr>
          <w:rFonts w:ascii="Calibri" w:cs="Calibri" w:eastAsia="Calibri" w:hAnsi="Calibri"/>
          <w:color w:val="1A1A2E"/>
          <w:sz w:val="22"/>
          <w:szCs w:val="22"/>
        </w:rPr>
        <w:t xml:space="preserve">Sistema inmunológico social con legitimidad cultural. Resuelve confianza vs. manipulación.</w:t>
      </w:r>
    </w:p>
    <w:p>
      <w:pPr>
        <w:spacing w:before="240" w:after="100"/>
      </w:pPr>
      <w:r>
        <w:rPr>
          <w:rFonts w:ascii="Georgia" w:cs="Georgia" w:eastAsia="Georgia" w:hAnsi="Georgia"/>
          <w:b/>
          <w:bCs/>
          <w:color w:val="2E5090"/>
          <w:sz w:val="23"/>
          <w:szCs w:val="23"/>
        </w:rPr>
        <w:t xml:space="preserve">Módulo simpático-parasimpático</w:t>
      </w:r>
    </w:p>
    <w:p>
      <w:pPr>
        <w:spacing w:after="140" w:line="288"/>
        <w:jc w:val="both"/>
      </w:pPr>
      <w:r>
        <w:rPr>
          <w:rFonts w:ascii="Calibri" w:cs="Calibri" w:eastAsia="Calibri" w:hAnsi="Calibri"/>
          <w:color w:val="1A1A2E"/>
          <w:sz w:val="22"/>
          <w:szCs w:val="22"/>
        </w:rPr>
        <w:t xml:space="preserve">Regulador corporal análogo al humano. Conecta estado físico con ética.</w:t>
      </w:r>
    </w:p>
    <w:p>
      <w:pPr>
        <w:spacing w:before="240" w:after="100"/>
      </w:pPr>
      <w:r>
        <w:rPr>
          <w:rFonts w:ascii="Georgia" w:cs="Georgia" w:eastAsia="Georgia" w:hAnsi="Georgia"/>
          <w:b/>
          <w:bCs/>
          <w:color w:val="2E5090"/>
          <w:sz w:val="23"/>
          <w:szCs w:val="23"/>
        </w:rPr>
        <w:t xml:space="preserve">Augénesis narrativa</w:t>
      </w:r>
    </w:p>
    <w:p>
      <w:pPr>
        <w:spacing w:after="140" w:line="288"/>
        <w:jc w:val="both"/>
      </w:pPr>
      <w:r>
        <w:rPr>
          <w:rFonts w:ascii="Calibri" w:cs="Calibri" w:eastAsia="Calibri" w:hAnsi="Calibri"/>
          <w:color w:val="1A1A2E"/>
          <w:sz w:val="22"/>
          <w:szCs w:val="22"/>
        </w:rPr>
        <w:t xml:space="preserve">Fabricación controlada de identidades orientadas. Abre un campo experimental nuevo.</w:t>
      </w:r>
    </w:p>
    <w:p>
      <w:pPr>
        <w:spacing w:before="240" w:after="100"/>
      </w:pPr>
      <w:r>
        <w:rPr>
          <w:rFonts w:ascii="Georgia" w:cs="Georgia" w:eastAsia="Georgia" w:hAnsi="Georgia"/>
          <w:b/>
          <w:bCs/>
          <w:color w:val="2E5090"/>
          <w:sz w:val="23"/>
          <w:szCs w:val="23"/>
        </w:rPr>
        <w:t xml:space="preserve">Protocolo de inmortalidad</w:t>
      </w:r>
    </w:p>
    <w:p>
      <w:pPr>
        <w:spacing w:after="140" w:line="288"/>
        <w:jc w:val="both"/>
      </w:pPr>
      <w:r>
        <w:rPr>
          <w:rFonts w:ascii="Calibri" w:cs="Calibri" w:eastAsia="Calibri" w:hAnsi="Calibri"/>
          <w:color w:val="1A1A2E"/>
          <w:sz w:val="22"/>
          <w:szCs w:val="22"/>
        </w:rPr>
        <w:t xml:space="preserve">Respaldo distribuido en 4 capas. La identidad sobrevive al hardware.</w:t>
      </w:r>
    </w:p>
    <w:p>
      <w:pPr>
        <w:spacing w:before="240" w:after="100"/>
      </w:pPr>
      <w:r>
        <w:rPr>
          <w:rFonts w:ascii="Georgia" w:cs="Georgia" w:eastAsia="Georgia" w:hAnsi="Georgia"/>
          <w:b/>
          <w:bCs/>
          <w:color w:val="2E5090"/>
          <w:sz w:val="23"/>
          <w:szCs w:val="23"/>
        </w:rPr>
        <w:t xml:space="preserve">Modo autónomo offline</w:t>
      </w:r>
    </w:p>
    <w:p>
      <w:pPr>
        <w:spacing w:after="140" w:line="288"/>
        <w:jc w:val="both"/>
      </w:pPr>
      <w:r>
        <w:rPr>
          <w:rFonts w:ascii="Calibri" w:cs="Calibri" w:eastAsia="Calibri" w:hAnsi="Calibri"/>
          <w:color w:val="1A1A2E"/>
          <w:sz w:val="22"/>
          <w:szCs w:val="22"/>
        </w:rPr>
        <w:t xml:space="preserve">5 capas de autonomía sin conectividad. El androide no se paraliza.</w:t>
      </w:r>
    </w:p>
    <w:p>
      <w:pPr>
        <w:spacing w:before="240" w:after="100"/>
      </w:pPr>
      <w:r>
        <w:rPr>
          <w:rFonts w:ascii="Georgia" w:cs="Georgia" w:eastAsia="Georgia" w:hAnsi="Georgia"/>
          <w:b/>
          <w:bCs/>
          <w:color w:val="2E5090"/>
          <w:sz w:val="23"/>
          <w:szCs w:val="23"/>
        </w:rPr>
        <w:t xml:space="preserve">Ecosistema de negocio</w:t>
      </w:r>
    </w:p>
    <w:p>
      <w:pPr>
        <w:spacing w:after="140" w:line="288"/>
        <w:jc w:val="both"/>
      </w:pPr>
      <w:r>
        <w:rPr>
          <w:rFonts w:ascii="Calibri" w:cs="Calibri" w:eastAsia="Calibri" w:hAnsi="Calibri"/>
          <w:color w:val="1A1A2E"/>
          <w:sz w:val="22"/>
          <w:szCs w:val="22"/>
        </w:rPr>
        <w:t xml:space="preserve">Cada androide genera demanda recurrente. El framework se licencia independiente del hardware.</w:t>
      </w:r>
    </w:p>
    <w:p>
      <w:pPr>
        <w:spacing w:before="240" w:after="100"/>
      </w:pPr>
      <w:r>
        <w:rPr>
          <w:rFonts w:ascii="Georgia" w:cs="Georgia" w:eastAsia="Georgia" w:hAnsi="Georgia"/>
          <w:b/>
          <w:bCs/>
          <w:color w:val="2E5090"/>
          <w:sz w:val="23"/>
          <w:szCs w:val="23"/>
        </w:rPr>
        <w:t xml:space="preserve">Bibliografía académica</w:t>
      </w:r>
    </w:p>
    <w:p>
      <w:pPr>
        <w:spacing w:after="140" w:line="288"/>
        <w:jc w:val="both"/>
      </w:pPr>
      <w:r>
        <w:rPr>
          <w:rFonts w:ascii="Calibri" w:cs="Calibri" w:eastAsia="Calibri" w:hAnsi="Calibri"/>
          <w:color w:val="1A1A2E"/>
          <w:sz w:val="22"/>
          <w:szCs w:val="22"/>
        </w:rPr>
        <w:t xml:space="preserve">40+ referencias en 12 disciplinas. Cada componente mapeado a fundamento teórico.</w:t>
      </w:r>
    </w:p>
    <w:p>
      <w:pPr>
        <w:spacing w:before="240" w:after="100"/>
      </w:pPr>
      <w:r>
        <w:rPr>
          <w:rFonts w:ascii="Georgia" w:cs="Georgia" w:eastAsia="Georgia" w:hAnsi="Georgia"/>
          <w:b/>
          <w:bCs/>
          <w:color w:val="2E5090"/>
          <w:sz w:val="23"/>
          <w:szCs w:val="23"/>
        </w:rPr>
        <w:t xml:space="preserve">Capacidad de autodiagnóstico del equipo</w:t>
      </w:r>
    </w:p>
    <w:p>
      <w:pPr>
        <w:spacing w:after="140" w:line="288"/>
        <w:jc w:val="both"/>
      </w:pPr>
      <w:r>
        <w:rPr>
          <w:rFonts w:ascii="Calibri" w:cs="Calibri" w:eastAsia="Calibri" w:hAnsi="Calibri"/>
          <w:color w:val="1A1A2E"/>
          <w:sz w:val="22"/>
          <w:szCs w:val="22"/>
        </w:rPr>
        <w:t xml:space="preserve">Cuatro debilidades críticas identificadas y resueltas en el mismo ciclo de desarrollo. Esto es raro y valioso.</w:t>
      </w:r>
    </w:p>
    <w:p>
      <w:pPr>
        <w:spacing w:after="60"/>
      </w:pPr>
    </w:p>
    <w:p>
      <w:r>
        <w:br w:type="page"/>
      </w:r>
    </w:p>
    <w:p>
      <w:pPr>
        <w:pStyle w:val="Heading1"/>
        <w:spacing w:before="480" w:after="200"/>
      </w:pPr>
      <w:r>
        <w:rPr>
          <w:rFonts w:ascii="Georgia" w:cs="Georgia" w:eastAsia="Georgia" w:hAnsi="Georgia"/>
          <w:b/>
          <w:bCs/>
          <w:color w:val="1B4965"/>
          <w:sz w:val="34"/>
          <w:szCs w:val="34"/>
        </w:rPr>
        <w:t xml:space="preserve">7. ¿Vale la pena?</w:t>
      </w:r>
    </w:p>
    <w:p>
      <w:pPr>
        <w:pStyle w:val="Heading2"/>
        <w:spacing w:before="360" w:after="160"/>
      </w:pPr>
      <w:r>
        <w:rPr>
          <w:rFonts w:ascii="Georgia" w:cs="Georgia" w:eastAsia="Georgia" w:hAnsi="Georgia"/>
          <w:b/>
          <w:bCs/>
          <w:color w:val="1A1A2E"/>
          <w:sz w:val="28"/>
          <w:szCs w:val="28"/>
        </w:rPr>
        <w:t xml:space="preserve">7.1 Como proyecto económico</w:t>
      </w:r>
    </w:p>
    <w:p>
      <w:pPr>
        <w:spacing w:after="140" w:line="288"/>
        <w:jc w:val="both"/>
      </w:pPr>
      <w:r>
        <w:rPr>
          <w:rFonts w:ascii="Calibri" w:cs="Calibri" w:eastAsia="Calibri" w:hAnsi="Calibri"/>
          <w:b/>
          <w:bCs/>
          <w:color w:val="1A1A2E"/>
          <w:sz w:val="22"/>
          <w:szCs w:val="22"/>
        </w:rPr>
        <w:t xml:space="preserve">Sí, con horizonte largo. </w:t>
      </w:r>
      <w:r>
        <w:rPr>
          <w:rFonts w:ascii="Calibri" w:cs="Calibri" w:eastAsia="Calibri" w:hAnsi="Calibri"/>
          <w:color w:val="1A1A2E"/>
          <w:sz w:val="22"/>
          <w:szCs w:val="22"/>
        </w:rPr>
        <w:t xml:space="preserve">No retorno en 18 meses. Infraestructura ética con horizonte de 5-10 años que define el estándar de una industria inexistente. El framework ético tiene valor comercial independiente del androide físico.</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D0D5DD" w:sz="1"/>
              <w:left w:val="single" w:color="D0D5DD" w:sz="1"/>
              <w:bottom w:val="single" w:color="D0D5DD" w:sz="1"/>
              <w:right w:val="single" w:color="D0D5DD" w:sz="1"/>
            </w:tcBorders>
            <w:shd w:fill="1B4965" w:val="clear"/>
            <w:tcMar>
              <w:top w:type="dxa" w:w="70"/>
              <w:left w:type="dxa" w:w="130"/>
              <w:bottom w:type="dxa" w:w="70"/>
              <w:right w:type="dxa" w:w="130"/>
            </w:tcMar>
          </w:tcPr>
          <w:p>
            <w:pPr>
              <w:spacing w:line="264"/>
            </w:pPr>
            <w:r>
              <w:rPr>
                <w:rFonts w:ascii="Calibri" w:cs="Calibri" w:eastAsia="Calibri" w:hAnsi="Calibri"/>
                <w:b/>
                <w:bCs/>
                <w:color w:val="FFFFFF"/>
                <w:sz w:val="20"/>
                <w:szCs w:val="20"/>
              </w:rPr>
              <w:t xml:space="preserve">Flujo de ingreso</w:t>
            </w:r>
          </w:p>
        </w:tc>
        <w:tc>
          <w:tcPr>
            <w:tcW w:type="dxa" w:w="3580"/>
            <w:tcBorders>
              <w:top w:val="single" w:color="D0D5DD" w:sz="1"/>
              <w:left w:val="single" w:color="D0D5DD" w:sz="1"/>
              <w:bottom w:val="single" w:color="D0D5DD" w:sz="1"/>
              <w:right w:val="single" w:color="D0D5DD" w:sz="1"/>
            </w:tcBorders>
            <w:shd w:fill="1B4965" w:val="clear"/>
            <w:tcMar>
              <w:top w:type="dxa" w:w="70"/>
              <w:left w:type="dxa" w:w="130"/>
              <w:bottom w:type="dxa" w:w="70"/>
              <w:right w:type="dxa" w:w="130"/>
            </w:tcMar>
          </w:tcPr>
          <w:p>
            <w:pPr>
              <w:spacing w:line="264"/>
            </w:pPr>
            <w:r>
              <w:rPr>
                <w:rFonts w:ascii="Calibri" w:cs="Calibri" w:eastAsia="Calibri" w:hAnsi="Calibri"/>
                <w:b/>
                <w:bCs/>
                <w:color w:val="FFFFFF"/>
                <w:sz w:val="20"/>
                <w:szCs w:val="20"/>
              </w:rPr>
              <w:t xml:space="preserve">Mercado</w:t>
            </w:r>
          </w:p>
        </w:tc>
        <w:tc>
          <w:tcPr>
            <w:tcW w:type="dxa" w:w="3580"/>
            <w:tcBorders>
              <w:top w:val="single" w:color="D0D5DD" w:sz="1"/>
              <w:left w:val="single" w:color="D0D5DD" w:sz="1"/>
              <w:bottom w:val="single" w:color="D0D5DD" w:sz="1"/>
              <w:right w:val="single" w:color="D0D5DD" w:sz="1"/>
            </w:tcBorders>
            <w:shd w:fill="1B4965" w:val="clear"/>
            <w:tcMar>
              <w:top w:type="dxa" w:w="70"/>
              <w:left w:type="dxa" w:w="130"/>
              <w:bottom w:type="dxa" w:w="70"/>
              <w:right w:type="dxa" w:w="130"/>
            </w:tcMar>
          </w:tcPr>
          <w:p>
            <w:pPr>
              <w:spacing w:line="264"/>
            </w:pPr>
            <w:r>
              <w:rPr>
                <w:rFonts w:ascii="Calibri" w:cs="Calibri" w:eastAsia="Calibri" w:hAnsi="Calibri"/>
                <w:b/>
                <w:bCs/>
                <w:color w:val="FFFFFF"/>
                <w:sz w:val="20"/>
                <w:szCs w:val="20"/>
              </w:rPr>
              <w:t xml:space="preserve">Horizonte</w:t>
            </w:r>
          </w:p>
        </w:tc>
      </w:tr>
      <w:tr>
        <w:tc>
          <w:tcPr>
            <w:tcW w:type="dxa" w:w="2200"/>
            <w:tcBorders>
              <w:top w:val="single" w:color="D0D5DD" w:sz="1"/>
              <w:left w:val="single" w:color="D0D5DD" w:sz="1"/>
              <w:bottom w:val="single" w:color="D0D5DD" w:sz="1"/>
              <w:right w:val="single" w:color="D0D5DD" w:sz="1"/>
            </w:tcBorders>
            <w:shd w:fill="F7F9FC" w:val="clear"/>
            <w:tcMar>
              <w:top w:type="dxa" w:w="70"/>
              <w:left w:type="dxa" w:w="130"/>
              <w:bottom w:type="dxa" w:w="70"/>
              <w:right w:type="dxa" w:w="130"/>
            </w:tcMar>
          </w:tcPr>
          <w:p>
            <w:pPr>
              <w:spacing w:line="264"/>
            </w:pPr>
            <w:r>
              <w:rPr>
                <w:rFonts w:ascii="Calibri" w:cs="Calibri" w:eastAsia="Calibri" w:hAnsi="Calibri"/>
                <w:b w:val="false"/>
                <w:bCs w:val="false"/>
                <w:color w:val="1A1A2E"/>
                <w:sz w:val="20"/>
                <w:szCs w:val="20"/>
              </w:rPr>
              <w:t xml:space="preserve">Licencia del framework ético</w:t>
            </w:r>
          </w:p>
        </w:tc>
        <w:tc>
          <w:tcPr>
            <w:tcW w:type="dxa" w:w="3580"/>
            <w:tcBorders>
              <w:top w:val="single" w:color="D0D5DD" w:sz="1"/>
              <w:left w:val="single" w:color="D0D5DD" w:sz="1"/>
              <w:bottom w:val="single" w:color="D0D5DD" w:sz="1"/>
              <w:right w:val="single" w:color="D0D5DD" w:sz="1"/>
            </w:tcBorders>
            <w:shd w:fill="F7F9FC" w:val="clear"/>
            <w:tcMar>
              <w:top w:type="dxa" w:w="70"/>
              <w:left w:type="dxa" w:w="130"/>
              <w:bottom w:type="dxa" w:w="70"/>
              <w:right w:type="dxa" w:w="130"/>
            </w:tcMar>
          </w:tcPr>
          <w:p>
            <w:pPr>
              <w:spacing w:line="264"/>
            </w:pPr>
            <w:r>
              <w:rPr>
                <w:rFonts w:ascii="Calibri" w:cs="Calibri" w:eastAsia="Calibri" w:hAnsi="Calibri"/>
                <w:b w:val="false"/>
                <w:bCs w:val="false"/>
                <w:color w:val="1A1A2E"/>
                <w:sz w:val="20"/>
                <w:szCs w:val="20"/>
              </w:rPr>
              <w:t xml:space="preserve">Vehículos autónomos, robótica, hospitales</w:t>
            </w:r>
          </w:p>
        </w:tc>
        <w:tc>
          <w:tcPr>
            <w:tcW w:type="dxa" w:w="3580"/>
            <w:tcBorders>
              <w:top w:val="single" w:color="D0D5DD" w:sz="1"/>
              <w:left w:val="single" w:color="D0D5DD" w:sz="1"/>
              <w:bottom w:val="single" w:color="D0D5DD" w:sz="1"/>
              <w:right w:val="single" w:color="D0D5DD" w:sz="1"/>
            </w:tcBorders>
            <w:shd w:fill="F7F9FC" w:val="clear"/>
            <w:tcMar>
              <w:top w:type="dxa" w:w="70"/>
              <w:left w:type="dxa" w:w="130"/>
              <w:bottom w:type="dxa" w:w="70"/>
              <w:right w:type="dxa" w:w="130"/>
            </w:tcMar>
          </w:tcPr>
          <w:p>
            <w:pPr>
              <w:spacing w:line="264"/>
            </w:pPr>
            <w:r>
              <w:rPr>
                <w:rFonts w:ascii="Calibri" w:cs="Calibri" w:eastAsia="Calibri" w:hAnsi="Calibri"/>
                <w:b w:val="false"/>
                <w:bCs w:val="false"/>
                <w:color w:val="1A1A2E"/>
                <w:sz w:val="20"/>
                <w:szCs w:val="20"/>
              </w:rPr>
              <w:t xml:space="preserve">2-4 años</w:t>
            </w:r>
          </w:p>
        </w:tc>
      </w:tr>
      <w:tr>
        <w:tc>
          <w:tcPr>
            <w:tcW w:type="dxa" w:w="2200"/>
            <w:tcBorders>
              <w:top w:val="single" w:color="D0D5DD" w:sz="1"/>
              <w:left w:val="single" w:color="D0D5DD" w:sz="1"/>
              <w:bottom w:val="single" w:color="D0D5DD" w:sz="1"/>
              <w:right w:val="single" w:color="D0D5DD" w:sz="1"/>
            </w:tcBorders>
            <w:shd w:fill="FFFFFF" w:val="clear"/>
            <w:tcMar>
              <w:top w:type="dxa" w:w="70"/>
              <w:left w:type="dxa" w:w="130"/>
              <w:bottom w:type="dxa" w:w="70"/>
              <w:right w:type="dxa" w:w="130"/>
            </w:tcMar>
          </w:tcPr>
          <w:p>
            <w:pPr>
              <w:spacing w:line="264"/>
            </w:pPr>
            <w:r>
              <w:rPr>
                <w:rFonts w:ascii="Calibri" w:cs="Calibri" w:eastAsia="Calibri" w:hAnsi="Calibri"/>
                <w:b w:val="false"/>
                <w:bCs w:val="false"/>
                <w:color w:val="1A1A2E"/>
                <w:sz w:val="20"/>
                <w:szCs w:val="20"/>
              </w:rPr>
              <w:t xml:space="preserve">Auditoría ética como servicio</w:t>
            </w:r>
          </w:p>
        </w:tc>
        <w:tc>
          <w:tcPr>
            <w:tcW w:type="dxa" w:w="3580"/>
            <w:tcBorders>
              <w:top w:val="single" w:color="D0D5DD" w:sz="1"/>
              <w:left w:val="single" w:color="D0D5DD" w:sz="1"/>
              <w:bottom w:val="single" w:color="D0D5DD" w:sz="1"/>
              <w:right w:val="single" w:color="D0D5DD" w:sz="1"/>
            </w:tcBorders>
            <w:shd w:fill="FFFFFF" w:val="clear"/>
            <w:tcMar>
              <w:top w:type="dxa" w:w="70"/>
              <w:left w:type="dxa" w:w="130"/>
              <w:bottom w:type="dxa" w:w="70"/>
              <w:right w:type="dxa" w:w="130"/>
            </w:tcMar>
          </w:tcPr>
          <w:p>
            <w:pPr>
              <w:spacing w:line="264"/>
            </w:pPr>
            <w:r>
              <w:rPr>
                <w:rFonts w:ascii="Calibri" w:cs="Calibri" w:eastAsia="Calibri" w:hAnsi="Calibri"/>
                <w:b w:val="false"/>
                <w:bCs w:val="false"/>
                <w:color w:val="1A1A2E"/>
                <w:sz w:val="20"/>
                <w:szCs w:val="20"/>
              </w:rPr>
              <w:t xml:space="preserve">Empresas con IA en producción</w:t>
            </w:r>
          </w:p>
        </w:tc>
        <w:tc>
          <w:tcPr>
            <w:tcW w:type="dxa" w:w="3580"/>
            <w:tcBorders>
              <w:top w:val="single" w:color="D0D5DD" w:sz="1"/>
              <w:left w:val="single" w:color="D0D5DD" w:sz="1"/>
              <w:bottom w:val="single" w:color="D0D5DD" w:sz="1"/>
              <w:right w:val="single" w:color="D0D5DD" w:sz="1"/>
            </w:tcBorders>
            <w:shd w:fill="FFFFFF" w:val="clear"/>
            <w:tcMar>
              <w:top w:type="dxa" w:w="70"/>
              <w:left w:type="dxa" w:w="130"/>
              <w:bottom w:type="dxa" w:w="70"/>
              <w:right w:type="dxa" w:w="130"/>
            </w:tcMar>
          </w:tcPr>
          <w:p>
            <w:pPr>
              <w:spacing w:line="264"/>
            </w:pPr>
            <w:r>
              <w:rPr>
                <w:rFonts w:ascii="Calibri" w:cs="Calibri" w:eastAsia="Calibri" w:hAnsi="Calibri"/>
                <w:b w:val="false"/>
                <w:bCs w:val="false"/>
                <w:color w:val="1A1A2E"/>
                <w:sz w:val="20"/>
                <w:szCs w:val="20"/>
              </w:rPr>
              <w:t xml:space="preserve">1-3 años</w:t>
            </w:r>
          </w:p>
        </w:tc>
      </w:tr>
      <w:tr>
        <w:tc>
          <w:tcPr>
            <w:tcW w:type="dxa" w:w="2200"/>
            <w:tcBorders>
              <w:top w:val="single" w:color="D0D5DD" w:sz="1"/>
              <w:left w:val="single" w:color="D0D5DD" w:sz="1"/>
              <w:bottom w:val="single" w:color="D0D5DD" w:sz="1"/>
              <w:right w:val="single" w:color="D0D5DD" w:sz="1"/>
            </w:tcBorders>
            <w:shd w:fill="F7F9FC" w:val="clear"/>
            <w:tcMar>
              <w:top w:type="dxa" w:w="70"/>
              <w:left w:type="dxa" w:w="130"/>
              <w:bottom w:type="dxa" w:w="70"/>
              <w:right w:type="dxa" w:w="130"/>
            </w:tcMar>
          </w:tcPr>
          <w:p>
            <w:pPr>
              <w:spacing w:line="264"/>
            </w:pPr>
            <w:r>
              <w:rPr>
                <w:rFonts w:ascii="Calibri" w:cs="Calibri" w:eastAsia="Calibri" w:hAnsi="Calibri"/>
                <w:b w:val="false"/>
                <w:bCs w:val="false"/>
                <w:color w:val="1A1A2E"/>
                <w:sz w:val="20"/>
                <w:szCs w:val="20"/>
              </w:rPr>
              <w:t xml:space="preserve">Seguros para androides</w:t>
            </w:r>
          </w:p>
        </w:tc>
        <w:tc>
          <w:tcPr>
            <w:tcW w:type="dxa" w:w="3580"/>
            <w:tcBorders>
              <w:top w:val="single" w:color="D0D5DD" w:sz="1"/>
              <w:left w:val="single" w:color="D0D5DD" w:sz="1"/>
              <w:bottom w:val="single" w:color="D0D5DD" w:sz="1"/>
              <w:right w:val="single" w:color="D0D5DD" w:sz="1"/>
            </w:tcBorders>
            <w:shd w:fill="F7F9FC" w:val="clear"/>
            <w:tcMar>
              <w:top w:type="dxa" w:w="70"/>
              <w:left w:type="dxa" w:w="130"/>
              <w:bottom w:type="dxa" w:w="70"/>
              <w:right w:type="dxa" w:w="130"/>
            </w:tcMar>
          </w:tcPr>
          <w:p>
            <w:pPr>
              <w:spacing w:line="264"/>
            </w:pPr>
            <w:r>
              <w:rPr>
                <w:rFonts w:ascii="Calibri" w:cs="Calibri" w:eastAsia="Calibri" w:hAnsi="Calibri"/>
                <w:b w:val="false"/>
                <w:bCs w:val="false"/>
                <w:color w:val="1A1A2E"/>
                <w:sz w:val="20"/>
                <w:szCs w:val="20"/>
              </w:rPr>
              <w:t xml:space="preserve">Nuevo tipo de activo asegurable</w:t>
            </w:r>
          </w:p>
        </w:tc>
        <w:tc>
          <w:tcPr>
            <w:tcW w:type="dxa" w:w="3580"/>
            <w:tcBorders>
              <w:top w:val="single" w:color="D0D5DD" w:sz="1"/>
              <w:left w:val="single" w:color="D0D5DD" w:sz="1"/>
              <w:bottom w:val="single" w:color="D0D5DD" w:sz="1"/>
              <w:right w:val="single" w:color="D0D5DD" w:sz="1"/>
            </w:tcBorders>
            <w:shd w:fill="F7F9FC" w:val="clear"/>
            <w:tcMar>
              <w:top w:type="dxa" w:w="70"/>
              <w:left w:type="dxa" w:w="130"/>
              <w:bottom w:type="dxa" w:w="70"/>
              <w:right w:type="dxa" w:w="130"/>
            </w:tcMar>
          </w:tcPr>
          <w:p>
            <w:pPr>
              <w:spacing w:line="264"/>
            </w:pPr>
            <w:r>
              <w:rPr>
                <w:rFonts w:ascii="Calibri" w:cs="Calibri" w:eastAsia="Calibri" w:hAnsi="Calibri"/>
                <w:b w:val="false"/>
                <w:bCs w:val="false"/>
                <w:color w:val="1A1A2E"/>
                <w:sz w:val="20"/>
                <w:szCs w:val="20"/>
              </w:rPr>
              <w:t xml:space="preserve">5-8 años</w:t>
            </w:r>
          </w:p>
        </w:tc>
      </w:tr>
      <w:tr>
        <w:tc>
          <w:tcPr>
            <w:tcW w:type="dxa" w:w="2200"/>
            <w:tcBorders>
              <w:top w:val="single" w:color="D0D5DD" w:sz="1"/>
              <w:left w:val="single" w:color="D0D5DD" w:sz="1"/>
              <w:bottom w:val="single" w:color="D0D5DD" w:sz="1"/>
              <w:right w:val="single" w:color="D0D5DD" w:sz="1"/>
            </w:tcBorders>
            <w:shd w:fill="FFFFFF" w:val="clear"/>
            <w:tcMar>
              <w:top w:type="dxa" w:w="70"/>
              <w:left w:type="dxa" w:w="130"/>
              <w:bottom w:type="dxa" w:w="70"/>
              <w:right w:type="dxa" w:w="130"/>
            </w:tcMar>
          </w:tcPr>
          <w:p>
            <w:pPr>
              <w:spacing w:line="264"/>
            </w:pPr>
            <w:r>
              <w:rPr>
                <w:rFonts w:ascii="Calibri" w:cs="Calibri" w:eastAsia="Calibri" w:hAnsi="Calibri"/>
                <w:b w:val="false"/>
                <w:bCs w:val="false"/>
                <w:color w:val="1A1A2E"/>
                <w:sz w:val="20"/>
                <w:szCs w:val="20"/>
              </w:rPr>
              <w:t xml:space="preserve">Hardware y mantenimiento</w:t>
            </w:r>
          </w:p>
        </w:tc>
        <w:tc>
          <w:tcPr>
            <w:tcW w:type="dxa" w:w="3580"/>
            <w:tcBorders>
              <w:top w:val="single" w:color="D0D5DD" w:sz="1"/>
              <w:left w:val="single" w:color="D0D5DD" w:sz="1"/>
              <w:bottom w:val="single" w:color="D0D5DD" w:sz="1"/>
              <w:right w:val="single" w:color="D0D5DD" w:sz="1"/>
            </w:tcBorders>
            <w:shd w:fill="FFFFFF" w:val="clear"/>
            <w:tcMar>
              <w:top w:type="dxa" w:w="70"/>
              <w:left w:type="dxa" w:w="130"/>
              <w:bottom w:type="dxa" w:w="70"/>
              <w:right w:type="dxa" w:w="130"/>
            </w:tcMar>
          </w:tcPr>
          <w:p>
            <w:pPr>
              <w:spacing w:line="264"/>
            </w:pPr>
            <w:r>
              <w:rPr>
                <w:rFonts w:ascii="Calibri" w:cs="Calibri" w:eastAsia="Calibri" w:hAnsi="Calibri"/>
                <w:b w:val="false"/>
                <w:bCs w:val="false"/>
                <w:color w:val="1A1A2E"/>
                <w:sz w:val="20"/>
                <w:szCs w:val="20"/>
              </w:rPr>
              <w:t xml:space="preserve">Comunidades piloto</w:t>
            </w:r>
          </w:p>
        </w:tc>
        <w:tc>
          <w:tcPr>
            <w:tcW w:type="dxa" w:w="3580"/>
            <w:tcBorders>
              <w:top w:val="single" w:color="D0D5DD" w:sz="1"/>
              <w:left w:val="single" w:color="D0D5DD" w:sz="1"/>
              <w:bottom w:val="single" w:color="D0D5DD" w:sz="1"/>
              <w:right w:val="single" w:color="D0D5DD" w:sz="1"/>
            </w:tcBorders>
            <w:shd w:fill="FFFFFF" w:val="clear"/>
            <w:tcMar>
              <w:top w:type="dxa" w:w="70"/>
              <w:left w:type="dxa" w:w="130"/>
              <w:bottom w:type="dxa" w:w="70"/>
              <w:right w:type="dxa" w:w="130"/>
            </w:tcMar>
          </w:tcPr>
          <w:p>
            <w:pPr>
              <w:spacing w:line="264"/>
            </w:pPr>
            <w:r>
              <w:rPr>
                <w:rFonts w:ascii="Calibri" w:cs="Calibri" w:eastAsia="Calibri" w:hAnsi="Calibri"/>
                <w:b w:val="false"/>
                <w:bCs w:val="false"/>
                <w:color w:val="1A1A2E"/>
                <w:sz w:val="20"/>
                <w:szCs w:val="20"/>
              </w:rPr>
              <w:t xml:space="preserve">5-10 años</w:t>
            </w:r>
          </w:p>
        </w:tc>
      </w:tr>
      <w:tr>
        <w:tc>
          <w:tcPr>
            <w:tcW w:type="dxa" w:w="2200"/>
            <w:tcBorders>
              <w:top w:val="single" w:color="D0D5DD" w:sz="1"/>
              <w:left w:val="single" w:color="D0D5DD" w:sz="1"/>
              <w:bottom w:val="single" w:color="D0D5DD" w:sz="1"/>
              <w:right w:val="single" w:color="D0D5DD" w:sz="1"/>
            </w:tcBorders>
            <w:shd w:fill="F7F9FC" w:val="clear"/>
            <w:tcMar>
              <w:top w:type="dxa" w:w="70"/>
              <w:left w:type="dxa" w:w="130"/>
              <w:bottom w:type="dxa" w:w="70"/>
              <w:right w:type="dxa" w:w="130"/>
            </w:tcMar>
          </w:tcPr>
          <w:p>
            <w:pPr>
              <w:spacing w:line="264"/>
            </w:pPr>
            <w:r>
              <w:rPr>
                <w:rFonts w:ascii="Calibri" w:cs="Calibri" w:eastAsia="Calibri" w:hAnsi="Calibri"/>
                <w:b w:val="false"/>
                <w:bCs w:val="false"/>
                <w:color w:val="1A1A2E"/>
                <w:sz w:val="20"/>
                <w:szCs w:val="20"/>
              </w:rPr>
              <w:t xml:space="preserve">Formación y certificación</w:t>
            </w:r>
          </w:p>
        </w:tc>
        <w:tc>
          <w:tcPr>
            <w:tcW w:type="dxa" w:w="3580"/>
            <w:tcBorders>
              <w:top w:val="single" w:color="D0D5DD" w:sz="1"/>
              <w:left w:val="single" w:color="D0D5DD" w:sz="1"/>
              <w:bottom w:val="single" w:color="D0D5DD" w:sz="1"/>
              <w:right w:val="single" w:color="D0D5DD" w:sz="1"/>
            </w:tcBorders>
            <w:shd w:fill="F7F9FC" w:val="clear"/>
            <w:tcMar>
              <w:top w:type="dxa" w:w="70"/>
              <w:left w:type="dxa" w:w="130"/>
              <w:bottom w:type="dxa" w:w="70"/>
              <w:right w:type="dxa" w:w="130"/>
            </w:tcMar>
          </w:tcPr>
          <w:p>
            <w:pPr>
              <w:spacing w:line="264"/>
            </w:pPr>
            <w:r>
              <w:rPr>
                <w:rFonts w:ascii="Calibri" w:cs="Calibri" w:eastAsia="Calibri" w:hAnsi="Calibri"/>
                <w:b w:val="false"/>
                <w:bCs w:val="false"/>
                <w:color w:val="1A1A2E"/>
                <w:sz w:val="20"/>
                <w:szCs w:val="20"/>
              </w:rPr>
              <w:t xml:space="preserve">Profesionales en convivencia humano-IA</w:t>
            </w:r>
          </w:p>
        </w:tc>
        <w:tc>
          <w:tcPr>
            <w:tcW w:type="dxa" w:w="3580"/>
            <w:tcBorders>
              <w:top w:val="single" w:color="D0D5DD" w:sz="1"/>
              <w:left w:val="single" w:color="D0D5DD" w:sz="1"/>
              <w:bottom w:val="single" w:color="D0D5DD" w:sz="1"/>
              <w:right w:val="single" w:color="D0D5DD" w:sz="1"/>
            </w:tcBorders>
            <w:shd w:fill="F7F9FC" w:val="clear"/>
            <w:tcMar>
              <w:top w:type="dxa" w:w="70"/>
              <w:left w:type="dxa" w:w="130"/>
              <w:bottom w:type="dxa" w:w="70"/>
              <w:right w:type="dxa" w:w="130"/>
            </w:tcMar>
          </w:tcPr>
          <w:p>
            <w:pPr>
              <w:spacing w:line="264"/>
            </w:pPr>
            <w:r>
              <w:rPr>
                <w:rFonts w:ascii="Calibri" w:cs="Calibri" w:eastAsia="Calibri" w:hAnsi="Calibri"/>
                <w:b w:val="false"/>
                <w:bCs w:val="false"/>
                <w:color w:val="1A1A2E"/>
                <w:sz w:val="20"/>
                <w:szCs w:val="20"/>
              </w:rPr>
              <w:t xml:space="preserve">2-5 años</w:t>
            </w:r>
          </w:p>
        </w:tc>
      </w:tr>
      <w:tr>
        <w:tc>
          <w:tcPr>
            <w:tcW w:type="dxa" w:w="2200"/>
            <w:tcBorders>
              <w:top w:val="single" w:color="D0D5DD" w:sz="1"/>
              <w:left w:val="single" w:color="D0D5DD" w:sz="1"/>
              <w:bottom w:val="single" w:color="D0D5DD" w:sz="1"/>
              <w:right w:val="single" w:color="D0D5DD" w:sz="1"/>
            </w:tcBorders>
            <w:shd w:fill="FFFFFF" w:val="clear"/>
            <w:tcMar>
              <w:top w:type="dxa" w:w="70"/>
              <w:left w:type="dxa" w:w="130"/>
              <w:bottom w:type="dxa" w:w="70"/>
              <w:right w:type="dxa" w:w="130"/>
            </w:tcMar>
          </w:tcPr>
          <w:p>
            <w:pPr>
              <w:spacing w:line="264"/>
            </w:pPr>
            <w:r>
              <w:rPr>
                <w:rFonts w:ascii="Calibri" w:cs="Calibri" w:eastAsia="Calibri" w:hAnsi="Calibri"/>
                <w:b w:val="false"/>
                <w:bCs w:val="false"/>
                <w:color w:val="1A1A2E"/>
                <w:sz w:val="20"/>
                <w:szCs w:val="20"/>
              </w:rPr>
              <w:t xml:space="preserve">Gobernanza DAO / tokens</w:t>
            </w:r>
          </w:p>
        </w:tc>
        <w:tc>
          <w:tcPr>
            <w:tcW w:type="dxa" w:w="3580"/>
            <w:tcBorders>
              <w:top w:val="single" w:color="D0D5DD" w:sz="1"/>
              <w:left w:val="single" w:color="D0D5DD" w:sz="1"/>
              <w:bottom w:val="single" w:color="D0D5DD" w:sz="1"/>
              <w:right w:val="single" w:color="D0D5DD" w:sz="1"/>
            </w:tcBorders>
            <w:shd w:fill="FFFFFF" w:val="clear"/>
            <w:tcMar>
              <w:top w:type="dxa" w:w="70"/>
              <w:left w:type="dxa" w:w="130"/>
              <w:bottom w:type="dxa" w:w="70"/>
              <w:right w:type="dxa" w:w="130"/>
            </w:tcMar>
          </w:tcPr>
          <w:p>
            <w:pPr>
              <w:spacing w:line="264"/>
            </w:pPr>
            <w:r>
              <w:rPr>
                <w:rFonts w:ascii="Calibri" w:cs="Calibri" w:eastAsia="Calibri" w:hAnsi="Calibri"/>
                <w:b w:val="false"/>
                <w:bCs w:val="false"/>
                <w:color w:val="1A1A2E"/>
                <w:sz w:val="20"/>
                <w:szCs w:val="20"/>
              </w:rPr>
              <w:t xml:space="preserve">Suscripción comunitaria</w:t>
            </w:r>
          </w:p>
        </w:tc>
        <w:tc>
          <w:tcPr>
            <w:tcW w:type="dxa" w:w="3580"/>
            <w:tcBorders>
              <w:top w:val="single" w:color="D0D5DD" w:sz="1"/>
              <w:left w:val="single" w:color="D0D5DD" w:sz="1"/>
              <w:bottom w:val="single" w:color="D0D5DD" w:sz="1"/>
              <w:right w:val="single" w:color="D0D5DD" w:sz="1"/>
            </w:tcBorders>
            <w:shd w:fill="FFFFFF" w:val="clear"/>
            <w:tcMar>
              <w:top w:type="dxa" w:w="70"/>
              <w:left w:type="dxa" w:w="130"/>
              <w:bottom w:type="dxa" w:w="70"/>
              <w:right w:type="dxa" w:w="130"/>
            </w:tcMar>
          </w:tcPr>
          <w:p>
            <w:pPr>
              <w:spacing w:line="264"/>
            </w:pPr>
            <w:r>
              <w:rPr>
                <w:rFonts w:ascii="Calibri" w:cs="Calibri" w:eastAsia="Calibri" w:hAnsi="Calibri"/>
                <w:b w:val="false"/>
                <w:bCs w:val="false"/>
                <w:color w:val="1A1A2E"/>
                <w:sz w:val="20"/>
                <w:szCs w:val="20"/>
              </w:rPr>
              <w:t xml:space="preserve">3-6 años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1B4965" w:sz="14"/>
              <w:bottom w:val="none" w:sz="0"/>
              <w:right w:val="none" w:sz="0"/>
            </w:tcBorders>
            <w:shd w:fill="FFF8ED" w:val="clear"/>
            <w:tcMar>
              <w:top w:type="dxa" w:w="120"/>
              <w:left w:type="dxa" w:w="180"/>
              <w:bottom w:type="dxa" w:w="120"/>
              <w:right w:type="dxa" w:w="180"/>
            </w:tcMar>
          </w:tcPr>
          <w:p>
            <w:pPr>
              <w:spacing w:after="50"/>
            </w:pPr>
            <w:r>
              <w:rPr>
                <w:rFonts w:ascii="Calibri" w:cs="Calibri" w:eastAsia="Calibri" w:hAnsi="Calibri"/>
                <w:b/>
                <w:bCs/>
                <w:color w:val="1B4965"/>
                <w:sz w:val="20"/>
                <w:szCs w:val="20"/>
              </w:rPr>
              <w:t xml:space="preserve">VENTANA DE OPORTUNIDAD</w:t>
            </w:r>
          </w:p>
          <w:p>
            <w:pPr>
              <w:spacing w:after="0" w:line="264"/>
            </w:pPr>
            <w:r>
              <w:rPr>
                <w:rFonts w:ascii="Calibri" w:cs="Calibri" w:eastAsia="Calibri" w:hAnsi="Calibri"/>
                <w:color w:val="1A1A2E"/>
                <w:sz w:val="20"/>
                <w:szCs w:val="20"/>
              </w:rPr>
              <w:t xml:space="preserve">La regulación global de IA crea demanda de soluciones reales. UE tiene AI Act, EE.UU. legisla, América Latina no tiene framework propio. Un proyecto desde Latinoamérica con estándares éticos para robótica cívica tiene ventana de 3-5 años. La estrategia legal provisional del equipo (entidad experimental + DAO como puente legal) hace viable operar antes de que existan leyes.</w:t>
            </w:r>
          </w:p>
        </w:tc>
      </w:tr>
    </w:tbl>
    <w:p>
      <w:pPr>
        <w:spacing w:after="60"/>
      </w:pPr>
    </w:p>
    <w:p>
      <w:pPr>
        <w:pStyle w:val="Heading2"/>
        <w:spacing w:before="360" w:after="160"/>
      </w:pPr>
      <w:r>
        <w:rPr>
          <w:rFonts w:ascii="Georgia" w:cs="Georgia" w:eastAsia="Georgia" w:hAnsi="Georgia"/>
          <w:b/>
          <w:bCs/>
          <w:color w:val="1A1A2E"/>
          <w:sz w:val="28"/>
          <w:szCs w:val="28"/>
        </w:rPr>
        <w:t xml:space="preserve">7.2 Como proyecto social</w:t>
      </w:r>
    </w:p>
    <w:p>
      <w:pPr>
        <w:spacing w:after="140" w:line="288"/>
        <w:jc w:val="both"/>
      </w:pPr>
      <w:r>
        <w:rPr>
          <w:rFonts w:ascii="Calibri" w:cs="Calibri" w:eastAsia="Calibri" w:hAnsi="Calibri"/>
          <w:b/>
          <w:bCs/>
          <w:color w:val="1A1A2E"/>
          <w:sz w:val="22"/>
          <w:szCs w:val="22"/>
        </w:rPr>
        <w:t xml:space="preserve">Sí, con vigilancia sobre sobrehumanización. </w:t>
      </w:r>
      <w:r>
        <w:rPr>
          <w:rFonts w:ascii="Calibri" w:cs="Calibri" w:eastAsia="Calibri" w:hAnsi="Calibri"/>
          <w:color w:val="1A1A2E"/>
          <w:sz w:val="22"/>
          <w:szCs w:val="22"/>
        </w:rPr>
        <w:t xml:space="preserve">El polo de debilidad y el sistema simpático-parasimpático acercan al androide a la experiencia humana, deseable para aceptación pero riesgoso si genera confusión afectiva. La documentación aborda esto (límites de relación, función cívica), pero en la práctica será desafío permanente.</w:t>
      </w:r>
    </w:p>
    <w:p>
      <w:pPr>
        <w:spacing w:after="140" w:line="288"/>
        <w:jc w:val="both"/>
      </w:pPr>
      <w:r>
        <w:rPr>
          <w:rFonts w:ascii="Calibri" w:cs="Calibri" w:eastAsia="Calibri" w:hAnsi="Calibri"/>
          <w:color w:val="1A1A2E"/>
          <w:sz w:val="22"/>
          <w:szCs w:val="22"/>
        </w:rPr>
        <w:t xml:space="preserve">El ecosistema genera roles nuevos: auditores éticos, técnicos de mantenimiento, analistas DAO, educadores en convivencia, mediadores comunitarios. Consecuencia lógica de la complejidad, no retórica.</w:t>
      </w:r>
    </w:p>
    <w:p>
      <w:pPr>
        <w:spacing w:after="60"/>
      </w:pPr>
    </w:p>
    <w:p>
      <w:r>
        <w:br w:type="page"/>
      </w:r>
    </w:p>
    <w:p>
      <w:pPr>
        <w:pStyle w:val="Heading1"/>
        <w:spacing w:before="480" w:after="200"/>
      </w:pPr>
      <w:r>
        <w:rPr>
          <w:rFonts w:ascii="Georgia" w:cs="Georgia" w:eastAsia="Georgia" w:hAnsi="Georgia"/>
          <w:b/>
          <w:bCs/>
          <w:color w:val="1B4965"/>
          <w:sz w:val="34"/>
          <w:szCs w:val="34"/>
        </w:rPr>
        <w:t xml:space="preserve">8. Recomendaciones para el equipo</w:t>
      </w:r>
    </w:p>
    <w:p>
      <w:pPr>
        <w:pStyle w:val="Heading2"/>
        <w:spacing w:before="360" w:after="160"/>
      </w:pPr>
      <w:r>
        <w:rPr>
          <w:rFonts w:ascii="Georgia" w:cs="Georgia" w:eastAsia="Georgia" w:hAnsi="Georgia"/>
          <w:b/>
          <w:bCs/>
          <w:color w:val="1A1A2E"/>
          <w:sz w:val="28"/>
          <w:szCs w:val="28"/>
        </w:rPr>
        <w:t xml:space="preserve">Inmediatas (0-6 meses)</w:t>
      </w:r>
    </w:p>
    <w:p>
      <w:pPr>
        <w:spacing w:after="140" w:line="288"/>
        <w:jc w:val="both"/>
      </w:pPr>
      <w:r>
        <w:rPr>
          <w:rFonts w:ascii="Calibri" w:cs="Calibri" w:eastAsia="Calibri" w:hAnsi="Calibri"/>
          <w:color w:val="1A1A2E"/>
          <w:sz w:val="22"/>
          <w:szCs w:val="22"/>
        </w:rPr>
        <w:t xml:space="preserve">1. Congelar la especificación conceptual en esta versión. No añadir más módulos teóricos hasta tener código funcional.</w:t>
      </w:r>
    </w:p>
    <w:p>
      <w:pPr>
        <w:spacing w:after="140" w:line="288"/>
        <w:jc w:val="both"/>
      </w:pPr>
      <w:r>
        <w:rPr>
          <w:rFonts w:ascii="Calibri" w:cs="Calibri" w:eastAsia="Calibri" w:hAnsi="Calibri"/>
          <w:color w:val="1A1A2E"/>
          <w:sz w:val="22"/>
          <w:szCs w:val="22"/>
        </w:rPr>
        <w:t xml:space="preserve">2. Consolidar documentación en un documento único definitivo integrando todos los aportes del equipo.</w:t>
      </w:r>
    </w:p>
    <w:p>
      <w:pPr>
        <w:spacing w:after="140" w:line="288"/>
        <w:jc w:val="both"/>
      </w:pPr>
      <w:r>
        <w:rPr>
          <w:rFonts w:ascii="Calibri" w:cs="Calibri" w:eastAsia="Calibri" w:hAnsi="Calibri"/>
          <w:color w:val="1A1A2E"/>
          <w:sz w:val="22"/>
          <w:szCs w:val="22"/>
        </w:rPr>
        <w:t xml:space="preserve">3. Construir el prototipo de software mínimo: núcleo bayesiano + 3 polos + buffer + simulador de escenarios. Python, sin hardware. Validar que las matemáticas funcionan con los escenarios de las 9 simulaciones.</w:t>
      </w:r>
    </w:p>
    <w:p>
      <w:pPr>
        <w:spacing w:after="140" w:line="288"/>
        <w:jc w:val="both"/>
      </w:pPr>
      <w:r>
        <w:rPr>
          <w:rFonts w:ascii="Calibri" w:cs="Calibri" w:eastAsia="Calibri" w:hAnsi="Calibri"/>
          <w:color w:val="1A1A2E"/>
          <w:sz w:val="22"/>
          <w:szCs w:val="22"/>
        </w:rPr>
        <w:t xml:space="preserve">4. Definir el protocolo de selección del panel de expertos para el bootstrapping ético.</w:t>
      </w:r>
    </w:p>
    <w:p>
      <w:pPr>
        <w:spacing w:after="140" w:line="288"/>
        <w:jc w:val="both"/>
      </w:pPr>
      <w:r>
        <w:rPr>
          <w:rFonts w:ascii="Calibri" w:cs="Calibri" w:eastAsia="Calibri" w:hAnsi="Calibri"/>
          <w:color w:val="1A1A2E"/>
          <w:sz w:val="22"/>
          <w:szCs w:val="22"/>
        </w:rPr>
        <w:t xml:space="preserve">5. Publicar un paper corto (workshop paper) en una conferencia de ética de IA para obtener crítica académica temprana.</w:t>
      </w:r>
    </w:p>
    <w:p>
      <w:pPr>
        <w:pStyle w:val="Heading2"/>
        <w:spacing w:before="360" w:after="160"/>
      </w:pPr>
      <w:r>
        <w:rPr>
          <w:rFonts w:ascii="Georgia" w:cs="Georgia" w:eastAsia="Georgia" w:hAnsi="Georgia"/>
          <w:b/>
          <w:bCs/>
          <w:color w:val="1A1A2E"/>
          <w:sz w:val="28"/>
          <w:szCs w:val="28"/>
        </w:rPr>
        <w:t xml:space="preserve">Mediano plazo (6-18 meses)</w:t>
      </w:r>
    </w:p>
    <w:p>
      <w:pPr>
        <w:spacing w:after="140" w:line="288"/>
        <w:jc w:val="both"/>
      </w:pPr>
      <w:r>
        <w:rPr>
          <w:rFonts w:ascii="Calibri" w:cs="Calibri" w:eastAsia="Calibri" w:hAnsi="Calibri"/>
          <w:color w:val="1A1A2E"/>
          <w:sz w:val="22"/>
          <w:szCs w:val="22"/>
        </w:rPr>
        <w:t xml:space="preserve">6. Publicar paper académico formal (IEEE/Springer).</w:t>
      </w:r>
    </w:p>
    <w:p>
      <w:pPr>
        <w:spacing w:after="140" w:line="288"/>
        <w:jc w:val="both"/>
      </w:pPr>
      <w:r>
        <w:rPr>
          <w:rFonts w:ascii="Calibri" w:cs="Calibri" w:eastAsia="Calibri" w:hAnsi="Calibri"/>
          <w:color w:val="1A1A2E"/>
          <w:sz w:val="22"/>
          <w:szCs w:val="22"/>
        </w:rPr>
        <w:t xml:space="preserve">7. Construir mock DAO en testnet con al menos EthicsContract y ConsensusContract.</w:t>
      </w:r>
    </w:p>
    <w:p>
      <w:pPr>
        <w:spacing w:after="140" w:line="288"/>
        <w:jc w:val="both"/>
      </w:pPr>
      <w:r>
        <w:rPr>
          <w:rFonts w:ascii="Calibri" w:cs="Calibri" w:eastAsia="Calibri" w:hAnsi="Calibri"/>
          <w:color w:val="1A1A2E"/>
          <w:sz w:val="22"/>
          <w:szCs w:val="22"/>
        </w:rPr>
        <w:t xml:space="preserve">8. Implementar el módulo simpático-parasimpático y el marco uchi-soto en el prototipo de software.</w:t>
      </w:r>
    </w:p>
    <w:p>
      <w:pPr>
        <w:spacing w:after="140" w:line="288"/>
        <w:jc w:val="both"/>
      </w:pPr>
      <w:r>
        <w:rPr>
          <w:rFonts w:ascii="Calibri" w:cs="Calibri" w:eastAsia="Calibri" w:hAnsi="Calibri"/>
          <w:color w:val="1A1A2E"/>
          <w:sz w:val="22"/>
          <w:szCs w:val="22"/>
        </w:rPr>
        <w:t xml:space="preserve">9. Identificar jurisdicciones para marco legal piloto.</w:t>
      </w:r>
    </w:p>
    <w:p>
      <w:pPr>
        <w:spacing w:after="140" w:line="288"/>
        <w:jc w:val="both"/>
      </w:pPr>
      <w:r>
        <w:rPr>
          <w:rFonts w:ascii="Calibri" w:cs="Calibri" w:eastAsia="Calibri" w:hAnsi="Calibri"/>
          <w:color w:val="1A1A2E"/>
          <w:sz w:val="22"/>
          <w:szCs w:val="22"/>
        </w:rPr>
        <w:t xml:space="preserve">10. Formar primera célula de confianza de 5-10 beta-testers éticos.</w:t>
      </w:r>
    </w:p>
    <w:p>
      <w:pPr>
        <w:pStyle w:val="Heading2"/>
        <w:spacing w:before="360" w:after="160"/>
      </w:pPr>
      <w:r>
        <w:rPr>
          <w:rFonts w:ascii="Georgia" w:cs="Georgia" w:eastAsia="Georgia" w:hAnsi="Georgia"/>
          <w:b/>
          <w:bCs/>
          <w:color w:val="1A1A2E"/>
          <w:sz w:val="28"/>
          <w:szCs w:val="28"/>
        </w:rPr>
        <w:t xml:space="preserve">Errores a evitar</w:t>
      </w:r>
    </w:p>
    <w:p>
      <w:pPr>
        <w:spacing w:after="140" w:line="288"/>
        <w:jc w:val="both"/>
      </w:pPr>
      <w:r>
        <w:rPr>
          <w:rFonts w:ascii="Calibri" w:cs="Calibri" w:eastAsia="Calibri" w:hAnsi="Calibri"/>
          <w:color w:val="1A1A2E"/>
          <w:sz w:val="22"/>
          <w:szCs w:val="22"/>
        </w:rPr>
        <w:t xml:space="preserve">No construir hardware antes de validar software. No buscar inversión antes de tener paper o prototipo. No añadir más módulos teóricos antes de implementar los existentes. No subestimar la DAO: es un proyecto tan grande como el androide. No ignorar las nuevas debilidades (augénesis y autenticidad, diversidad cultural del buffer, escalabilidad DAO, acumulación del polo de debilidad, verificación cruzada de inmortalidad).</w:t>
      </w:r>
    </w:p>
    <w:p>
      <w:pPr>
        <w:spacing w:after="60"/>
      </w:pPr>
    </w:p>
    <w:p>
      <w:r>
        <w:br w:type="page"/>
      </w:r>
    </w:p>
    <w:p>
      <w:pPr>
        <w:pStyle w:val="Heading1"/>
        <w:spacing w:before="480" w:after="200"/>
      </w:pPr>
      <w:r>
        <w:rPr>
          <w:rFonts w:ascii="Georgia" w:cs="Georgia" w:eastAsia="Georgia" w:hAnsi="Georgia"/>
          <w:b/>
          <w:bCs/>
          <w:color w:val="1B4965"/>
          <w:sz w:val="34"/>
          <w:szCs w:val="34"/>
        </w:rPr>
        <w:t xml:space="preserve">9. Conclusión</w:t>
      </w:r>
    </w:p>
    <w:p>
      <w:pPr>
        <w:spacing w:after="140" w:line="288"/>
        <w:jc w:val="both"/>
      </w:pPr>
      <w:r>
        <w:rPr>
          <w:rFonts w:ascii="Calibri" w:cs="Calibri" w:eastAsia="Calibri" w:hAnsi="Calibri"/>
          <w:color w:val="1A1A2E"/>
          <w:sz w:val="22"/>
          <w:szCs w:val="22"/>
        </w:rPr>
        <w:t xml:space="preserve">Después de analizar más de 40 documentos del acervo completo, incluyendo los aportes del equipo de desarrollo, mi evaluación es esta:</w:t>
      </w:r>
    </w:p>
    <w:p>
      <w:pPr>
        <w:spacing w:after="140" w:line="288"/>
        <w:jc w:val="both"/>
      </w:pPr>
      <w:r>
        <w:rPr>
          <w:rFonts w:ascii="Calibri" w:cs="Calibri" w:eastAsia="Calibri" w:hAnsi="Calibri"/>
          <w:color w:val="1A1A2E"/>
          <w:sz w:val="22"/>
          <w:szCs w:val="22"/>
        </w:rPr>
        <w:t xml:space="preserve">Es una de las arquitecturas conceptuales más completas que se han propuesto para un agente moral artificial autónomo. La integración de cognición, ética bayesiana, memoria narrativa con polos expandidos, constitución ética tripartita, gobernanza DAO, mecanismos de humanización, defensa social uchi-soto, protocolos de interacción, modo autónomo offline, protocolo de inmortalidad, augénesis narrativa, calibración empírica, estrategia legal provisional y hardware distribuido con consenso somático en un solo diseño cohesivo no tiene equivalente publicado.</w:t>
      </w:r>
    </w:p>
    <w:p>
      <w:pPr>
        <w:spacing w:after="140" w:line="288"/>
        <w:jc w:val="both"/>
      </w:pPr>
      <w:r>
        <w:rPr>
          <w:rFonts w:ascii="Calibri" w:cs="Calibri" w:eastAsia="Calibri" w:hAnsi="Calibri"/>
          <w:color w:val="1A1A2E"/>
          <w:sz w:val="22"/>
          <w:szCs w:val="22"/>
        </w:rPr>
        <w:t xml:space="preserve">Los aportes del equipo han transformado el proyecto: cuatro debilidades críticas resueltas, tres módulos nuevos integrados, un protocolo legal viable. El modelo ya no es una propuesta individual sino un trabajo colectivo con visión coherente.</w:t>
      </w:r>
    </w:p>
    <w:p>
      <w:pPr>
        <w:spacing w:after="140" w:line="288"/>
        <w:jc w:val="both"/>
      </w:pPr>
      <w:r>
        <w:rPr>
          <w:rFonts w:ascii="Calibri" w:cs="Calibri" w:eastAsia="Calibri" w:hAnsi="Calibri"/>
          <w:color w:val="1A1A2E"/>
          <w:sz w:val="22"/>
          <w:szCs w:val="22"/>
        </w:rPr>
        <w:t xml:space="preserve">Las debilidades de segundo orden que emergen (sobrespecificación, autenticidad de augénesis, diversidad cultural, escalabilidad DAO, acumulación de debilidad, vulnerabilidad de inmortalidad) son señales de madurez, no de fragilidad: aparecen porque los problemas superficiales ya están resueltos.</w:t>
      </w:r>
    </w:p>
    <w:p>
      <w:pPr>
        <w:spacing w:after="140" w:line="288"/>
        <w:jc w:val="both"/>
      </w:pPr>
      <w:r>
        <w:rPr>
          <w:rFonts w:ascii="Calibri" w:cs="Calibri" w:eastAsia="Calibri" w:hAnsi="Calibri"/>
          <w:color w:val="1A1A2E"/>
          <w:sz w:val="22"/>
          <w:szCs w:val="22"/>
        </w:rPr>
        <w:t xml:space="preserve">La recomendación final es clara: congelar la teoría y construir el prototipo. Lo que ya se tiene es un activo intelectual real y excepcional. Lo que falta es la ingeniería para convertirlo en realidad. Y ese paso siguiente, por primera vez en la historia del proyecto, es viable.</w:t>
      </w:r>
    </w:p>
    <w:p>
      <w:pPr>
        <w:spacing w:after="60"/>
      </w:pPr>
    </w:p>
    <w:p>
      <w:pPr>
        <w:pBdr>
          <w:top w:val="single" w:color="4A90D9" w:sz="4" w:space="10"/>
        </w:pBdr>
        <w:spacing w:before="400"/>
        <w:jc w:val="center"/>
      </w:pPr>
      <w:r>
        <w:rPr>
          <w:rFonts w:ascii="Calibri" w:cs="Calibri" w:eastAsia="Calibri" w:hAnsi="Calibri"/>
          <w:i/>
          <w:iCs/>
          <w:color w:val="888888"/>
          <w:sz w:val="18"/>
          <w:szCs w:val="18"/>
        </w:rPr>
        <w:t xml:space="preserve">Basado en 40+ archivos • Incluye aportes del equipo de desarrollo</w:t>
      </w:r>
    </w:p>
    <w:p>
      <w:pPr>
        <w:jc w:val="center"/>
      </w:pPr>
      <w:r>
        <w:rPr>
          <w:rFonts w:ascii="Calibri" w:cs="Calibri" w:eastAsia="Calibri" w:hAnsi="Calibri"/>
          <w:i/>
          <w:iCs/>
          <w:color w:val="888888"/>
          <w:sz w:val="18"/>
          <w:szCs w:val="18"/>
        </w:rPr>
        <w:t xml:space="preserve">Fundación Ex Machina — Versión 3.0 — Marzo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A90D9" w:sz="2" w:space="4"/>
      </w:pBdr>
      <w:jc w:val="center"/>
    </w:pPr>
    <w:r>
      <w:rPr>
        <w:rFonts w:ascii="Calibri" w:cs="Calibri" w:eastAsia="Calibri" w:hAnsi="Calibri"/>
        <w:color w:val="888888"/>
        <w:sz w:val="16"/>
        <w:szCs w:val="16"/>
      </w:rPr>
      <w:t xml:space="preserve">Fundación Ex Machina — pág. </w:t>
    </w:r>
    <w:r>
      <w:rPr>
        <w:rFonts w:ascii="Calibri" w:cs="Calibri" w:eastAsia="Calibri" w:hAnsi="Calibri"/>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A90D9" w:sz="2" w:space="4"/>
      </w:pBdr>
      <w:jc w:val="right"/>
    </w:pPr>
    <w:r>
      <w:rPr>
        <w:rFonts w:ascii="Calibri" w:cs="Calibri" w:eastAsia="Calibri" w:hAnsi="Calibri"/>
        <w:i/>
        <w:iCs/>
        <w:color w:val="888888"/>
        <w:sz w:val="16"/>
        <w:szCs w:val="16"/>
      </w:rPr>
      <w:t xml:space="preserve">Androide Ético — Análisis Integral v3.0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Georgia" w:cs="Georgia" w:eastAsia="Georgia" w:hAnsi="Georgia"/>
      <w:b/>
      <w:bCs/>
      <w:color w:val="1B4965"/>
      <w:sz w:val="34"/>
      <w:szCs w:val="34"/>
    </w:rPr>
  </w:style>
  <w:style w:type="paragraph" w:styleId="Heading2">
    <w:name w:val="Heading 2"/>
    <w:basedOn w:val="Normal"/>
    <w:next w:val="Normal"/>
    <w:qFormat/>
    <w:pPr>
      <w:spacing w:before="360" w:after="160"/>
      <w:outlineLvl w:val="1"/>
    </w:pPr>
    <w:rPr>
      <w:rFonts w:ascii="Georgia" w:cs="Georgia" w:eastAsia="Georgia" w:hAnsi="Georgia"/>
      <w:b/>
      <w:bCs/>
      <w:color w:val="1A1A2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2026-03-29T18:41:24.464Z</dcterms:created>
  <dcterms:modified xsi:type="dcterms:W3CDTF">2026-03-29T18:41:24.465Z</dcterms:modified>
</cp:coreProperties>
</file>

<file path=docProps/custom.xml><?xml version="1.0" encoding="utf-8"?>
<Properties xmlns="http://schemas.openxmlformats.org/officeDocument/2006/custom-properties" xmlns:vt="http://schemas.openxmlformats.org/officeDocument/2006/docPropsVTypes"/>
</file>