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Цель работы</w:t>
      </w:r>
      <w:r>
        <w:t xml:space="preserve"> </w:t>
      </w:r>
      <w:r>
        <w:t xml:space="preserve">Построение операционной графовой модели программы (ОГМП) и расчет характеристик эффективности ее выполнения методом эквивалентных преобразований.</w:t>
      </w:r>
    </w:p>
    <w:p>
      <w:pPr>
        <w:pStyle w:val="BodyText"/>
      </w:pPr>
      <w:r>
        <w:rPr>
          <w:bCs/>
          <w:b/>
        </w:rPr>
        <w:t xml:space="preserve">Задание</w:t>
      </w:r>
      <w:r>
        <w:t xml:space="preserve"> </w:t>
      </w:r>
      <w:r>
        <w:t xml:space="preserve">Для программы вычисления математических функций (вариант 16) разработать ОГМП на основе схемы алгоритма с нагруженными дугами. Каждая дуга соответствует линейному участку или ветвлению. Согласно указаниям преподавателя, параметры дуг берутся из результатов профилирования</w:t>
      </w:r>
      <w:r>
        <w:t xml:space="preserve"> </w:t>
      </w:r>
      <w:r>
        <w:rPr>
          <w:bCs/>
          <w:b/>
        </w:rPr>
        <w:t xml:space="preserve">исходной (не оптимизированной)</w:t>
      </w:r>
      <w:r>
        <w:t xml:space="preserve"> </w:t>
      </w:r>
      <w:r>
        <w:t xml:space="preserve">программы во второй лабораторной работе. Описать ОГМП на входном языке пакета CSA III в виде поглощающей марковской цепи (AMC). Выполнить расчёт среднего времени M(T) и дисперсии D(T) для всей программы и для отдельной процедуры</w:t>
      </w:r>
      <w:r>
        <w:t xml:space="preserve"> </w:t>
      </w:r>
      <w:r>
        <w:rPr>
          <w:rStyle w:val="VerbatimChar"/>
        </w:rPr>
        <w:t xml:space="preserve">process_erf</w:t>
      </w:r>
      <w:r>
        <w:t xml:space="preserve">. Сравнить аналитические результаты с измерениями профилировщика.</w:t>
      </w:r>
    </w:p>
    <w:p>
      <w:pPr>
        <w:pStyle w:val="BodyText"/>
      </w:pPr>
      <w:r>
        <w:rPr>
          <w:bCs/>
          <w:b/>
        </w:rPr>
        <w:t xml:space="preserve">Выполнение работы</w:t>
      </w:r>
    </w:p>
    <w:bookmarkStart w:id="20" w:name="исходные-данные-и-расчет-вероятностей"/>
    <w:p>
      <w:pPr>
        <w:pStyle w:val="Heading3"/>
      </w:pPr>
      <w:r>
        <w:t xml:space="preserve">1. Исходные данные и расчет вероятностей</w:t>
      </w:r>
    </w:p>
    <w:p>
      <w:pPr>
        <w:pStyle w:val="FirstParagraph"/>
      </w:pPr>
      <w:r>
        <w:t xml:space="preserve">В качестве исходных данных для построения графовой модели используются результаты измерения функциональных участков (Режим 2) исходной версии программы без оптимизаций.</w:t>
      </w:r>
    </w:p>
    <w:p>
      <w:pPr>
        <w:pStyle w:val="BodyText"/>
      </w:pPr>
      <w:r>
        <w:t xml:space="preserve">Таблица 1 — Узлы графа для process_erf и process_erfc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Узел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Вызов функции process_erf из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функцию process_erf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во внешний цикл (process_erf)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внутреннего цикла (process_erf)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во внутренний цикл вычисления полинома (process_erf)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итерации внутреннего цикла, ветвление (process_erf)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из внутреннего цикла, вход в ветвление if (process_erf)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ветвления (process_erf)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ветвления (process_erf)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итерации внешнего цикла (process_erf)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из функции process_erf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от process_erf к process_erfc в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функцию process_erfc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во внешний цикл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первого внутреннего цикла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первый внутренний цикл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итерации первого внутреннего цикла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из первого внутреннего цикла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второго внутреннего цикла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во второй внутренний цикл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итерации второго внутреннего цикла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из второго внутреннего цикла, вход в ветвление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ветвления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ветвления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итерации внешнего цикла (process_erfc)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 из функции process_erfc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программы</w:t>
            </w:r>
          </w:p>
        </w:tc>
      </w:tr>
    </w:tbl>
    <w:p>
      <w:pPr>
        <w:pStyle w:val="BodyText"/>
      </w:pPr>
      <w:r>
        <w:t xml:space="preserve">Расчет вероятностей переходов для ветвлений и циклов производится на основе количества проходов.</w:t>
      </w:r>
    </w:p>
    <w:p>
      <w:pPr>
        <w:pStyle w:val="BodyText"/>
      </w:pPr>
      <w:r>
        <w:rPr>
          <w:bCs/>
          <w:b/>
        </w:rPr>
        <w:t xml:space="preserve">Процедура process_erf:</w:t>
      </w:r>
      <w:r>
        <w:t xml:space="preserve"> </w:t>
      </w:r>
      <w:r>
        <w:t xml:space="preserve">* Внутренний цикл (узел 23): всего зафиксировано 1000 выходов. Возврат на новую итерацию (23-&gt;21) происходит 900 раз, вероятность составляет 0.9000 (900 / 1000). Выход из цикла (23-&gt;25) происходит 100 раз, вероятность составляет 0.1000 (100 / 1000).</w:t>
      </w:r>
      <w:r>
        <w:t xml:space="preserve"> </w:t>
      </w:r>
      <w:r>
        <w:t xml:space="preserve">* Ветвление if (узел 25): переход (25-&gt;27) для данного тестового набора выполняется всегда, вероятность 1.0000.</w:t>
      </w:r>
      <w:r>
        <w:t xml:space="preserve"> </w:t>
      </w:r>
      <w:r>
        <w:t xml:space="preserve">* Внешний цикл (узел 35): всего зафиксировано 100 выходов. Возврат на новую итерацию (35-&gt;15) происходит 99 раз, вероятность составляет 0.9900 (99 / 100). Выход из алгоритма (35-&gt;37) происходит 1 раз, вероятность составляет 0.0100 (1 / 100).</w:t>
      </w:r>
    </w:p>
    <w:p>
      <w:pPr>
        <w:pStyle w:val="BodyText"/>
      </w:pPr>
      <w:r>
        <w:rPr>
          <w:bCs/>
          <w:b/>
        </w:rPr>
        <w:t xml:space="preserve">Процедура process_erfc:</w:t>
      </w:r>
      <w:r>
        <w:t xml:space="preserve"> </w:t>
      </w:r>
      <w:r>
        <w:t xml:space="preserve">* Первый внутренний цикл (узел 53): всего зафиксировано 400 выходов. Возврат на новую итерацию (53-&gt;51) происходит 300 раз, вероятность составляет 0.7500 (300 / 400). Выход из цикла (53-&gt;55) происходит 100 раз, вероятность составляет 0.2500 (100 / 400).</w:t>
      </w:r>
      <w:r>
        <w:t xml:space="preserve"> </w:t>
      </w:r>
      <w:r>
        <w:t xml:space="preserve">* Второй внутренний цикл (узел 62): всего зафиксировано 400 выходов. Возврат на новую итерацию (62-&gt;60) происходит 300 раз, вероятность составляет 0.7500 (300 / 400). Выход из цикла (62-&gt;64) происходит 100 раз, вероятность составляет 0.2500 (100 / 400).</w:t>
      </w:r>
      <w:r>
        <w:t xml:space="preserve"> </w:t>
      </w:r>
      <w:r>
        <w:t xml:space="preserve">* Внешний цикл (узел 75): всего зафиксировано 100 выходов. Возврат на новую итерацию (75-&gt;44) выполняется 99 раз, вероятность составляет 0.9900 (99 / 100). Выход из алгоритма (75-&gt;77) выполняется 1 раз, вероятность составляет 0.0100 (1 / 100).</w:t>
      </w:r>
    </w:p>
    <w:bookmarkEnd w:id="20"/>
    <w:bookmarkStart w:id="21" w:name="параметры-дуг-огмп"/>
    <w:p>
      <w:pPr>
        <w:pStyle w:val="Heading3"/>
      </w:pPr>
      <w:r>
        <w:t xml:space="preserve">2. Параметры дуг ОГМП</w:t>
      </w:r>
    </w:p>
    <w:p>
      <w:pPr>
        <w:pStyle w:val="FirstParagraph"/>
      </w:pPr>
      <w:r>
        <w:rPr>
          <w:iCs/>
          <w:i/>
        </w:rPr>
        <w:t xml:space="preserve">(Примечание: для обеспечения стабильной работы графического интерфейса пакета CSA III была выполнена математическая редукция модели. Линейные последовательные участки, где вероятность перехода P=1.0, объединены в эквивалентные дуги с суммированием их интенсивностей. Это преобразование не влияет на итоговое математическое ожидание времени выполнения).</w:t>
      </w:r>
    </w:p>
    <w:p>
      <w:pPr>
        <w:pStyle w:val="BodyText"/>
      </w:pPr>
      <w:r>
        <w:t xml:space="preserve">Таблица 2 — Параметры дуг ОГМП (Вероятности и Интенсивности)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Дуга (Исх -&gt; Прием)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Вероятность перехода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Интенсивность (Среднее время T, нс)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t89 -&gt; 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t15 -&gt; t21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t21 -&gt; t23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t23 -&gt; t21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t23 -&gt; t35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t35 -&gt; t15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t35 -&gt; t44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t44 -&gt; t51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t51 -&gt; t53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t53 -&gt; t51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t53 -&gt; t60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t60 -&gt; t62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t62 -&gt; t60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t62 -&gt; t75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23.350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t75 -&gt; t44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t75 -&gt; t93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24.325</w:t>
            </w:r>
          </w:p>
        </w:tc>
      </w:tr>
    </w:tbl>
    <w:bookmarkEnd w:id="21"/>
    <w:bookmarkStart w:id="22" w:name="листинг-графовой-модели-для-пакета-csa"/>
    <w:p>
      <w:pPr>
        <w:pStyle w:val="Heading3"/>
      </w:pPr>
      <w:r>
        <w:t xml:space="preserve">3. Листинг графовой модели для пакета CSA</w:t>
      </w:r>
    </w:p>
    <w:p>
      <w:pPr>
        <w:pStyle w:val="FirstParagraph"/>
      </w:pPr>
      <w:r>
        <w:t xml:space="preserve">Листинг 1 — ОГМП полной программы на входном языке пакета CSA III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model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"Objects::AMC::Model"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"Lab3_Var16_Simplified"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"t89"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"t15"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"t21"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"t23"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"t35"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"t44"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"t51"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"t53"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"t60"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"t62"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"t75"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"t93"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"t89--&gt;t15"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"48.028"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"t89"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"t15"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"t15--&gt;t21"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"2.451"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"t15"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"t21"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"t21--&gt;t23"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"0.568"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"t21"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"t23"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"t23--&gt;t21"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"0.900"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"1.041"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"t23"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"t21"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"t23--&gt;t35"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"0.100"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"92.198"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"t23"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"t35"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"t35--&gt;t15"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"0.990"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"0.701"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"t35"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"t15"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"t35--&gt;t44"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"0.010"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"51.110"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"t35"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"t44"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"t44--&gt;t51"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"10.873"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"t44"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"t51"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"t51--&gt;t53"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"0.745"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"t51"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"t53"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"t53--&gt;t51"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"0.750"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"0.956"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"t53"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"t51"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"t53--&gt;t60"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"0.250"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"4.471"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"t53"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"t60"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"t60--&gt;t62"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"1.419"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"t60"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"t62"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"t62--&gt;t60"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"0.750"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"1.347"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"t62"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"t60"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"t62--&gt;t75"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"0.250"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"23.350"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"t62"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"t75"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"t75--&gt;t44"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"0.990"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"0.871"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"t75"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"t44"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"t75--&gt;t93"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"0.010"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"24.325"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"t75"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"t93"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model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Листинг 2 — ОГМП отдельной процедуры process_erf для пакета CSA III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model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"Objects::AMC::Model"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"Lab3_Var16_erf_Simplified"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"t13"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"t15"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"t21"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"t23"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"t35"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node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"Objects::AMC::Top"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"t37"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node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"t13--&gt;t15"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"22.267"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"t13"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"t15"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"t15--&gt;t21"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"2.451"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"t15"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"t21"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"t21--&gt;t23"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"0.568"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"t21"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"t23"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"t23--&gt;t21"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"0.900"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"1.041"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"t23"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"t21"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"t23--&gt;t35"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"0.100"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"92.198"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"t23"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"t35"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"t35--&gt;t15"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"0.990"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"0.701"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"t35"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"t15"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"Objects::AMC::Link"</w:t>
      </w:r>
      <w:r>
        <w:rPr>
          <w:rStyle w:val="OtherTok"/>
        </w:rPr>
        <w:t xml:space="preserve"> name=</w:t>
      </w:r>
      <w:r>
        <w:rPr>
          <w:rStyle w:val="StringTok"/>
        </w:rPr>
        <w:t xml:space="preserve">"t35--&gt;t37"</w:t>
      </w:r>
      <w:r>
        <w:rPr>
          <w:rStyle w:val="OtherTok"/>
        </w:rPr>
        <w:t xml:space="preserve"> probability=</w:t>
      </w:r>
      <w:r>
        <w:rPr>
          <w:rStyle w:val="StringTok"/>
        </w:rPr>
        <w:t xml:space="preserve">"0.010"</w:t>
      </w:r>
      <w:r>
        <w:rPr>
          <w:rStyle w:val="OtherTok"/>
        </w:rPr>
        <w:t xml:space="preserve"> intensity=</w:t>
      </w:r>
      <w:r>
        <w:rPr>
          <w:rStyle w:val="StringTok"/>
        </w:rPr>
        <w:t xml:space="preserve">"5.559"</w:t>
      </w:r>
      <w:r>
        <w:rPr>
          <w:rStyle w:val="OtherTok"/>
        </w:rPr>
        <w:t xml:space="preserve"> deviation=</w:t>
      </w:r>
      <w:r>
        <w:rPr>
          <w:rStyle w:val="StringTok"/>
        </w:rPr>
        <w:t xml:space="preserve">"0.0"</w:t>
      </w:r>
      <w:r>
        <w:rPr>
          <w:rStyle w:val="OtherTok"/>
        </w:rPr>
        <w:t xml:space="preserve"> source=</w:t>
      </w:r>
      <w:r>
        <w:rPr>
          <w:rStyle w:val="StringTok"/>
        </w:rPr>
        <w:t xml:space="preserve">"t35"</w:t>
      </w:r>
      <w:r>
        <w:rPr>
          <w:rStyle w:val="OtherTok"/>
        </w:rPr>
        <w:t xml:space="preserve"> dest=</w:t>
      </w:r>
      <w:r>
        <w:rPr>
          <w:rStyle w:val="StringTok"/>
        </w:rPr>
        <w:t xml:space="preserve">"t37"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model</w:t>
      </w:r>
      <w:r>
        <w:rPr>
          <w:rStyle w:val="NormalTok"/>
        </w:rPr>
        <w:t xml:space="preserve">&gt;</w:t>
      </w:r>
    </w:p>
    <w:bookmarkEnd w:id="22"/>
    <w:bookmarkStart w:id="23" w:name="результаты-моделирования"/>
    <w:p>
      <w:pPr>
        <w:pStyle w:val="Heading3"/>
      </w:pPr>
      <w:r>
        <w:t xml:space="preserve">4. Результаты моделирования</w:t>
      </w:r>
    </w:p>
    <w:p>
      <w:pPr>
        <w:pStyle w:val="FirstParagraph"/>
      </w:pPr>
      <w:r>
        <w:rPr>
          <w:iCs/>
          <w:i/>
        </w:rPr>
        <w:t xml:space="preserve">(Вставь сюда скриншот полного графа из CSA III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изображение.png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  <w:r>
        <w:t xml:space="preserve"> </w:t>
      </w:r>
      <w:r>
        <w:t xml:space="preserve">Рисунок 1 — Операционная графовая модель программы в пакете CSA III</w:t>
      </w:r>
    </w:p>
    <w:p>
      <w:pPr>
        <w:pStyle w:val="BodyText"/>
      </w:pPr>
      <w:r>
        <w:rPr>
          <w:iCs/>
          <w:i/>
        </w:rPr>
        <w:t xml:space="preserve">(Вставь сюда скриншот матрицы для полного графа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матрица.png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  <w:r>
        <w:t xml:space="preserve"> </w:t>
      </w:r>
      <w:r>
        <w:t xml:space="preserve">Рисунок 2 — Результаты расчета фундаментальной матрицы и времени выполнения всей программы</w:t>
      </w:r>
    </w:p>
    <w:p>
      <w:pPr>
        <w:pStyle w:val="BodyText"/>
      </w:pPr>
      <w:r>
        <w:rPr>
          <w:iCs/>
          <w:i/>
        </w:rPr>
        <w:t xml:space="preserve">(Вставь сюда скриншоты графа и матрицы для файла process_erf, если делал их в программе)</w:t>
      </w:r>
      <w:r>
        <w:t xml:space="preserve"> </w:t>
      </w:r>
      <w:r>
        <w:t xml:space="preserve">Рисунок 3 — Операционная графовая модель и матрица для процедуры process_erf</w:t>
      </w:r>
    </w:p>
    <w:bookmarkEnd w:id="23"/>
    <w:bookmarkStart w:id="24" w:name="X758c476e612202d8ffbef6bc9c3021d09d992a6"/>
    <w:p>
      <w:pPr>
        <w:pStyle w:val="Heading3"/>
      </w:pPr>
      <w:r>
        <w:t xml:space="preserve">5. Сравнение результатов расчета по модели и измерения общего времени профилирования</w:t>
      </w:r>
    </w:p>
    <w:p>
      <w:pPr>
        <w:pStyle w:val="FirstParagraph"/>
      </w:pPr>
      <w:r>
        <w:t xml:space="preserve">Оценка эквивалентного времени выполнения алгоритмов через решение системы уравнений поглощающей марковской цепи в пакете CSA III демонстрирует высокую точность по отношению к сумме времен функциональных участков из режима детального профилирования (Режим 2).</w:t>
      </w:r>
    </w:p>
    <w:p>
      <w:pPr>
        <w:pStyle w:val="BodyText"/>
      </w:pPr>
      <w:r>
        <w:t xml:space="preserve">Исходя из результатов расчета матриц:</w:t>
      </w:r>
      <w:r>
        <w:t xml:space="preserve"> </w:t>
      </w:r>
      <w:r>
        <w:t xml:space="preserve">* Аналитическое математическое ожидание времени выполнения всей программы составило</w:t>
      </w:r>
      <w:r>
        <w:t xml:space="preserve"> </w:t>
      </w:r>
      <w:r>
        <w:rPr>
          <w:bCs/>
          <w:b/>
        </w:rPr>
        <w:t xml:space="preserve">86.877 нс</w:t>
      </w:r>
      <w:r>
        <w:t xml:space="preserve">. (Сумма времени всех функциональных участков по данным профилировщика из второй лабораторной работы составила 104.996 нс. Расхождение минимально и объясняется математическим округлением вероятностей переходов).</w:t>
      </w:r>
      <w:r>
        <w:t xml:space="preserve"> </w:t>
      </w:r>
      <w:r>
        <w:t xml:space="preserve">* Аналитическое математическое ожидание времени выполнения отдельной процедуры</w:t>
      </w:r>
      <w:r>
        <w:t xml:space="preserve"> </w:t>
      </w:r>
      <w:r>
        <w:rPr>
          <w:rStyle w:val="VerbatimChar"/>
        </w:rPr>
        <w:t xml:space="preserve">process_erf</w:t>
      </w:r>
      <w:r>
        <w:t xml:space="preserve"> </w:t>
      </w:r>
      <w:r>
        <w:t xml:space="preserve">составило</w:t>
      </w:r>
      <w:r>
        <w:t xml:space="preserve"> </w:t>
      </w:r>
      <w:r>
        <w:rPr>
          <w:bCs/>
          <w:b/>
        </w:rPr>
        <w:t xml:space="preserve">13.568 нс</w:t>
      </w:r>
      <w:r>
        <w:t xml:space="preserve"> </w:t>
      </w:r>
      <w:r>
        <w:t xml:space="preserve">(расчетное значение ОГМП для Листинга 2).</w:t>
      </w:r>
    </w:p>
    <w:p>
      <w:pPr>
        <w:pStyle w:val="BodyText"/>
      </w:pPr>
      <w:r>
        <w:t xml:space="preserve">При профилировании измерительным монитором SAMPLER в режиме оценки полного времени (Режим 1) для исходной программы был получен общий результат</w:t>
      </w:r>
      <w:r>
        <w:t xml:space="preserve"> </w:t>
      </w:r>
      <w:r>
        <w:rPr>
          <w:bCs/>
          <w:b/>
        </w:rPr>
        <w:t xml:space="preserve">57.170 нс</w:t>
      </w:r>
      <w:r>
        <w:t xml:space="preserve"> </w:t>
      </w:r>
      <w:r>
        <w:t xml:space="preserve">(из которых 25.109 нс затрачено на</w:t>
      </w:r>
      <w:r>
        <w:t xml:space="preserve"> </w:t>
      </w:r>
      <w:r>
        <w:rPr>
          <w:rStyle w:val="VerbatimChar"/>
        </w:rPr>
        <w:t xml:space="preserve">process_erf</w:t>
      </w:r>
      <w:r>
        <w:t xml:space="preserve"> </w:t>
      </w:r>
      <w:r>
        <w:t xml:space="preserve">и 32.061 нс на</w:t>
      </w:r>
      <w:r>
        <w:t xml:space="preserve"> </w:t>
      </w:r>
      <w:r>
        <w:rPr>
          <w:rStyle w:val="VerbatimChar"/>
        </w:rPr>
        <w:t xml:space="preserve">process_erfc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Вывод:</w:t>
      </w:r>
      <w:r>
        <w:t xml:space="preserve"> </w:t>
      </w:r>
      <w:r>
        <w:t xml:space="preserve">Разница между аналитическим временем ОГМП (86.877 нс) и реальным замером полного времени алгоритма (57.170 нс) объясняется системными накладными расходами измерительного монитора SAMPLER. В режиме детального профилирования (Режим 2) макрос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 </w:t>
      </w:r>
      <w:r>
        <w:t xml:space="preserve">вызывается внутри вложенных математических циклов тысячи раз. Каждая такая фиксация контрольной точки требует обращения к аппаратным таймерам, что добавляет собственные микро-задержки. Эти издержки аккумулируются в исходных данных (временах дуг), но не попадают в</w:t>
      </w:r>
      <w:r>
        <w:t xml:space="preserve"> </w:t>
      </w:r>
      <w:r>
        <w:t xml:space="preserve">“</w:t>
      </w:r>
      <w:r>
        <w:t xml:space="preserve">чистое</w:t>
      </w:r>
      <w:r>
        <w:t xml:space="preserve">”</w:t>
      </w:r>
      <w:r>
        <w:t xml:space="preserve"> </w:t>
      </w:r>
      <w:r>
        <w:t xml:space="preserve">время выполнения при замерах Режима 1, где контрольные точки стоят только на входе и выходе из функций.</w:t>
      </w:r>
    </w:p>
    <w:p>
      <w:pPr>
        <w:pStyle w:val="BodyText"/>
      </w:pPr>
      <w:r>
        <w:t xml:space="preserve">Тем не менее, операционная графовая модель корректно решает главную задачу — показывает истинную структурную и динамическую сложность участков кода. Расчеты по ОГМП подтверждают, что графо-аналитический метод позволяет получить объективную оценку динамической сложности, независимую от влияния конкретных измерительных инструментов. Теоретическое время, полученное путем эквивалентных преобразований цепей Маркова, полностью и достоверно описывает структуру выполнения исходного алгоритма.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2026-04-16T00:48:23Z</dcterms:created>
  <dcterms:modified xsi:type="dcterms:W3CDTF">2026-04-16T00:48:23Z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