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sz w:val="36"/>
        </w:rPr>
        <w:t>F-LCA Orchard Multi-View Path Planning</w:t>
      </w:r>
    </w:p>
    <w:p>
      <w:r>
        <w:t>This repository provides the code, data, and result files supporting the manuscript:</w:t>
      </w:r>
    </w:p>
    <w:p>
      <w:r>
        <w:rPr>
          <w:b/>
        </w:rPr>
        <w:t>Multi-UGV Cooperative Multi-View Observation Path Planning for Citrus Orchard Phenotypic Data Acquisition</w:t>
      </w:r>
    </w:p>
    <w:p>
      <w:pPr>
        <w:pStyle w:val="Heading1"/>
      </w:pPr>
      <w:r>
        <w:t>Overview</w:t>
      </w:r>
    </w:p>
    <w:p>
      <w:r>
        <w:t>This study reformulates citrus orchard path planning as a multi-view constrained cooperative routing problem with observation completeness requirements. Each citrus tree is modeled as a multi-view observation unit rather than a single visiting target.</w:t>
      </w:r>
    </w:p>
    <w:p>
      <w:r>
        <w:t>The repository contains seed-level algorithm results, summary tables, ablation data, convergence data, statistical test outputs, execution proxy metrics, processed real-tree-location case data, representative example inputs, and figure source data used in the manuscript.</w:t>
      </w:r>
    </w:p>
    <w:p>
      <w:pPr>
        <w:pStyle w:val="Heading1"/>
      </w:pPr>
      <w:r>
        <w:t>Repository structure</w:t>
      </w:r>
    </w:p>
    <w:p>
      <w:pPr>
        <w:pStyle w:val="ListBullet"/>
      </w:pPr>
      <w:r>
        <w:rPr>
          <w:rStyle w:val="CodePath"/>
          <w:b/>
        </w:rPr>
        <w:t>code/</w:t>
      </w:r>
      <w:r>
        <w:t xml:space="preserve"> scripts for algorithm execution, evaluation, plotting, and statistical analysis.</w:t>
      </w:r>
    </w:p>
    <w:p>
      <w:pPr>
        <w:pStyle w:val="ListBullet"/>
      </w:pPr>
      <w:r>
        <w:rPr>
          <w:rStyle w:val="CodePath"/>
          <w:b/>
        </w:rPr>
        <w:t>data/</w:t>
      </w:r>
      <w:r>
        <w:t xml:space="preserve"> input data, including processed real-tree-location data, example inputs, and notes on seed-based random instance generation.</w:t>
      </w:r>
    </w:p>
    <w:p>
      <w:pPr>
        <w:pStyle w:val="ListBullet"/>
      </w:pPr>
      <w:r>
        <w:rPr>
          <w:rStyle w:val="CodePath"/>
          <w:b/>
        </w:rPr>
        <w:t>results/</w:t>
      </w:r>
      <w:r>
        <w:t xml:space="preserve"> seed-level results, summary tables, ablation results, convergence data, statistical tests, and execution proxy metrics.</w:t>
      </w:r>
    </w:p>
    <w:p>
      <w:pPr>
        <w:pStyle w:val="ListBullet"/>
      </w:pPr>
      <w:r>
        <w:rPr>
          <w:rStyle w:val="CodePath"/>
          <w:b/>
        </w:rPr>
        <w:t>figures_source_data/</w:t>
      </w:r>
      <w:r>
        <w:t xml:space="preserve"> source data and exported files for main and supplementary figures.</w:t>
      </w:r>
    </w:p>
    <w:p>
      <w:pPr>
        <w:pStyle w:val="ListBullet"/>
      </w:pPr>
      <w:r>
        <w:rPr>
          <w:rStyle w:val="CodePath"/>
          <w:b/>
        </w:rPr>
        <w:t>supplementary/</w:t>
      </w:r>
      <w:r>
        <w:t xml:space="preserve"> supplementary files and materials related to the manuscript.</w:t>
      </w:r>
    </w:p>
    <w:p>
      <w:pPr>
        <w:pStyle w:val="ListBullet"/>
      </w:pPr>
      <w:r>
        <w:rPr>
          <w:rStyle w:val="CodePath"/>
          <w:b/>
        </w:rPr>
        <w:t>docs/</w:t>
      </w:r>
      <w:r>
        <w:t xml:space="preserve"> additional documentation.</w:t>
      </w:r>
    </w:p>
    <w:p>
      <w:r>
        <w:t>The folder data/random_instances/ provides notes on seed-based random orchard instance generation. The matched random seeds used in the manuscript are 42–61.</w:t>
      </w:r>
    </w:p>
    <w:p>
      <w:pPr>
        <w:pStyle w:val="Heading1"/>
      </w:pPr>
      <w:r>
        <w:t>Main experimental settings</w:t>
      </w:r>
    </w:p>
    <w:p>
      <w:pPr>
        <w:pStyle w:val="ListBullet"/>
      </w:pPr>
      <w:r>
        <w:rPr>
          <w:b/>
        </w:rPr>
        <w:t xml:space="preserve">Orchard size: </w:t>
      </w:r>
      <w:r>
        <w:t>120 m × 120 m</w:t>
      </w:r>
    </w:p>
    <w:p>
      <w:pPr>
        <w:pStyle w:val="ListBullet"/>
      </w:pPr>
      <w:r>
        <w:rPr>
          <w:b/>
        </w:rPr>
        <w:t xml:space="preserve">Number of citrus trees: </w:t>
      </w:r>
      <w:r>
        <w:t>80</w:t>
      </w:r>
    </w:p>
    <w:p>
      <w:pPr>
        <w:pStyle w:val="ListBullet"/>
      </w:pPr>
      <w:r>
        <w:rPr>
          <w:b/>
        </w:rPr>
        <w:t xml:space="preserve">Number of obstacles: </w:t>
      </w:r>
      <w:r>
        <w:t>11</w:t>
      </w:r>
    </w:p>
    <w:p>
      <w:pPr>
        <w:pStyle w:val="ListBullet"/>
      </w:pPr>
      <w:r>
        <w:rPr>
          <w:b/>
        </w:rPr>
        <w:t xml:space="preserve">Number of UGVs: </w:t>
      </w:r>
      <w:r>
        <w:t>4</w:t>
      </w:r>
    </w:p>
    <w:p>
      <w:pPr>
        <w:pStyle w:val="ListBullet"/>
      </w:pPr>
      <w:r>
        <w:rPr>
          <w:b/>
        </w:rPr>
        <w:t xml:space="preserve">Random seeds: </w:t>
      </w:r>
      <w:r>
        <w:t>42–61</w:t>
      </w:r>
    </w:p>
    <w:p>
      <w:pPr>
        <w:pStyle w:val="ListBullet"/>
      </w:pPr>
      <w:r>
        <w:rPr>
          <w:b/>
        </w:rPr>
        <w:t xml:space="preserve">Number of repeated runs: </w:t>
      </w:r>
      <w:r>
        <w:t>20</w:t>
      </w:r>
    </w:p>
    <w:p>
      <w:pPr>
        <w:pStyle w:val="ListBullet"/>
      </w:pPr>
      <w:r>
        <w:rPr>
          <w:b/>
        </w:rPr>
        <w:t xml:space="preserve">Theoretical observation poses per tree: </w:t>
      </w:r>
      <w:r>
        <w:t>4</w:t>
      </w:r>
    </w:p>
    <w:p>
      <w:pPr>
        <w:pStyle w:val="Heading1"/>
      </w:pPr>
      <w:r>
        <w:t>Data-to-manuscript mapping</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r/>
            <w:r>
              <w:rPr>
                <w:rFonts w:ascii="Times New Roman" w:hAnsi="Times New Roman" w:eastAsia="Times New Roman"/>
                <w:b/>
                <w:sz w:val="20"/>
              </w:rPr>
              <w:t>Manuscript item</w:t>
            </w:r>
          </w:p>
        </w:tc>
        <w:tc>
          <w:tcPr>
            <w:tcW w:type="dxa" w:w="4968"/>
            <w:vAlign w:val="center"/>
            <w:shd w:fill="D9EAF7"/>
          </w:tcPr>
          <w:p>
            <w:r/>
            <w:r>
              <w:rPr>
                <w:rFonts w:ascii="Times New Roman" w:hAnsi="Times New Roman" w:eastAsia="Times New Roman"/>
                <w:b/>
                <w:sz w:val="20"/>
              </w:rPr>
              <w:t>Repository file</w:t>
            </w:r>
          </w:p>
        </w:tc>
      </w:tr>
      <w:tr>
        <w:tc>
          <w:tcPr>
            <w:tcW w:type="dxa" w:w="4968"/>
            <w:vAlign w:val="center"/>
          </w:tcPr>
          <w:p>
            <w:r/>
            <w:r>
              <w:rPr>
                <w:rFonts w:ascii="Times New Roman" w:hAnsi="Times New Roman" w:eastAsia="Times New Roman"/>
                <w:b w:val="0"/>
                <w:sz w:val="20"/>
              </w:rPr>
              <w:t>Fig. 3</w:t>
            </w:r>
          </w:p>
        </w:tc>
        <w:tc>
          <w:tcPr>
            <w:tcW w:type="dxa" w:w="4968"/>
            <w:vAlign w:val="center"/>
          </w:tcPr>
          <w:p>
            <w:r/>
            <w:r>
              <w:rPr>
                <w:rFonts w:ascii="Times New Roman" w:hAnsi="Times New Roman" w:eastAsia="Times New Roman"/>
                <w:b w:val="0"/>
                <w:sz w:val="20"/>
              </w:rPr>
              <w:t>results/summary_tables/main_comparison_summary_numeric.csv</w:t>
            </w:r>
          </w:p>
        </w:tc>
      </w:tr>
      <w:tr>
        <w:tc>
          <w:tcPr>
            <w:tcW w:type="dxa" w:w="4968"/>
            <w:vAlign w:val="center"/>
          </w:tcPr>
          <w:p>
            <w:r/>
            <w:r>
              <w:rPr>
                <w:rFonts w:ascii="Times New Roman" w:hAnsi="Times New Roman" w:eastAsia="Times New Roman"/>
                <w:b w:val="0"/>
                <w:sz w:val="20"/>
              </w:rPr>
              <w:t>Table S7</w:t>
            </w:r>
          </w:p>
        </w:tc>
        <w:tc>
          <w:tcPr>
            <w:tcW w:type="dxa" w:w="4968"/>
            <w:vAlign w:val="center"/>
          </w:tcPr>
          <w:p>
            <w:r/>
            <w:r>
              <w:rPr>
                <w:rFonts w:ascii="Times New Roman" w:hAnsi="Times New Roman" w:eastAsia="Times New Roman"/>
                <w:b w:val="0"/>
                <w:sz w:val="20"/>
              </w:rPr>
              <w:t>results/summary_tables/table_S7_full_algorithm_comparison.csv</w:t>
            </w:r>
          </w:p>
        </w:tc>
      </w:tr>
      <w:tr>
        <w:tc>
          <w:tcPr>
            <w:tcW w:type="dxa" w:w="4968"/>
            <w:vAlign w:val="center"/>
          </w:tcPr>
          <w:p>
            <w:r/>
            <w:r>
              <w:rPr>
                <w:rFonts w:ascii="Times New Roman" w:hAnsi="Times New Roman" w:eastAsia="Times New Roman"/>
                <w:b w:val="0"/>
                <w:sz w:val="20"/>
              </w:rPr>
              <w:t>Headline improvements in Abstract</w:t>
            </w:r>
          </w:p>
        </w:tc>
        <w:tc>
          <w:tcPr>
            <w:tcW w:type="dxa" w:w="4968"/>
            <w:vAlign w:val="center"/>
          </w:tcPr>
          <w:p>
            <w:r/>
            <w:r>
              <w:rPr>
                <w:rFonts w:ascii="Times New Roman" w:hAnsi="Times New Roman" w:eastAsia="Times New Roman"/>
                <w:b w:val="0"/>
                <w:sz w:val="20"/>
              </w:rPr>
              <w:t>results/summary_tables/headline_improvements.csv</w:t>
            </w:r>
          </w:p>
        </w:tc>
      </w:tr>
      <w:tr>
        <w:tc>
          <w:tcPr>
            <w:tcW w:type="dxa" w:w="4968"/>
            <w:vAlign w:val="center"/>
          </w:tcPr>
          <w:p>
            <w:r/>
            <w:r>
              <w:rPr>
                <w:rFonts w:ascii="Times New Roman" w:hAnsi="Times New Roman" w:eastAsia="Times New Roman"/>
                <w:b w:val="0"/>
                <w:sz w:val="20"/>
              </w:rPr>
              <w:t>Table 1</w:t>
            </w:r>
          </w:p>
        </w:tc>
        <w:tc>
          <w:tcPr>
            <w:tcW w:type="dxa" w:w="4968"/>
            <w:vAlign w:val="center"/>
          </w:tcPr>
          <w:p>
            <w:r/>
            <w:r>
              <w:rPr>
                <w:rFonts w:ascii="Times New Roman" w:hAnsi="Times New Roman" w:eastAsia="Times New Roman"/>
                <w:b w:val="0"/>
                <w:sz w:val="20"/>
              </w:rPr>
              <w:t>results/ablation_results/table1_ablation_summary.csv</w:t>
            </w:r>
          </w:p>
        </w:tc>
      </w:tr>
      <w:tr>
        <w:tc>
          <w:tcPr>
            <w:tcW w:type="dxa" w:w="4968"/>
            <w:vAlign w:val="center"/>
          </w:tcPr>
          <w:p>
            <w:r/>
            <w:r>
              <w:rPr>
                <w:rFonts w:ascii="Times New Roman" w:hAnsi="Times New Roman" w:eastAsia="Times New Roman"/>
                <w:b w:val="0"/>
                <w:sz w:val="20"/>
              </w:rPr>
              <w:t>Fig. S1</w:t>
            </w:r>
          </w:p>
        </w:tc>
        <w:tc>
          <w:tcPr>
            <w:tcW w:type="dxa" w:w="4968"/>
            <w:vAlign w:val="center"/>
          </w:tcPr>
          <w:p>
            <w:r/>
            <w:r>
              <w:rPr>
                <w:rFonts w:ascii="Times New Roman" w:hAnsi="Times New Roman" w:eastAsia="Times New Roman"/>
                <w:b w:val="0"/>
                <w:sz w:val="20"/>
              </w:rPr>
              <w:t>results/convergence_results/main_convergence_summary_1500iters.csv</w:t>
            </w:r>
          </w:p>
        </w:tc>
      </w:tr>
      <w:tr>
        <w:tc>
          <w:tcPr>
            <w:tcW w:type="dxa" w:w="4968"/>
            <w:vAlign w:val="center"/>
          </w:tcPr>
          <w:p>
            <w:r/>
            <w:r>
              <w:rPr>
                <w:rFonts w:ascii="Times New Roman" w:hAnsi="Times New Roman" w:eastAsia="Times New Roman"/>
                <w:b w:val="0"/>
                <w:sz w:val="20"/>
              </w:rPr>
              <w:t>Table S4</w:t>
            </w:r>
          </w:p>
        </w:tc>
        <w:tc>
          <w:tcPr>
            <w:tcW w:type="dxa" w:w="4968"/>
            <w:vAlign w:val="center"/>
          </w:tcPr>
          <w:p>
            <w:r/>
            <w:r>
              <w:rPr>
                <w:rFonts w:ascii="Times New Roman" w:hAnsi="Times New Roman" w:eastAsia="Times New Roman"/>
                <w:b w:val="0"/>
                <w:sz w:val="20"/>
              </w:rPr>
              <w:t>results/execution_proxy_results/execution_proxy_metrics_summary.csv</w:t>
            </w:r>
          </w:p>
        </w:tc>
      </w:tr>
      <w:tr>
        <w:tc>
          <w:tcPr>
            <w:tcW w:type="dxa" w:w="4968"/>
            <w:vAlign w:val="center"/>
          </w:tcPr>
          <w:p>
            <w:r/>
            <w:r>
              <w:rPr>
                <w:rFonts w:ascii="Times New Roman" w:hAnsi="Times New Roman" w:eastAsia="Times New Roman"/>
                <w:b w:val="0"/>
                <w:sz w:val="20"/>
              </w:rPr>
              <w:t>Table S5a</w:t>
            </w:r>
          </w:p>
        </w:tc>
        <w:tc>
          <w:tcPr>
            <w:tcW w:type="dxa" w:w="4968"/>
            <w:vAlign w:val="center"/>
          </w:tcPr>
          <w:p>
            <w:r/>
            <w:r>
              <w:rPr>
                <w:rFonts w:ascii="Times New Roman" w:hAnsi="Times New Roman" w:eastAsia="Times New Roman"/>
                <w:b w:val="0"/>
                <w:sz w:val="20"/>
              </w:rPr>
              <w:t>results/statistical_tests/friedman_results.csv</w:t>
            </w:r>
          </w:p>
        </w:tc>
      </w:tr>
      <w:tr>
        <w:tc>
          <w:tcPr>
            <w:tcW w:type="dxa" w:w="4968"/>
            <w:vAlign w:val="center"/>
          </w:tcPr>
          <w:p>
            <w:r/>
            <w:r>
              <w:rPr>
                <w:rFonts w:ascii="Times New Roman" w:hAnsi="Times New Roman" w:eastAsia="Times New Roman"/>
                <w:b w:val="0"/>
                <w:sz w:val="20"/>
              </w:rPr>
              <w:t>Table S5b</w:t>
            </w:r>
          </w:p>
        </w:tc>
        <w:tc>
          <w:tcPr>
            <w:tcW w:type="dxa" w:w="4968"/>
            <w:vAlign w:val="center"/>
          </w:tcPr>
          <w:p>
            <w:r/>
            <w:r>
              <w:rPr>
                <w:rFonts w:ascii="Times New Roman" w:hAnsi="Times New Roman" w:eastAsia="Times New Roman"/>
                <w:b w:val="0"/>
                <w:sz w:val="20"/>
              </w:rPr>
              <w:t>results/statistical_tests/wilcoxon_holm_results.csv</w:t>
            </w:r>
          </w:p>
        </w:tc>
      </w:tr>
      <w:tr>
        <w:tc>
          <w:tcPr>
            <w:tcW w:type="dxa" w:w="4968"/>
            <w:vAlign w:val="center"/>
          </w:tcPr>
          <w:p>
            <w:r/>
            <w:r>
              <w:rPr>
                <w:rFonts w:ascii="Times New Roman" w:hAnsi="Times New Roman" w:eastAsia="Times New Roman"/>
                <w:b w:val="0"/>
                <w:sz w:val="20"/>
              </w:rPr>
              <w:t>Table S6</w:t>
            </w:r>
          </w:p>
        </w:tc>
        <w:tc>
          <w:tcPr>
            <w:tcW w:type="dxa" w:w="4968"/>
            <w:vAlign w:val="center"/>
          </w:tcPr>
          <w:p>
            <w:r/>
            <w:r>
              <w:rPr>
                <w:rFonts w:ascii="Times New Roman" w:hAnsi="Times New Roman" w:eastAsia="Times New Roman"/>
                <w:b w:val="0"/>
                <w:sz w:val="20"/>
              </w:rPr>
              <w:t>data/real_tree_locations/real_orchard_case_metrics.csv</w:t>
            </w:r>
          </w:p>
        </w:tc>
      </w:tr>
      <w:tr>
        <w:tc>
          <w:tcPr>
            <w:tcW w:type="dxa" w:w="4968"/>
            <w:vAlign w:val="center"/>
          </w:tcPr>
          <w:p>
            <w:r/>
            <w:r>
              <w:rPr>
                <w:rFonts w:ascii="Times New Roman" w:hAnsi="Times New Roman" w:eastAsia="Times New Roman"/>
                <w:b w:val="0"/>
                <w:sz w:val="20"/>
              </w:rPr>
              <w:t>Fig. 4</w:t>
            </w:r>
          </w:p>
        </w:tc>
        <w:tc>
          <w:tcPr>
            <w:tcW w:type="dxa" w:w="4968"/>
            <w:vAlign w:val="center"/>
          </w:tcPr>
          <w:p>
            <w:r/>
            <w:r>
              <w:rPr>
                <w:rFonts w:ascii="Times New Roman" w:hAnsi="Times New Roman" w:eastAsia="Times New Roman"/>
                <w:b w:val="0"/>
                <w:sz w:val="20"/>
              </w:rPr>
              <w:t>figures_source_data/fig4_seed44_path/</w:t>
            </w:r>
          </w:p>
        </w:tc>
      </w:tr>
      <w:tr>
        <w:tc>
          <w:tcPr>
            <w:tcW w:type="dxa" w:w="4968"/>
            <w:vAlign w:val="center"/>
          </w:tcPr>
          <w:p>
            <w:r/>
            <w:r>
              <w:rPr>
                <w:rFonts w:ascii="Times New Roman" w:hAnsi="Times New Roman" w:eastAsia="Times New Roman"/>
                <w:b w:val="0"/>
                <w:sz w:val="20"/>
              </w:rPr>
              <w:t>Fig. 5</w:t>
            </w:r>
          </w:p>
        </w:tc>
        <w:tc>
          <w:tcPr>
            <w:tcW w:type="dxa" w:w="4968"/>
            <w:vAlign w:val="center"/>
          </w:tcPr>
          <w:p>
            <w:r/>
            <w:r>
              <w:rPr>
                <w:rFonts w:ascii="Times New Roman" w:hAnsi="Times New Roman" w:eastAsia="Times New Roman"/>
                <w:b w:val="0"/>
                <w:sz w:val="20"/>
              </w:rPr>
              <w:t>data/real_tree_locations/ and figures_source_data/fig5_real_case/</w:t>
            </w:r>
          </w:p>
        </w:tc>
      </w:tr>
      <w:tr>
        <w:tc>
          <w:tcPr>
            <w:tcW w:type="dxa" w:w="4968"/>
            <w:vAlign w:val="center"/>
          </w:tcPr>
          <w:p>
            <w:r/>
            <w:r>
              <w:rPr>
                <w:rFonts w:ascii="Times New Roman" w:hAnsi="Times New Roman" w:eastAsia="Times New Roman"/>
                <w:b w:val="0"/>
                <w:sz w:val="20"/>
              </w:rPr>
              <w:t>Example inputs</w:t>
            </w:r>
          </w:p>
        </w:tc>
        <w:tc>
          <w:tcPr>
            <w:tcW w:type="dxa" w:w="4968"/>
            <w:vAlign w:val="center"/>
          </w:tcPr>
          <w:p>
            <w:r/>
            <w:r>
              <w:rPr>
                <w:rFonts w:ascii="Times New Roman" w:hAnsi="Times New Roman" w:eastAsia="Times New Roman"/>
                <w:b w:val="0"/>
                <w:sz w:val="20"/>
              </w:rPr>
              <w:t>data/example_inputs/</w:t>
            </w:r>
          </w:p>
        </w:tc>
      </w:tr>
    </w:tbl>
    <w:p>
      <w:pPr>
        <w:pStyle w:val="Heading1"/>
      </w:pPr>
      <w:r>
        <w:t>Code organization</w:t>
      </w:r>
    </w:p>
    <w:p>
      <w:pPr>
        <w:pStyle w:val="ListBullet"/>
      </w:pPr>
      <w:r>
        <w:rPr>
          <w:rStyle w:val="CodePath"/>
          <w:b/>
        </w:rPr>
        <w:t>code/evaluation/</w:t>
      </w:r>
      <w:r>
        <w:t xml:space="preserve"> Main experimental scripts, summary-generation scripts, and execution-proxy post-processing scripts.</w:t>
      </w:r>
    </w:p>
    <w:p>
      <w:pPr>
        <w:pStyle w:val="ListBullet"/>
      </w:pPr>
      <w:r>
        <w:rPr>
          <w:rStyle w:val="CodePath"/>
          <w:b/>
        </w:rPr>
        <w:t>code/plotting/</w:t>
      </w:r>
      <w:r>
        <w:t xml:space="preserve"> Plotting scripts for convergence curves and real-orchard case visualization.</w:t>
      </w:r>
    </w:p>
    <w:p>
      <w:pPr>
        <w:pStyle w:val="ListBullet"/>
      </w:pPr>
      <w:r>
        <w:rPr>
          <w:rStyle w:val="CodePath"/>
          <w:b/>
        </w:rPr>
        <w:t>code/statistics/</w:t>
      </w:r>
      <w:r>
        <w:t xml:space="preserve"> Scripts for Friedman and Wilcoxon-Holm statistical tests.</w:t>
      </w:r>
    </w:p>
    <w:p>
      <w:pPr>
        <w:pStyle w:val="ListBullet"/>
      </w:pPr>
      <w:r>
        <w:rPr>
          <w:rStyle w:val="CodePath"/>
          <w:b/>
        </w:rPr>
        <w:t>code/scenario_generation/</w:t>
      </w:r>
      <w:r>
        <w:t xml:space="preserve"> Optional utilities for generating or documenting scenario inputs.</w:t>
      </w:r>
    </w:p>
    <w:p>
      <w:pPr>
        <w:pStyle w:val="Heading1"/>
      </w:pPr>
      <w:r>
        <w:t>Notes on statistical tests</w:t>
      </w:r>
    </w:p>
    <w:p>
      <w:r>
        <w:t>The file wilcoxon_holm_results.csv provides the full pairwise Wilcoxon-Holm results, including Total Cost. Supplementary Table S5b reports the main pairwise metrics discussed in the manuscript.</w:t>
      </w:r>
    </w:p>
    <w:p>
      <w:pPr>
        <w:pStyle w:val="Heading1"/>
      </w:pPr>
      <w:r>
        <w:t>Notes on real-tree-location data</w:t>
      </w:r>
    </w:p>
    <w:p>
      <w:r>
        <w:t>The real-tree-location case uses processed local planar coordinates derived from KML-exported citrus tree markers. These processed coordinates are provided to support reproducibility of the real-tree-location planning case.</w:t>
      </w:r>
    </w:p>
    <w:p>
      <w:pPr>
        <w:pStyle w:val="Heading1"/>
      </w:pPr>
      <w:r>
        <w:t>Notes on random instances</w:t>
      </w:r>
    </w:p>
    <w:p>
      <w:r>
        <w:t>The random orchard instances used in the manuscript are generated by the scenario generation functions in the code directory. The matched random seeds are 42–61. Each seed defines one orchard instance with 80 citrus trees, 11 static circular obstacles, and 4 UGVs. Seed-level algorithm outputs are provided in results/seed_results/.</w:t>
      </w:r>
    </w:p>
    <w:p>
      <w:pPr>
        <w:pStyle w:val="Heading1"/>
      </w:pPr>
      <w:r>
        <w:t>License</w:t>
      </w:r>
    </w:p>
    <w:p>
      <w:r>
        <w:t>To be determined before public release.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CodePath">
    <w:name w:val="CodePath"/>
    <w:rPr>
      <w:rFonts w:ascii="Consolas" w:hAnsi="Consolas" w:eastAsia="Consolas"/>
      <w:color w:val="232323"/>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