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f-lca-orchard-multi-view-path-planning"/>
    <w:p>
      <w:pPr>
        <w:pStyle w:val="Heading1"/>
      </w:pPr>
      <w:r>
        <w:t xml:space="preserve">F-LCA Orchard Multi-View Path Planning</w:t>
      </w:r>
    </w:p>
    <w:p>
      <w:pPr>
        <w:pStyle w:val="FirstParagraph"/>
      </w:pPr>
      <w:r>
        <w:t xml:space="preserve">This repository provides the code, data, result files, and figure source data supporting the manuscript:</w:t>
      </w:r>
    </w:p>
    <w:p>
      <w:pPr>
        <w:pStyle w:val="BodyText"/>
      </w:pPr>
      <w:r>
        <w:rPr>
          <w:b/>
          <w:bCs/>
        </w:rPr>
        <w:t xml:space="preserve">Multi-UGV Cooperative Multi-View Observation Path Planning for Citrus Orchard Phenotypic Data Acquisition</w:t>
      </w:r>
    </w:p>
    <w:bookmarkStart w:id="20" w:name="overview"/>
    <w:p>
      <w:pPr>
        <w:pStyle w:val="Heading2"/>
      </w:pPr>
      <w:r>
        <w:t xml:space="preserve">Overview</w:t>
      </w:r>
    </w:p>
    <w:p>
      <w:pPr>
        <w:pStyle w:val="FirstParagraph"/>
      </w:pPr>
      <w:r>
        <w:t xml:space="preserve">This study reformulates citrus orchard path planning as a multi-view constrained cooperative routing problem with observation completeness requirements. Each citrus tree is modeled as a multi-view observation unit rather than a single visiting target.</w:t>
      </w:r>
    </w:p>
    <w:p>
      <w:pPr>
        <w:pStyle w:val="BodyText"/>
      </w:pPr>
      <w:r>
        <w:t xml:space="preserve">The repository contains seed-level algorithm results, summary tables, ablation data, convergence data, statistical test outputs, execution proxy metrics, parameter sensitivity analysis outputs, processed real-tree-location case data, representative example inputs, supplementary materials, and figure source data used in the manuscript.</w:t>
      </w:r>
    </w:p>
    <w:bookmarkEnd w:id="20"/>
    <w:bookmarkStart w:id="21" w:name="repository-structure"/>
    <w:p>
      <w:pPr>
        <w:pStyle w:val="Heading2"/>
      </w:pPr>
      <w:r>
        <w:t xml:space="preserve">Repository structure</w:t>
      </w:r>
    </w:p>
    <w:p>
      <w:pPr>
        <w:pStyle w:val="Compact"/>
        <w:numPr>
          <w:ilvl w:val="0"/>
          <w:numId w:val="1001"/>
        </w:numPr>
      </w:pPr>
      <w:r>
        <w:rPr>
          <w:rStyle w:val="VerbatimChar"/>
        </w:rPr>
        <w:t xml:space="preserve">code/</w:t>
      </w:r>
      <w:r>
        <w:t xml:space="preserve">: scripts for algorithm execution, evaluation, plotting, statistical analysis, scenario generation, and parameter sensitivity analysis.</w:t>
      </w:r>
    </w:p>
    <w:p>
      <w:pPr>
        <w:pStyle w:val="Compact"/>
        <w:numPr>
          <w:ilvl w:val="0"/>
          <w:numId w:val="1001"/>
        </w:numPr>
      </w:pPr>
      <w:r>
        <w:rPr>
          <w:rStyle w:val="VerbatimChar"/>
        </w:rPr>
        <w:t xml:space="preserve">data/</w:t>
      </w:r>
      <w:r>
        <w:t xml:space="preserve">: input data, including processed real-tree-location data, example inputs, and notes on seed-based random instance generation.</w:t>
      </w:r>
    </w:p>
    <w:p>
      <w:pPr>
        <w:pStyle w:val="Compact"/>
        <w:numPr>
          <w:ilvl w:val="0"/>
          <w:numId w:val="1001"/>
        </w:numPr>
      </w:pPr>
      <w:r>
        <w:rPr>
          <w:rStyle w:val="VerbatimChar"/>
        </w:rPr>
        <w:t xml:space="preserve">results/</w:t>
      </w:r>
      <w:r>
        <w:t xml:space="preserve">: seed-level results, summary tables, ablation results, convergence data, execution proxy metrics, statistical tests, and parameter sensitivity analysis outputs.</w:t>
      </w:r>
    </w:p>
    <w:p>
      <w:pPr>
        <w:pStyle w:val="Compact"/>
        <w:numPr>
          <w:ilvl w:val="0"/>
          <w:numId w:val="1001"/>
        </w:numPr>
      </w:pPr>
      <w:r>
        <w:rPr>
          <w:rStyle w:val="VerbatimChar"/>
        </w:rPr>
        <w:t xml:space="preserve">figures_source_data/</w:t>
      </w:r>
      <w:r>
        <w:t xml:space="preserve">: source data and exported files for main and supplementary figures.</w:t>
      </w:r>
    </w:p>
    <w:p>
      <w:pPr>
        <w:pStyle w:val="Compact"/>
        <w:numPr>
          <w:ilvl w:val="0"/>
          <w:numId w:val="1001"/>
        </w:numPr>
      </w:pPr>
      <w:r>
        <w:rPr>
          <w:rStyle w:val="VerbatimChar"/>
        </w:rPr>
        <w:t xml:space="preserve">supplementary/</w:t>
      </w:r>
      <w:r>
        <w:t xml:space="preserve">: supplementary files and materials related to the manuscript.</w:t>
      </w:r>
    </w:p>
    <w:p>
      <w:pPr>
        <w:pStyle w:val="Compact"/>
        <w:numPr>
          <w:ilvl w:val="0"/>
          <w:numId w:val="1001"/>
        </w:numPr>
      </w:pPr>
      <w:r>
        <w:rPr>
          <w:rStyle w:val="VerbatimChar"/>
        </w:rPr>
        <w:t xml:space="preserve">docs/</w:t>
      </w:r>
      <w:r>
        <w:t xml:space="preserve">: additional documentation.</w:t>
      </w:r>
    </w:p>
    <w:p>
      <w:pPr>
        <w:pStyle w:val="FirstParagraph"/>
      </w:pPr>
      <w:r>
        <w:t xml:space="preserve">The folder</w:t>
      </w:r>
      <w:r>
        <w:t xml:space="preserve"> </w:t>
      </w:r>
      <w:r>
        <w:rPr>
          <w:rStyle w:val="VerbatimChar"/>
        </w:rPr>
        <w:t xml:space="preserve">data/random_instances/</w:t>
      </w:r>
      <w:r>
        <w:t xml:space="preserve"> </w:t>
      </w:r>
      <w:r>
        <w:t xml:space="preserve">provides notes on seed-based random orchard instance generation. The matched random seeds used in the manuscript are 42-61.</w:t>
      </w:r>
    </w:p>
    <w:bookmarkEnd w:id="21"/>
    <w:bookmarkStart w:id="22" w:name="main-experimental-settings"/>
    <w:p>
      <w:pPr>
        <w:pStyle w:val="Heading2"/>
      </w:pPr>
      <w:r>
        <w:t xml:space="preserve">Main experimental settings</w:t>
      </w:r>
    </w:p>
    <w:p>
      <w:pPr>
        <w:pStyle w:val="Compact"/>
        <w:numPr>
          <w:ilvl w:val="0"/>
          <w:numId w:val="1002"/>
        </w:numPr>
      </w:pPr>
      <w:r>
        <w:t xml:space="preserve">Orchard size: 120 m x 120 m</w:t>
      </w:r>
    </w:p>
    <w:p>
      <w:pPr>
        <w:pStyle w:val="Compact"/>
        <w:numPr>
          <w:ilvl w:val="0"/>
          <w:numId w:val="1002"/>
        </w:numPr>
      </w:pPr>
      <w:r>
        <w:t xml:space="preserve">Number of citrus trees: 80</w:t>
      </w:r>
    </w:p>
    <w:p>
      <w:pPr>
        <w:pStyle w:val="Compact"/>
        <w:numPr>
          <w:ilvl w:val="0"/>
          <w:numId w:val="1002"/>
        </w:numPr>
      </w:pPr>
      <w:r>
        <w:t xml:space="preserve">Number of obstacles: 11</w:t>
      </w:r>
    </w:p>
    <w:p>
      <w:pPr>
        <w:pStyle w:val="Compact"/>
        <w:numPr>
          <w:ilvl w:val="0"/>
          <w:numId w:val="1002"/>
        </w:numPr>
      </w:pPr>
      <w:r>
        <w:t xml:space="preserve">Number of UGVs: 4</w:t>
      </w:r>
    </w:p>
    <w:p>
      <w:pPr>
        <w:pStyle w:val="Compact"/>
        <w:numPr>
          <w:ilvl w:val="0"/>
          <w:numId w:val="1002"/>
        </w:numPr>
      </w:pPr>
      <w:r>
        <w:t xml:space="preserve">Random seeds: 42-61</w:t>
      </w:r>
    </w:p>
    <w:p>
      <w:pPr>
        <w:pStyle w:val="Compact"/>
        <w:numPr>
          <w:ilvl w:val="0"/>
          <w:numId w:val="1002"/>
        </w:numPr>
      </w:pPr>
      <w:r>
        <w:t xml:space="preserve">Number of repeated runs: 20</w:t>
      </w:r>
    </w:p>
    <w:p>
      <w:pPr>
        <w:pStyle w:val="Compact"/>
        <w:numPr>
          <w:ilvl w:val="0"/>
          <w:numId w:val="1002"/>
        </w:numPr>
      </w:pPr>
      <w:r>
        <w:t xml:space="preserve">Theoretical observation poses per tree: 4</w:t>
      </w:r>
    </w:p>
    <w:bookmarkEnd w:id="22"/>
    <w:bookmarkStart w:id="23" w:name="requirements"/>
    <w:p>
      <w:pPr>
        <w:pStyle w:val="Heading2"/>
      </w:pPr>
      <w:r>
        <w:t xml:space="preserve">Requirements</w:t>
      </w:r>
    </w:p>
    <w:p>
      <w:pPr>
        <w:pStyle w:val="FirstParagraph"/>
      </w:pPr>
      <w:r>
        <w:t xml:space="preserve">The scripts were developed for Python 3.10 or later. The main required Python packages are:</w:t>
      </w:r>
    </w:p>
    <w:p>
      <w:pPr>
        <w:pStyle w:val="Compact"/>
        <w:numPr>
          <w:ilvl w:val="0"/>
          <w:numId w:val="1003"/>
        </w:numPr>
      </w:pPr>
      <w:r>
        <w:rPr>
          <w:rStyle w:val="VerbatimChar"/>
        </w:rPr>
        <w:t xml:space="preserve">numpy</w:t>
      </w:r>
    </w:p>
    <w:p>
      <w:pPr>
        <w:pStyle w:val="Compact"/>
        <w:numPr>
          <w:ilvl w:val="0"/>
          <w:numId w:val="1003"/>
        </w:numPr>
      </w:pPr>
      <w:r>
        <w:rPr>
          <w:rStyle w:val="VerbatimChar"/>
        </w:rPr>
        <w:t xml:space="preserve">pandas</w:t>
      </w:r>
    </w:p>
    <w:p>
      <w:pPr>
        <w:pStyle w:val="Compact"/>
        <w:numPr>
          <w:ilvl w:val="0"/>
          <w:numId w:val="1003"/>
        </w:numPr>
      </w:pPr>
      <w:r>
        <w:rPr>
          <w:rStyle w:val="VerbatimChar"/>
        </w:rPr>
        <w:t xml:space="preserve">scipy</w:t>
      </w:r>
    </w:p>
    <w:p>
      <w:pPr>
        <w:pStyle w:val="Compact"/>
        <w:numPr>
          <w:ilvl w:val="0"/>
          <w:numId w:val="1003"/>
        </w:numPr>
      </w:pPr>
      <w:r>
        <w:rPr>
          <w:rStyle w:val="VerbatimChar"/>
        </w:rPr>
        <w:t xml:space="preserve">matplotlib</w:t>
      </w:r>
    </w:p>
    <w:p>
      <w:pPr>
        <w:pStyle w:val="FirstParagraph"/>
      </w:pPr>
      <w:r>
        <w:t xml:space="preserve">Install the required packages with:</w:t>
      </w:r>
    </w:p>
    <w:p>
      <w:pPr>
        <w:pStyle w:val="SourceCode"/>
      </w:pPr>
      <w:r>
        <w:rPr>
          <w:rStyle w:val="ExtensionTok"/>
        </w:rPr>
        <w:t xml:space="preserve">pip</w:t>
      </w:r>
      <w:r>
        <w:rPr>
          <w:rStyle w:val="NormalTok"/>
        </w:rPr>
        <w:t xml:space="preserve"> install numpy pandas scipy matplotlib</w:t>
      </w:r>
    </w:p>
    <w:p>
      <w:pPr>
        <w:pStyle w:val="FirstParagraph"/>
      </w:pPr>
      <w:r>
        <w:t xml:space="preserve">If a</w:t>
      </w:r>
      <w:r>
        <w:t xml:space="preserve"> </w:t>
      </w:r>
      <w:r>
        <w:rPr>
          <w:rStyle w:val="VerbatimChar"/>
        </w:rPr>
        <w:t xml:space="preserve">requirements.txt</w:t>
      </w:r>
      <w:r>
        <w:t xml:space="preserve"> </w:t>
      </w:r>
      <w:r>
        <w:t xml:space="preserve">file is provided in the repository, the environment can also be prepared with:</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End w:id="23"/>
    <w:bookmarkStart w:id="24" w:name="data-to-manuscript-mapping"/>
    <w:p>
      <w:pPr>
        <w:pStyle w:val="Heading2"/>
      </w:pPr>
      <w:r>
        <w:t xml:space="preserve">Data-to-manuscript mapping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Manuscript item</w:t>
            </w:r>
          </w:p>
        </w:tc>
        <w:tc>
          <w:tcPr/>
          <w:p>
            <w:pPr>
              <w:pStyle w:val="Compact"/>
              <w:jc w:val="left"/>
            </w:pPr>
            <w:r>
              <w:t xml:space="preserve">Repository file</w:t>
            </w:r>
          </w:p>
        </w:tc>
      </w:tr>
      <w:tr>
        <w:tc>
          <w:tcPr/>
          <w:p>
            <w:pPr>
              <w:pStyle w:val="Compact"/>
              <w:jc w:val="left"/>
            </w:pPr>
            <w:r>
              <w:t xml:space="preserve">Fig. 3</w:t>
            </w:r>
          </w:p>
        </w:tc>
        <w:tc>
          <w:tcPr/>
          <w:p>
            <w:pPr>
              <w:pStyle w:val="Compact"/>
              <w:jc w:val="left"/>
            </w:pPr>
            <w:r>
              <w:rPr>
                <w:rStyle w:val="VerbatimChar"/>
              </w:rPr>
              <w:t xml:space="preserve">results/summary_tables/main_comparison_summary_numeric.csv</w:t>
            </w:r>
          </w:p>
        </w:tc>
      </w:tr>
      <w:tr>
        <w:tc>
          <w:tcPr/>
          <w:p>
            <w:pPr>
              <w:pStyle w:val="Compact"/>
              <w:jc w:val="left"/>
            </w:pPr>
            <w:r>
              <w:t xml:space="preserve">Table S7</w:t>
            </w:r>
          </w:p>
        </w:tc>
        <w:tc>
          <w:tcPr/>
          <w:p>
            <w:pPr>
              <w:pStyle w:val="Compact"/>
              <w:jc w:val="left"/>
            </w:pPr>
            <w:r>
              <w:rPr>
                <w:rStyle w:val="VerbatimChar"/>
              </w:rPr>
              <w:t xml:space="preserve">results/summary_tables/table_S7_full_algorithm_comparison.csv</w:t>
            </w:r>
          </w:p>
        </w:tc>
      </w:tr>
      <w:tr>
        <w:tc>
          <w:tcPr/>
          <w:p>
            <w:pPr>
              <w:pStyle w:val="Compact"/>
              <w:jc w:val="left"/>
            </w:pPr>
            <w:r>
              <w:t xml:space="preserve">Headline improvements in Abstract</w:t>
            </w:r>
          </w:p>
        </w:tc>
        <w:tc>
          <w:tcPr/>
          <w:p>
            <w:pPr>
              <w:pStyle w:val="Compact"/>
              <w:jc w:val="left"/>
            </w:pPr>
            <w:r>
              <w:rPr>
                <w:rStyle w:val="VerbatimChar"/>
              </w:rPr>
              <w:t xml:space="preserve">results/summary_tables/headline_improvements.csv</w:t>
            </w:r>
          </w:p>
        </w:tc>
      </w:tr>
      <w:tr>
        <w:tc>
          <w:tcPr/>
          <w:p>
            <w:pPr>
              <w:pStyle w:val="Compact"/>
              <w:jc w:val="left"/>
            </w:pPr>
            <w:r>
              <w:t xml:space="preserve">Table 1</w:t>
            </w:r>
          </w:p>
        </w:tc>
        <w:tc>
          <w:tcPr/>
          <w:p>
            <w:pPr>
              <w:pStyle w:val="Compact"/>
              <w:jc w:val="left"/>
            </w:pPr>
            <w:r>
              <w:rPr>
                <w:rStyle w:val="VerbatimChar"/>
              </w:rPr>
              <w:t xml:space="preserve">results/ablation_results/table1_ablation_summary.csv</w:t>
            </w:r>
          </w:p>
        </w:tc>
      </w:tr>
      <w:tr>
        <w:tc>
          <w:tcPr/>
          <w:p>
            <w:pPr>
              <w:pStyle w:val="Compact"/>
              <w:jc w:val="left"/>
            </w:pPr>
            <w:r>
              <w:t xml:space="preserve">Fig. S1</w:t>
            </w:r>
          </w:p>
        </w:tc>
        <w:tc>
          <w:tcPr/>
          <w:p>
            <w:pPr>
              <w:pStyle w:val="Compact"/>
              <w:jc w:val="left"/>
            </w:pPr>
            <w:r>
              <w:rPr>
                <w:rStyle w:val="VerbatimChar"/>
              </w:rPr>
              <w:t xml:space="preserve">results/convergence_results/main_convergence_summary_1500iters.csv</w:t>
            </w:r>
          </w:p>
        </w:tc>
      </w:tr>
      <w:tr>
        <w:tc>
          <w:tcPr/>
          <w:p>
            <w:pPr>
              <w:pStyle w:val="Compact"/>
              <w:jc w:val="left"/>
            </w:pPr>
            <w:r>
              <w:t xml:space="preserve">Table S4</w:t>
            </w:r>
          </w:p>
        </w:tc>
        <w:tc>
          <w:tcPr/>
          <w:p>
            <w:pPr>
              <w:pStyle w:val="Compact"/>
              <w:jc w:val="left"/>
            </w:pPr>
            <w:r>
              <w:rPr>
                <w:rStyle w:val="VerbatimChar"/>
              </w:rPr>
              <w:t xml:space="preserve">results/execution_proxy_results/execution_proxy_metrics_summary.csv</w:t>
            </w:r>
          </w:p>
        </w:tc>
      </w:tr>
      <w:tr>
        <w:tc>
          <w:tcPr/>
          <w:p>
            <w:pPr>
              <w:pStyle w:val="Compact"/>
              <w:jc w:val="left"/>
            </w:pPr>
            <w:r>
              <w:t xml:space="preserve">Table S5a</w:t>
            </w:r>
          </w:p>
        </w:tc>
        <w:tc>
          <w:tcPr/>
          <w:p>
            <w:pPr>
              <w:pStyle w:val="Compact"/>
              <w:jc w:val="left"/>
            </w:pPr>
            <w:r>
              <w:rPr>
                <w:rStyle w:val="VerbatimChar"/>
              </w:rPr>
              <w:t xml:space="preserve">results/statistical_tests/friedman_results.csv</w:t>
            </w:r>
          </w:p>
        </w:tc>
      </w:tr>
      <w:tr>
        <w:tc>
          <w:tcPr/>
          <w:p>
            <w:pPr>
              <w:pStyle w:val="Compact"/>
              <w:jc w:val="left"/>
            </w:pPr>
            <w:r>
              <w:t xml:space="preserve">Table S5b</w:t>
            </w:r>
          </w:p>
        </w:tc>
        <w:tc>
          <w:tcPr/>
          <w:p>
            <w:pPr>
              <w:pStyle w:val="Compact"/>
              <w:jc w:val="left"/>
            </w:pPr>
            <w:r>
              <w:rPr>
                <w:rStyle w:val="VerbatimChar"/>
              </w:rPr>
              <w:t xml:space="preserve">results/statistical_tests/wilcoxon_holm_results.csv</w:t>
            </w:r>
          </w:p>
        </w:tc>
      </w:tr>
      <w:tr>
        <w:tc>
          <w:tcPr/>
          <w:p>
            <w:pPr>
              <w:pStyle w:val="Compact"/>
              <w:jc w:val="left"/>
            </w:pPr>
            <w:r>
              <w:t xml:space="preserve">Fig. S6</w:t>
            </w:r>
          </w:p>
        </w:tc>
        <w:tc>
          <w:tcPr/>
          <w:p>
            <w:pPr>
              <w:pStyle w:val="Compact"/>
              <w:jc w:val="left"/>
            </w:pPr>
            <w:r>
              <w:rPr>
                <w:rStyle w:val="VerbatimChar"/>
              </w:rPr>
              <w:t xml:space="preserve">figures_source_data/supplementary_figures/figS6_parameter_sensitivity/</w:t>
            </w:r>
          </w:p>
        </w:tc>
      </w:tr>
      <w:tr>
        <w:tc>
          <w:tcPr/>
          <w:p>
            <w:pPr>
              <w:pStyle w:val="Compact"/>
              <w:jc w:val="left"/>
            </w:pPr>
            <w:r>
              <w:t xml:space="preserve">Table S8</w:t>
            </w:r>
          </w:p>
        </w:tc>
        <w:tc>
          <w:tcPr/>
          <w:p>
            <w:pPr>
              <w:pStyle w:val="Compact"/>
              <w:jc w:val="left"/>
            </w:pPr>
            <w:r>
              <w:rPr>
                <w:rStyle w:val="VerbatimChar"/>
              </w:rPr>
              <w:t xml:space="preserve">results/parameter_sensitivity/table_S8_parameter_sensitivity.csv</w:t>
            </w:r>
          </w:p>
        </w:tc>
      </w:tr>
      <w:tr>
        <w:tc>
          <w:tcPr/>
          <w:p>
            <w:pPr>
              <w:pStyle w:val="Compact"/>
              <w:jc w:val="left"/>
            </w:pPr>
            <w:r>
              <w:t xml:space="preserve">Parameter sensitivity analysis</w:t>
            </w:r>
          </w:p>
        </w:tc>
        <w:tc>
          <w:tcPr/>
          <w:p>
            <w:pPr>
              <w:pStyle w:val="Compact"/>
              <w:jc w:val="left"/>
            </w:pPr>
            <w:r>
              <w:rPr>
                <w:rStyle w:val="VerbatimChar"/>
              </w:rPr>
              <w:t xml:space="preserve">results/parameter_sensitivity/</w:t>
            </w:r>
            <w:r>
              <w:t xml:space="preserve"> </w:t>
            </w:r>
            <w:r>
              <w:t xml:space="preserve">and</w:t>
            </w:r>
            <w:r>
              <w:t xml:space="preserve"> </w:t>
            </w:r>
            <w:r>
              <w:rPr>
                <w:rStyle w:val="VerbatimChar"/>
              </w:rPr>
              <w:t xml:space="preserve">code/sensitivity_analysis/</w:t>
            </w:r>
          </w:p>
        </w:tc>
      </w:tr>
      <w:tr>
        <w:tc>
          <w:tcPr/>
          <w:p>
            <w:pPr>
              <w:pStyle w:val="Compact"/>
              <w:jc w:val="left"/>
            </w:pPr>
            <w:r>
              <w:t xml:space="preserve">Table S6</w:t>
            </w:r>
          </w:p>
        </w:tc>
        <w:tc>
          <w:tcPr/>
          <w:p>
            <w:pPr>
              <w:pStyle w:val="Compact"/>
              <w:jc w:val="left"/>
            </w:pPr>
            <w:r>
              <w:rPr>
                <w:rStyle w:val="VerbatimChar"/>
              </w:rPr>
              <w:t xml:space="preserve">data/real_tree_locations/real_orchard_case_metrics.csv</w:t>
            </w:r>
          </w:p>
        </w:tc>
      </w:tr>
      <w:tr>
        <w:tc>
          <w:tcPr/>
          <w:p>
            <w:pPr>
              <w:pStyle w:val="Compact"/>
              <w:jc w:val="left"/>
            </w:pPr>
            <w:r>
              <w:t xml:space="preserve">Fig. 4</w:t>
            </w:r>
          </w:p>
        </w:tc>
        <w:tc>
          <w:tcPr/>
          <w:p>
            <w:pPr>
              <w:pStyle w:val="Compact"/>
              <w:jc w:val="left"/>
            </w:pPr>
            <w:r>
              <w:rPr>
                <w:rStyle w:val="VerbatimChar"/>
              </w:rPr>
              <w:t xml:space="preserve">figures_source_data/fig4_seed44_path/</w:t>
            </w:r>
          </w:p>
        </w:tc>
      </w:tr>
      <w:tr>
        <w:tc>
          <w:tcPr/>
          <w:p>
            <w:pPr>
              <w:pStyle w:val="Compact"/>
              <w:jc w:val="left"/>
            </w:pPr>
            <w:r>
              <w:t xml:space="preserve">Fig. 5</w:t>
            </w:r>
          </w:p>
        </w:tc>
        <w:tc>
          <w:tcPr/>
          <w:p>
            <w:pPr>
              <w:pStyle w:val="Compact"/>
              <w:jc w:val="left"/>
            </w:pPr>
            <w:r>
              <w:rPr>
                <w:rStyle w:val="VerbatimChar"/>
              </w:rPr>
              <w:t xml:space="preserve">data/real_tree_locations/</w:t>
            </w:r>
            <w:r>
              <w:t xml:space="preserve"> </w:t>
            </w:r>
            <w:r>
              <w:t xml:space="preserve">and</w:t>
            </w:r>
            <w:r>
              <w:t xml:space="preserve"> </w:t>
            </w:r>
            <w:r>
              <w:rPr>
                <w:rStyle w:val="VerbatimChar"/>
              </w:rPr>
              <w:t xml:space="preserve">figures_source_data/fig5_real_case/</w:t>
            </w:r>
          </w:p>
        </w:tc>
      </w:tr>
      <w:tr>
        <w:tc>
          <w:tcPr/>
          <w:p>
            <w:pPr>
              <w:pStyle w:val="Compact"/>
              <w:jc w:val="left"/>
            </w:pPr>
            <w:r>
              <w:t xml:space="preserve">Example inputs</w:t>
            </w:r>
          </w:p>
        </w:tc>
        <w:tc>
          <w:tcPr/>
          <w:p>
            <w:pPr>
              <w:pStyle w:val="Compact"/>
              <w:jc w:val="left"/>
            </w:pPr>
            <w:r>
              <w:rPr>
                <w:rStyle w:val="VerbatimChar"/>
              </w:rPr>
              <w:t xml:space="preserve">data/example_inputs/</w:t>
            </w:r>
          </w:p>
        </w:tc>
      </w:tr>
    </w:tbl>
    <w:bookmarkEnd w:id="24"/>
    <w:bookmarkStart w:id="25" w:name="code-organization"/>
    <w:p>
      <w:pPr>
        <w:pStyle w:val="Heading2"/>
      </w:pPr>
      <w:r>
        <w:t xml:space="preserve">Code organization</w:t>
      </w:r>
    </w:p>
    <w:p>
      <w:pPr>
        <w:pStyle w:val="Compact"/>
        <w:numPr>
          <w:ilvl w:val="0"/>
          <w:numId w:val="1004"/>
        </w:numPr>
      </w:pPr>
      <w:r>
        <w:rPr>
          <w:rStyle w:val="VerbatimChar"/>
        </w:rPr>
        <w:t xml:space="preserve">code/evaluation/</w:t>
      </w:r>
      <w:r>
        <w:t xml:space="preserve">: main experimental scripts, summary-generation scripts, and execution-proxy post-processing scripts.</w:t>
      </w:r>
    </w:p>
    <w:p>
      <w:pPr>
        <w:pStyle w:val="Compact"/>
        <w:numPr>
          <w:ilvl w:val="0"/>
          <w:numId w:val="1004"/>
        </w:numPr>
      </w:pPr>
      <w:r>
        <w:rPr>
          <w:rStyle w:val="VerbatimChar"/>
        </w:rPr>
        <w:t xml:space="preserve">code/plotting/</w:t>
      </w:r>
      <w:r>
        <w:t xml:space="preserve">: plotting scripts for convergence curves, representative path visualization, and real-orchard case visualization.</w:t>
      </w:r>
    </w:p>
    <w:p>
      <w:pPr>
        <w:pStyle w:val="Compact"/>
        <w:numPr>
          <w:ilvl w:val="0"/>
          <w:numId w:val="1004"/>
        </w:numPr>
      </w:pPr>
      <w:r>
        <w:rPr>
          <w:rStyle w:val="VerbatimChar"/>
        </w:rPr>
        <w:t xml:space="preserve">code/statistics/</w:t>
      </w:r>
      <w:r>
        <w:t xml:space="preserve">: scripts for Friedman and Wilcoxon-Holm statistical tests.</w:t>
      </w:r>
    </w:p>
    <w:p>
      <w:pPr>
        <w:pStyle w:val="Compact"/>
        <w:numPr>
          <w:ilvl w:val="0"/>
          <w:numId w:val="1004"/>
        </w:numPr>
      </w:pPr>
      <w:r>
        <w:rPr>
          <w:rStyle w:val="VerbatimChar"/>
        </w:rPr>
        <w:t xml:space="preserve">code/scenario_generation/</w:t>
      </w:r>
      <w:r>
        <w:t xml:space="preserve">: optional utilities for generating or documenting scenario inputs.</w:t>
      </w:r>
    </w:p>
    <w:p>
      <w:pPr>
        <w:pStyle w:val="Compact"/>
        <w:numPr>
          <w:ilvl w:val="0"/>
          <w:numId w:val="1004"/>
        </w:numPr>
      </w:pPr>
      <w:r>
        <w:rPr>
          <w:rStyle w:val="VerbatimChar"/>
        </w:rPr>
        <w:t xml:space="preserve">code/sensitivity_analysis/</w:t>
      </w:r>
      <w:r>
        <w:t xml:space="preserve">: release scripts for reproducing the F-LCA parameter sensitivity analysis.</w:t>
      </w:r>
    </w:p>
    <w:bookmarkEnd w:id="25"/>
    <w:bookmarkStart w:id="26" w:name="results-organization"/>
    <w:p>
      <w:pPr>
        <w:pStyle w:val="Heading2"/>
      </w:pPr>
      <w:r>
        <w:t xml:space="preserve">Results organization</w:t>
      </w:r>
    </w:p>
    <w:p>
      <w:pPr>
        <w:pStyle w:val="Compact"/>
        <w:numPr>
          <w:ilvl w:val="0"/>
          <w:numId w:val="1005"/>
        </w:numPr>
      </w:pPr>
      <w:r>
        <w:rPr>
          <w:rStyle w:val="VerbatimChar"/>
        </w:rPr>
        <w:t xml:space="preserve">results/seed_results/</w:t>
      </w:r>
      <w:r>
        <w:t xml:space="preserve">: seed-level results for F-LCA, SISR-VRP, ACO, GA, and PSO.</w:t>
      </w:r>
    </w:p>
    <w:p>
      <w:pPr>
        <w:pStyle w:val="Compact"/>
        <w:numPr>
          <w:ilvl w:val="0"/>
          <w:numId w:val="1005"/>
        </w:numPr>
      </w:pPr>
      <w:r>
        <w:rPr>
          <w:rStyle w:val="VerbatimChar"/>
        </w:rPr>
        <w:t xml:space="preserve">results/summary_tables/</w:t>
      </w:r>
      <w:r>
        <w:t xml:space="preserve">: manuscript-ready summary tables and headline improvement calculations.</w:t>
      </w:r>
    </w:p>
    <w:p>
      <w:pPr>
        <w:pStyle w:val="Compact"/>
        <w:numPr>
          <w:ilvl w:val="0"/>
          <w:numId w:val="1005"/>
        </w:numPr>
      </w:pPr>
      <w:r>
        <w:rPr>
          <w:rStyle w:val="VerbatimChar"/>
        </w:rPr>
        <w:t xml:space="preserve">results/ablation_results/</w:t>
      </w:r>
      <w:r>
        <w:t xml:space="preserve">: seed-level and summary results for F-LCA ablation variants.</w:t>
      </w:r>
    </w:p>
    <w:p>
      <w:pPr>
        <w:pStyle w:val="Compact"/>
        <w:numPr>
          <w:ilvl w:val="0"/>
          <w:numId w:val="1005"/>
        </w:numPr>
      </w:pPr>
      <w:r>
        <w:rPr>
          <w:rStyle w:val="VerbatimChar"/>
        </w:rPr>
        <w:t xml:space="preserve">results/convergence_results/</w:t>
      </w:r>
      <w:r>
        <w:t xml:space="preserve">: convergence summary data for iterative algorithms.</w:t>
      </w:r>
    </w:p>
    <w:p>
      <w:pPr>
        <w:pStyle w:val="Compact"/>
        <w:numPr>
          <w:ilvl w:val="0"/>
          <w:numId w:val="1005"/>
        </w:numPr>
      </w:pPr>
      <w:r>
        <w:rPr>
          <w:rStyle w:val="VerbatimChar"/>
        </w:rPr>
        <w:t xml:space="preserve">results/execution_proxy_results/</w:t>
      </w:r>
      <w:r>
        <w:t xml:space="preserve">: execution-oriented proxy evaluation results under a unified post-processing protocol.</w:t>
      </w:r>
    </w:p>
    <w:p>
      <w:pPr>
        <w:pStyle w:val="Compact"/>
        <w:numPr>
          <w:ilvl w:val="0"/>
          <w:numId w:val="1005"/>
        </w:numPr>
      </w:pPr>
      <w:r>
        <w:rPr>
          <w:rStyle w:val="VerbatimChar"/>
        </w:rPr>
        <w:t xml:space="preserve">results/statistical_tests/</w:t>
      </w:r>
      <w:r>
        <w:t xml:space="preserve">: Friedman and Wilcoxon-Holm statistical test outputs.</w:t>
      </w:r>
    </w:p>
    <w:p>
      <w:pPr>
        <w:pStyle w:val="Compact"/>
        <w:numPr>
          <w:ilvl w:val="0"/>
          <w:numId w:val="1005"/>
        </w:numPr>
      </w:pPr>
      <w:r>
        <w:rPr>
          <w:rStyle w:val="VerbatimChar"/>
        </w:rPr>
        <w:t xml:space="preserve">results/parameter_sensitivity/</w:t>
      </w:r>
      <w:r>
        <w:t xml:space="preserve">: cleaned results and source tables for the F-LCA parameter sensitivity analysis.</w:t>
      </w:r>
    </w:p>
    <w:bookmarkEnd w:id="26"/>
    <w:bookmarkStart w:id="27" w:name="figure-source-data-organization"/>
    <w:p>
      <w:pPr>
        <w:pStyle w:val="Heading2"/>
      </w:pPr>
      <w:r>
        <w:t xml:space="preserve">Figure source data organization</w:t>
      </w:r>
    </w:p>
    <w:p>
      <w:pPr>
        <w:pStyle w:val="Compact"/>
        <w:numPr>
          <w:ilvl w:val="0"/>
          <w:numId w:val="1006"/>
        </w:numPr>
      </w:pPr>
      <w:r>
        <w:rPr>
          <w:rStyle w:val="VerbatimChar"/>
        </w:rPr>
        <w:t xml:space="preserve">figures_source_data/fig3_main_comparison/</w:t>
      </w:r>
      <w:r>
        <w:t xml:space="preserve">: source data and exported panels for the main algorithm comparison figure.</w:t>
      </w:r>
    </w:p>
    <w:p>
      <w:pPr>
        <w:pStyle w:val="Compact"/>
        <w:numPr>
          <w:ilvl w:val="0"/>
          <w:numId w:val="1006"/>
        </w:numPr>
      </w:pPr>
      <w:r>
        <w:rPr>
          <w:rStyle w:val="VerbatimChar"/>
        </w:rPr>
        <w:t xml:space="preserve">figures_source_data/fig4_seed44_path/</w:t>
      </w:r>
      <w:r>
        <w:t xml:space="preserve">: source files for the representative seed-44 cooperative path visualization.</w:t>
      </w:r>
    </w:p>
    <w:p>
      <w:pPr>
        <w:pStyle w:val="Compact"/>
        <w:numPr>
          <w:ilvl w:val="0"/>
          <w:numId w:val="1006"/>
        </w:numPr>
      </w:pPr>
      <w:r>
        <w:rPr>
          <w:rStyle w:val="VerbatimChar"/>
        </w:rPr>
        <w:t xml:space="preserve">figures_source_data/fig5_real_case/</w:t>
      </w:r>
      <w:r>
        <w:t xml:space="preserve">: source files and exported figures for the real-tree-location planning case.</w:t>
      </w:r>
    </w:p>
    <w:p>
      <w:pPr>
        <w:pStyle w:val="Compact"/>
        <w:numPr>
          <w:ilvl w:val="0"/>
          <w:numId w:val="1006"/>
        </w:numPr>
      </w:pPr>
      <w:r>
        <w:rPr>
          <w:rStyle w:val="VerbatimChar"/>
        </w:rPr>
        <w:t xml:space="preserve">figures_source_data/final_manuscript_figures/</w:t>
      </w:r>
      <w:r>
        <w:t xml:space="preserve">: final exported versions of the main manuscript figures.</w:t>
      </w:r>
    </w:p>
    <w:p>
      <w:pPr>
        <w:pStyle w:val="Compact"/>
        <w:numPr>
          <w:ilvl w:val="0"/>
          <w:numId w:val="1006"/>
        </w:numPr>
      </w:pPr>
      <w:r>
        <w:rPr>
          <w:rStyle w:val="VerbatimChar"/>
        </w:rPr>
        <w:t xml:space="preserve">figures_source_data/supplementary_figures/</w:t>
      </w:r>
      <w:r>
        <w:t xml:space="preserve">: exported supplementary figures and corresponding source files.</w:t>
      </w:r>
    </w:p>
    <w:p>
      <w:pPr>
        <w:pStyle w:val="Compact"/>
        <w:numPr>
          <w:ilvl w:val="0"/>
          <w:numId w:val="1006"/>
        </w:numPr>
      </w:pPr>
      <w:r>
        <w:rPr>
          <w:rStyle w:val="VerbatimChar"/>
        </w:rPr>
        <w:t xml:space="preserve">figures_source_data/supplementary_figures/figS6_parameter_sensitivity/</w:t>
      </w:r>
      <w:r>
        <w:t xml:space="preserve">: exported panels and source data for Supplementary Fig. S6.</w:t>
      </w:r>
    </w:p>
    <w:bookmarkEnd w:id="27"/>
    <w:bookmarkStart w:id="28" w:name="X98a11591184528b55e9115de1b90d6a2d5d6ea0"/>
    <w:p>
      <w:pPr>
        <w:pStyle w:val="Heading2"/>
      </w:pPr>
      <w:r>
        <w:t xml:space="preserve">Reproducing summary tables and selected figures</w:t>
      </w:r>
    </w:p>
    <w:p>
      <w:pPr>
        <w:pStyle w:val="FirstParagraph"/>
      </w:pPr>
      <w:r>
        <w:t xml:space="preserve">From the repository root, the following lightweight scripts can be used to regenerate the manuscript-ready summary tables, statistical-test outputs, convergence figures, and real-tree-location case figure:</w:t>
      </w:r>
    </w:p>
    <w:p>
      <w:pPr>
        <w:pStyle w:val="SourceCode"/>
      </w:pPr>
      <w:r>
        <w:rPr>
          <w:rStyle w:val="ExtensionTok"/>
        </w:rPr>
        <w:t xml:space="preserve">python</w:t>
      </w:r>
      <w:r>
        <w:rPr>
          <w:rStyle w:val="NormalTok"/>
        </w:rPr>
        <w:t xml:space="preserve"> code/evaluation/generate_main_summary.py</w:t>
      </w:r>
      <w:r>
        <w:br/>
      </w:r>
      <w:r>
        <w:rPr>
          <w:rStyle w:val="ExtensionTok"/>
        </w:rPr>
        <w:t xml:space="preserve">python</w:t>
      </w:r>
      <w:r>
        <w:rPr>
          <w:rStyle w:val="NormalTok"/>
        </w:rPr>
        <w:t xml:space="preserve"> code/evaluation/generate_ablation_summary.py</w:t>
      </w:r>
      <w:r>
        <w:br/>
      </w:r>
      <w:r>
        <w:rPr>
          <w:rStyle w:val="ExtensionTok"/>
        </w:rPr>
        <w:t xml:space="preserve">python</w:t>
      </w:r>
      <w:r>
        <w:rPr>
          <w:rStyle w:val="NormalTok"/>
        </w:rPr>
        <w:t xml:space="preserve"> code/statistics/generate_statistical_tests.py</w:t>
      </w:r>
      <w:r>
        <w:br/>
      </w:r>
      <w:r>
        <w:rPr>
          <w:rStyle w:val="ExtensionTok"/>
        </w:rPr>
        <w:t xml:space="preserve">python</w:t>
      </w:r>
      <w:r>
        <w:rPr>
          <w:rStyle w:val="NormalTok"/>
        </w:rPr>
        <w:t xml:space="preserve"> code/plotting/plot_convergence_all_algorithms.py</w:t>
      </w:r>
      <w:r>
        <w:br/>
      </w:r>
      <w:r>
        <w:rPr>
          <w:rStyle w:val="ExtensionTok"/>
        </w:rPr>
        <w:t xml:space="preserve">python</w:t>
      </w:r>
      <w:r>
        <w:rPr>
          <w:rStyle w:val="NormalTok"/>
        </w:rPr>
        <w:t xml:space="preserve"> code/plotting/draw_real_orchard_fig5_local.py</w:t>
      </w:r>
    </w:p>
    <w:p>
      <w:pPr>
        <w:pStyle w:val="FirstParagraph"/>
      </w:pPr>
      <w:r>
        <w:t xml:space="preserve">Generated files are saved under</w:t>
      </w:r>
      <w:r>
        <w:t xml:space="preserve"> </w:t>
      </w:r>
      <w:r>
        <w:rPr>
          <w:rStyle w:val="VerbatimChar"/>
        </w:rPr>
        <w:t xml:space="preserve">results/</w:t>
      </w:r>
      <w:r>
        <w:t xml:space="preserve"> </w:t>
      </w:r>
      <w:r>
        <w:t xml:space="preserve">or</w:t>
      </w:r>
      <w:r>
        <w:t xml:space="preserve"> </w:t>
      </w:r>
      <w:r>
        <w:rPr>
          <w:rStyle w:val="VerbatimChar"/>
        </w:rPr>
        <w:t xml:space="preserve">figures_source_data/</w:t>
      </w:r>
      <w:r>
        <w:t xml:space="preserve">, depending on the script.</w:t>
      </w:r>
    </w:p>
    <w:p>
      <w:pPr>
        <w:pStyle w:val="BodyText"/>
      </w:pPr>
      <w:r>
        <w:t xml:space="preserve">The full 20-seed algorithm runs can be time-consuming. Seed-level results used in the manuscript are already provided in</w:t>
      </w:r>
      <w:r>
        <w:t xml:space="preserve"> </w:t>
      </w:r>
      <w:r>
        <w:rPr>
          <w:rStyle w:val="VerbatimChar"/>
        </w:rPr>
        <w:t xml:space="preserve">results/seed_results/</w:t>
      </w:r>
      <w:r>
        <w:t xml:space="preserve">.</w:t>
      </w:r>
    </w:p>
    <w:bookmarkEnd w:id="28"/>
    <w:bookmarkStart w:id="29" w:name="re-running-full-experiments"/>
    <w:p>
      <w:pPr>
        <w:pStyle w:val="Heading2"/>
      </w:pPr>
      <w:r>
        <w:t xml:space="preserve">Re-running full experiments</w:t>
      </w:r>
    </w:p>
    <w:p>
      <w:pPr>
        <w:pStyle w:val="FirstParagraph"/>
      </w:pPr>
      <w:r>
        <w:t xml:space="preserve">The main fair-budget experimental scripts are provided under</w:t>
      </w:r>
      <w:r>
        <w:t xml:space="preserve"> </w:t>
      </w:r>
      <w:r>
        <w:rPr>
          <w:rStyle w:val="VerbatimChar"/>
        </w:rPr>
        <w:t xml:space="preserve">code/evaluation/</w:t>
      </w:r>
      <w:r>
        <w:t xml:space="preserve">. They can be used to rerun the algorithm comparisons if full recomputation is required.</w:t>
      </w:r>
    </w:p>
    <w:p>
      <w:pPr>
        <w:pStyle w:val="BodyText"/>
      </w:pPr>
      <w:r>
        <w:t xml:space="preserve">Representative scripts include:</w:t>
      </w:r>
    </w:p>
    <w:p>
      <w:pPr>
        <w:pStyle w:val="SourceCode"/>
      </w:pPr>
      <w:r>
        <w:rPr>
          <w:rStyle w:val="ExtensionTok"/>
        </w:rPr>
        <w:t xml:space="preserve">python</w:t>
      </w:r>
      <w:r>
        <w:rPr>
          <w:rStyle w:val="NormalTok"/>
        </w:rPr>
        <w:t xml:space="preserve"> code/evaluation/run_flca_20seed_fair_budget.py</w:t>
      </w:r>
      <w:r>
        <w:br/>
      </w:r>
      <w:r>
        <w:rPr>
          <w:rStyle w:val="ExtensionTok"/>
        </w:rPr>
        <w:t xml:space="preserve">python</w:t>
      </w:r>
      <w:r>
        <w:rPr>
          <w:rStyle w:val="NormalTok"/>
        </w:rPr>
        <w:t xml:space="preserve"> code/evaluation/run_aco_20seed_fair_budget.py</w:t>
      </w:r>
      <w:r>
        <w:br/>
      </w:r>
      <w:r>
        <w:rPr>
          <w:rStyle w:val="ExtensionTok"/>
        </w:rPr>
        <w:t xml:space="preserve">python</w:t>
      </w:r>
      <w:r>
        <w:rPr>
          <w:rStyle w:val="NormalTok"/>
        </w:rPr>
        <w:t xml:space="preserve"> code/evaluation/run_ga_20seed_fair_budget.py</w:t>
      </w:r>
      <w:r>
        <w:br/>
      </w:r>
      <w:r>
        <w:rPr>
          <w:rStyle w:val="ExtensionTok"/>
        </w:rPr>
        <w:t xml:space="preserve">python</w:t>
      </w:r>
      <w:r>
        <w:rPr>
          <w:rStyle w:val="NormalTok"/>
        </w:rPr>
        <w:t xml:space="preserve"> code/evaluation/run_pso_20seed_fair_budget.py</w:t>
      </w:r>
      <w:r>
        <w:br/>
      </w:r>
      <w:r>
        <w:rPr>
          <w:rStyle w:val="ExtensionTok"/>
        </w:rPr>
        <w:t xml:space="preserve">python</w:t>
      </w:r>
      <w:r>
        <w:rPr>
          <w:rStyle w:val="NormalTok"/>
        </w:rPr>
        <w:t xml:space="preserve"> code/evaluation/run_sisr_vrp_20seed_fair_budget.py</w:t>
      </w:r>
    </w:p>
    <w:p>
      <w:pPr>
        <w:pStyle w:val="FirstParagraph"/>
      </w:pPr>
      <w:r>
        <w:t xml:space="preserve">These scripts may require substantial runtime because they rerun 20 matched random seeds for each algorithm.</w:t>
      </w:r>
    </w:p>
    <w:bookmarkEnd w:id="29"/>
    <w:bookmarkStart w:id="30" w:name="notes-on-statistical-tests"/>
    <w:p>
      <w:pPr>
        <w:pStyle w:val="Heading2"/>
      </w:pPr>
      <w:r>
        <w:t xml:space="preserve">Notes on statistical tests</w:t>
      </w:r>
    </w:p>
    <w:p>
      <w:pPr>
        <w:pStyle w:val="FirstParagraph"/>
      </w:pPr>
      <w:r>
        <w:t xml:space="preserve">The file</w:t>
      </w:r>
      <w:r>
        <w:t xml:space="preserve"> </w:t>
      </w:r>
      <w:r>
        <w:rPr>
          <w:rStyle w:val="VerbatimChar"/>
        </w:rPr>
        <w:t xml:space="preserve">wilcoxon_holm_results.csv</w:t>
      </w:r>
      <w:r>
        <w:t xml:space="preserve"> </w:t>
      </w:r>
      <w:r>
        <w:t xml:space="preserve">provides the full pairwise Wilcoxon-Holm results, including Total Cost. Supplementary Table S5b reports the main pairwise metrics discussed in the manuscript.</w:t>
      </w:r>
    </w:p>
    <w:bookmarkEnd w:id="30"/>
    <w:bookmarkStart w:id="31" w:name="notes-on-parameter-sensitivity-analysis"/>
    <w:p>
      <w:pPr>
        <w:pStyle w:val="Heading2"/>
      </w:pPr>
      <w:r>
        <w:t xml:space="preserve">Notes on parameter sensitivity analysis</w:t>
      </w:r>
    </w:p>
    <w:p>
      <w:pPr>
        <w:pStyle w:val="FirstParagraph"/>
      </w:pPr>
      <w:r>
        <w:t xml:space="preserve">The parameter sensitivity analysis evaluates F-LCA under single-factor parameter perturbations. For each tested parameter, only one parameter is changed at a time while the remaining parameters are kept at their baseline settings. The same 20 matched random instances used in the main experiment are used for evaluation.</w:t>
      </w:r>
    </w:p>
    <w:p>
      <w:pPr>
        <w:pStyle w:val="BodyText"/>
      </w:pPr>
      <w:r>
        <w:t xml:space="preserve">The cleaned result files provided in this repository contain all metrics required to reproduce the manuscript tables, supplementary tables, and figure source data. Auxiliary logging columns not used for analysis were removed for clarity.</w:t>
      </w:r>
    </w:p>
    <w:bookmarkEnd w:id="31"/>
    <w:bookmarkStart w:id="32" w:name="notes-on-real-tree-location-data"/>
    <w:p>
      <w:pPr>
        <w:pStyle w:val="Heading2"/>
      </w:pPr>
      <w:r>
        <w:t xml:space="preserve">Notes on real-tree-location data</w:t>
      </w:r>
    </w:p>
    <w:p>
      <w:pPr>
        <w:pStyle w:val="FirstParagraph"/>
      </w:pPr>
      <w:r>
        <w:t xml:space="preserve">The real-tree-location case uses processed local planar coordinates derived from KML-exported citrus tree markers. These processed coordinates are provided to support reproducibility of the real-tree-location planning case.</w:t>
      </w:r>
    </w:p>
    <w:bookmarkEnd w:id="32"/>
    <w:bookmarkStart w:id="33" w:name="notes-on-random-instances"/>
    <w:p>
      <w:pPr>
        <w:pStyle w:val="Heading2"/>
      </w:pPr>
      <w:r>
        <w:t xml:space="preserve">Notes on random instances</w:t>
      </w:r>
    </w:p>
    <w:p>
      <w:pPr>
        <w:pStyle w:val="FirstParagraph"/>
      </w:pPr>
      <w:r>
        <w:t xml:space="preserve">The random orchard instances used in the manuscript are generated by the scenario generation functions in the code directory. The matched random seeds are 42-61. Each seed defines one orchard instance with 80 citrus trees, 11 static circular obstacles, and 4 UGVs. Seed-level algorithm outputs are provided in</w:t>
      </w:r>
      <w:r>
        <w:t xml:space="preserve"> </w:t>
      </w:r>
      <w:r>
        <w:rPr>
          <w:rStyle w:val="VerbatimChar"/>
        </w:rPr>
        <w:t xml:space="preserve">results/seed_results/</w:t>
      </w:r>
      <w:r>
        <w:t xml:space="preserve">.</w:t>
      </w:r>
    </w:p>
    <w:bookmarkEnd w:id="33"/>
    <w:bookmarkStart w:id="34" w:name="data-and-code-availability"/>
    <w:p>
      <w:pPr>
        <w:pStyle w:val="Heading2"/>
      </w:pPr>
      <w:r>
        <w:t xml:space="preserve">Data and code availability</w:t>
      </w:r>
    </w:p>
    <w:p>
      <w:pPr>
        <w:pStyle w:val="FirstParagraph"/>
      </w:pPr>
      <w:r>
        <w:t xml:space="preserve">All code, processed input data, seed-level results, summary tables, statistical-test outputs, parameter sensitivity results, execution proxy metrics, and figure source data required to reproduce the manuscript tables and figures are provided in this repository.</w:t>
      </w:r>
    </w:p>
    <w:p>
      <w:pPr>
        <w:pStyle w:val="BodyText"/>
      </w:pPr>
      <w:r>
        <w:t xml:space="preserve">A permanent archival record will be provided through Zenodo after repository finalization.</w:t>
      </w:r>
    </w:p>
    <w:p>
      <w:pPr>
        <w:pStyle w:val="BodyText"/>
      </w:pPr>
      <w:r>
        <w:t xml:space="preserve">Zenodo DOI:</w:t>
      </w:r>
      <w:r>
        <w:t xml:space="preserve"> </w:t>
      </w:r>
      <w:r>
        <w:rPr>
          <w:rStyle w:val="VerbatimChar"/>
        </w:rPr>
        <w:t xml:space="preserve">To be updated</w:t>
      </w:r>
    </w:p>
    <w:bookmarkEnd w:id="34"/>
    <w:bookmarkStart w:id="35" w:name="citation"/>
    <w:p>
      <w:pPr>
        <w:pStyle w:val="Heading2"/>
      </w:pPr>
      <w:r>
        <w:t xml:space="preserve">Citation</w:t>
      </w:r>
    </w:p>
    <w:p>
      <w:pPr>
        <w:pStyle w:val="FirstParagraph"/>
      </w:pPr>
      <w:r>
        <w:t xml:space="preserve">If you use this repository, please cite the associated manuscript and the archived Zenodo record.</w:t>
      </w:r>
    </w:p>
    <w:p>
      <w:pPr>
        <w:pStyle w:val="SourceCode"/>
      </w:pPr>
      <w:r>
        <w:rPr>
          <w:rStyle w:val="VariableTok"/>
        </w:rPr>
        <w:t xml:space="preserve">@misc</w:t>
      </w:r>
      <w:r>
        <w:rPr>
          <w:rStyle w:val="NormalTok"/>
        </w:rPr>
        <w:t xml:space="preserve">{</w:t>
      </w:r>
      <w:r>
        <w:rPr>
          <w:rStyle w:val="OtherTok"/>
        </w:rPr>
        <w:t xml:space="preserve">flca_orchard_multiview_planning_2026</w:t>
      </w:r>
      <w:r>
        <w:rPr>
          <w:rStyle w:val="NormalTok"/>
        </w:rPr>
        <w:t xml:space="preserve">,</w:t>
      </w:r>
      <w:r>
        <w:br/>
      </w:r>
      <w:r>
        <w:rPr>
          <w:rStyle w:val="NormalTok"/>
        </w:rPr>
        <w:t xml:space="preserve">  </w:t>
      </w:r>
      <w:r>
        <w:rPr>
          <w:rStyle w:val="DataTypeTok"/>
        </w:rPr>
        <w:t xml:space="preserve">title</w:t>
      </w:r>
      <w:r>
        <w:rPr>
          <w:rStyle w:val="NormalTok"/>
        </w:rPr>
        <w:t xml:space="preserve">  = {F-LCA Orchard Multi-View Path Planning},</w:t>
      </w:r>
      <w:r>
        <w:br/>
      </w:r>
      <w:r>
        <w:rPr>
          <w:rStyle w:val="NormalTok"/>
        </w:rPr>
        <w:t xml:space="preserve">  </w:t>
      </w:r>
      <w:r>
        <w:rPr>
          <w:rStyle w:val="DataTypeTok"/>
        </w:rPr>
        <w:t xml:space="preserve">author</w:t>
      </w:r>
      <w:r>
        <w:rPr>
          <w:rStyle w:val="NormalTok"/>
        </w:rPr>
        <w:t xml:space="preserve"> = {To be updated},</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{To be updated},</w:t>
      </w:r>
      <w:r>
        <w:br/>
      </w:r>
      <w:r>
        <w:rPr>
          <w:rStyle w:val="NormalTok"/>
        </w:rPr>
        <w:t xml:space="preserve">  </w:t>
      </w:r>
      <w:r>
        <w:rPr>
          <w:rStyle w:val="DataTypeTok"/>
        </w:rPr>
        <w:t xml:space="preserve">url</w:t>
      </w:r>
      <w:r>
        <w:rPr>
          <w:rStyle w:val="NormalTok"/>
        </w:rPr>
        <w:t xml:space="preserve">    = {To be updated}</w:t>
      </w:r>
      <w:r>
        <w:br/>
      </w:r>
      <w:r>
        <w:rPr>
          <w:rStyle w:val="NormalTok"/>
        </w:rPr>
        <w:t xml:space="preserve">}</w:t>
      </w:r>
    </w:p>
    <w:bookmarkEnd w:id="35"/>
    <w:bookmarkStart w:id="36" w:name="license"/>
    <w:p>
      <w:pPr>
        <w:pStyle w:val="Heading2"/>
      </w:pPr>
      <w:r>
        <w:t xml:space="preserve">License</w:t>
      </w:r>
    </w:p>
    <w:p>
      <w:pPr>
        <w:pStyle w:val="FirstParagraph"/>
      </w:pPr>
      <w:r>
        <w:t xml:space="preserve">Unless otherwise stated, the code in this repository is released under the MIT License, and the data, figures, and documentation are released under the Creative Commons Attribution 4.0 International (CC BY 4.0) License.</w:t>
      </w:r>
    </w:p>
    <w:p>
      <w:pPr>
        <w:pStyle w:val="BodyText"/>
      </w:pPr>
      <w:r>
        <w:t xml:space="preserve">If a different license is required by the authors, institution, or target journal, this section should be updated before public release.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2026-05-20T09:50:43Z</dcterms:created>
  <dcterms:modified xsi:type="dcterms:W3CDTF">2026-05-20T09:50:43Z</dcterms:modified>
</cp:coreProperties>
</file>

<file path=docProps/custom.xml><?xml version="1.0" encoding="utf-8"?>
<Properties xmlns="http://schemas.openxmlformats.org/officeDocument/2006/custom-properties" xmlns:vt="http://schemas.openxmlformats.org/officeDocument/2006/docPropsVTypes"/>
</file>