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2A007E48-1201-4778-9391-CD7ADD3B3287}"/>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