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6"/>
        </w:rPr>
        <w:t>ĐỀ XUẤT NÂNG CẤP CHỈ SỐ SMCI HIỆN TẠI</w:t>
      </w:r>
    </w:p>
    <w:p>
      <w:pPr>
        <w:jc w:val="center"/>
      </w:pPr>
      <w:r>
        <w:rPr>
          <w:i/>
          <w:sz w:val="24"/>
        </w:rPr>
        <w:t>Tập trung riêng vào phương pháp trong paper draft</w:t>
      </w:r>
    </w:p>
    <w:p/>
    <w:p>
      <w:pPr>
        <w:pStyle w:val="Heading1"/>
      </w:pPr>
      <w:r>
        <w:t>1. Mục tiêu nâng cấp</w:t>
      </w:r>
    </w:p>
    <w:p>
      <w:r>
        <w:rPr>
          <w:b/>
        </w:rPr>
        <w:t xml:space="preserve">Mục tiêu không phải là biến SMCI thành một chỉ số giao thông bền vững toàn diện. </w:t>
      </w:r>
      <w:r>
        <w:t>Hướng phù hợp hơn là giữ cấu trúc cốt lõi NAI–MAI–RAC, nhưng làm cho từng thành phần có cơ sở rõ hơn, phù hợp hơn với bối cảnh xe máy và dòng xe hỗn hợp, đồng thời tăng khả năng kiểm định, tái lập và diễn giải.</w:t>
      </w:r>
    </w:p>
    <w:p>
      <w:r>
        <w:rPr>
          <w:b/>
        </w:rPr>
        <w:t xml:space="preserve">Cấu trúc hiện tại: </w:t>
      </w:r>
      <w:r>
        <w:t>SMCI = NAI_norm × MAI_norm × RAC_norm.</w:t>
      </w:r>
    </w:p>
    <w:p>
      <w:r>
        <w:rPr>
          <w:b/>
        </w:rPr>
        <w:t xml:space="preserve">Ba ý nghĩa chính: </w:t>
      </w:r>
      <w:r>
        <w:t>NAI phản ánh tiếp cận cơ hội hằng ngày bằng đi bộ; MAI phản ánh tiếp cận cơ hội đô thị bằng đi bộ–vận tải công cộng; RAC phản ánh khả năng cạnh tranh của phương án bền vững so với xe máy.</w:t>
      </w:r>
    </w:p>
    <w:p>
      <w:pPr>
        <w:pStyle w:val="Heading1"/>
      </w:pPr>
      <w:r>
        <w:t>2. Các phần cần nâng cấp trực tiếp</w:t>
      </w:r>
    </w:p>
    <w:tbl>
      <w:tblPr>
        <w:tblStyle w:val="TableGrid"/>
        <w:tblW w:type="auto" w:w="0"/>
        <w:jc w:val="center"/>
        <w:tblLook w:firstColumn="1" w:firstRow="1" w:lastColumn="0" w:lastRow="0" w:noHBand="0" w:noVBand="1" w:val="04A0"/>
      </w:tblPr>
      <w:tblGrid>
        <w:gridCol w:w="1960"/>
        <w:gridCol w:w="1960"/>
        <w:gridCol w:w="1960"/>
        <w:gridCol w:w="1960"/>
        <w:gridCol w:w="1960"/>
      </w:tblGrid>
      <w:tr>
        <w:tc>
          <w:tcPr>
            <w:tcW w:type="dxa" w:w="1960"/>
            <w:vAlign w:val="center"/>
            <w:shd w:fill="D9EAF7"/>
          </w:tcPr>
          <w:p>
            <w:pPr>
              <w:spacing w:after="0"/>
            </w:pPr>
            <w:r/>
            <w:r>
              <w:rPr>
                <w:rFonts w:ascii="Times New Roman" w:hAnsi="Times New Roman" w:eastAsia="Times New Roman"/>
                <w:b/>
                <w:sz w:val="20"/>
              </w:rPr>
              <w:t>Thành phần</w:t>
            </w:r>
          </w:p>
        </w:tc>
        <w:tc>
          <w:tcPr>
            <w:tcW w:type="dxa" w:w="1960"/>
            <w:vAlign w:val="center"/>
            <w:shd w:fill="D9EAF7"/>
          </w:tcPr>
          <w:p>
            <w:pPr>
              <w:spacing w:after="0"/>
            </w:pPr>
            <w:r/>
            <w:r>
              <w:rPr>
                <w:rFonts w:ascii="Times New Roman" w:hAnsi="Times New Roman" w:eastAsia="Times New Roman"/>
                <w:b/>
                <w:sz w:val="20"/>
              </w:rPr>
              <w:t>Hiện trạng</w:t>
            </w:r>
          </w:p>
        </w:tc>
        <w:tc>
          <w:tcPr>
            <w:tcW w:type="dxa" w:w="1960"/>
            <w:vAlign w:val="center"/>
            <w:shd w:fill="D9EAF7"/>
          </w:tcPr>
          <w:p>
            <w:pPr>
              <w:spacing w:after="0"/>
            </w:pPr>
            <w:r/>
            <w:r>
              <w:rPr>
                <w:rFonts w:ascii="Times New Roman" w:hAnsi="Times New Roman" w:eastAsia="Times New Roman"/>
                <w:b/>
                <w:sz w:val="20"/>
              </w:rPr>
              <w:t>Vấn đề</w:t>
            </w:r>
          </w:p>
        </w:tc>
        <w:tc>
          <w:tcPr>
            <w:tcW w:type="dxa" w:w="1960"/>
            <w:vAlign w:val="center"/>
            <w:shd w:fill="D9EAF7"/>
          </w:tcPr>
          <w:p>
            <w:pPr>
              <w:spacing w:after="0"/>
            </w:pPr>
            <w:r/>
            <w:r>
              <w:rPr>
                <w:rFonts w:ascii="Times New Roman" w:hAnsi="Times New Roman" w:eastAsia="Times New Roman"/>
                <w:b/>
                <w:sz w:val="20"/>
              </w:rPr>
              <w:t>Nâng cấp đề xuất</w:t>
            </w:r>
          </w:p>
        </w:tc>
        <w:tc>
          <w:tcPr>
            <w:tcW w:type="dxa" w:w="1960"/>
            <w:vAlign w:val="center"/>
            <w:shd w:fill="D9EAF7"/>
          </w:tcPr>
          <w:p>
            <w:pPr>
              <w:spacing w:after="0"/>
            </w:pPr>
            <w:r/>
            <w:r>
              <w:rPr>
                <w:rFonts w:ascii="Times New Roman" w:hAnsi="Times New Roman" w:eastAsia="Times New Roman"/>
                <w:b/>
                <w:sz w:val="20"/>
              </w:rPr>
              <w:t>Mức ưu tiên</w:t>
            </w:r>
          </w:p>
        </w:tc>
      </w:tr>
      <w:tr>
        <w:tc>
          <w:tcPr>
            <w:tcW w:type="dxa" w:w="1960"/>
            <w:vAlign w:val="center"/>
          </w:tcPr>
          <w:p>
            <w:pPr>
              <w:spacing w:after="0"/>
            </w:pPr>
            <w:r/>
            <w:r>
              <w:rPr>
                <w:rFonts w:ascii="Times New Roman" w:hAnsi="Times New Roman" w:eastAsia="Times New Roman"/>
                <w:b w:val="0"/>
                <w:sz w:val="18"/>
              </w:rPr>
              <w:t>Phạm vi construct</w:t>
            </w:r>
          </w:p>
        </w:tc>
        <w:tc>
          <w:tcPr>
            <w:tcW w:type="dxa" w:w="1960"/>
            <w:vAlign w:val="center"/>
          </w:tcPr>
          <w:p>
            <w:pPr>
              <w:spacing w:after="0"/>
            </w:pPr>
            <w:r/>
            <w:r>
              <w:rPr>
                <w:rFonts w:ascii="Times New Roman" w:hAnsi="Times New Roman" w:eastAsia="Times New Roman"/>
                <w:b w:val="0"/>
                <w:sz w:val="18"/>
              </w:rPr>
              <w:t>SMCI kết hợp NAI, MAI và RAC.</w:t>
            </w:r>
          </w:p>
        </w:tc>
        <w:tc>
          <w:tcPr>
            <w:tcW w:type="dxa" w:w="1960"/>
            <w:vAlign w:val="center"/>
          </w:tcPr>
          <w:p>
            <w:pPr>
              <w:spacing w:after="0"/>
            </w:pPr>
            <w:r/>
            <w:r>
              <w:rPr>
                <w:rFonts w:ascii="Times New Roman" w:hAnsi="Times New Roman" w:eastAsia="Times New Roman"/>
                <w:b w:val="0"/>
                <w:sz w:val="18"/>
              </w:rPr>
              <w:t>Có nguy cơ mở rộng sang quá nhiều chiều như an toàn, phát thải, chi phí và công bằng.</w:t>
            </w:r>
          </w:p>
        </w:tc>
        <w:tc>
          <w:tcPr>
            <w:tcW w:type="dxa" w:w="1960"/>
            <w:vAlign w:val="center"/>
          </w:tcPr>
          <w:p>
            <w:pPr>
              <w:spacing w:after="0"/>
            </w:pPr>
            <w:r/>
            <w:r>
              <w:rPr>
                <w:rFonts w:ascii="Times New Roman" w:hAnsi="Times New Roman" w:eastAsia="Times New Roman"/>
                <w:b w:val="0"/>
                <w:sz w:val="18"/>
              </w:rPr>
              <w:t>Giữ SMCI là chỉ số năng lực tiếp cận bền vững. Safety, affordability, equity và environment được báo cáo thành lớp audit riêng.</w:t>
            </w:r>
          </w:p>
        </w:tc>
        <w:tc>
          <w:tcPr>
            <w:tcW w:type="dxa" w:w="1960"/>
            <w:vAlign w:val="center"/>
          </w:tcPr>
          <w:p>
            <w:pPr>
              <w:spacing w:after="0"/>
            </w:pPr>
            <w:r/>
            <w:r>
              <w:rPr>
                <w:rFonts w:ascii="Times New Roman" w:hAnsi="Times New Roman" w:eastAsia="Times New Roman"/>
                <w:b w:val="0"/>
                <w:sz w:val="18"/>
              </w:rPr>
              <w:t>Bắt buộc</w:t>
            </w:r>
          </w:p>
        </w:tc>
      </w:tr>
      <w:tr>
        <w:tc>
          <w:tcPr>
            <w:tcW w:type="dxa" w:w="1960"/>
            <w:vAlign w:val="center"/>
          </w:tcPr>
          <w:p>
            <w:pPr>
              <w:spacing w:after="0"/>
            </w:pPr>
            <w:r/>
            <w:r>
              <w:rPr>
                <w:rFonts w:ascii="Times New Roman" w:hAnsi="Times New Roman" w:eastAsia="Times New Roman"/>
                <w:b w:val="0"/>
                <w:sz w:val="18"/>
              </w:rPr>
              <w:t>NAI – ngưỡng đi bộ</w:t>
            </w:r>
          </w:p>
        </w:tc>
        <w:tc>
          <w:tcPr>
            <w:tcW w:type="dxa" w:w="1960"/>
            <w:vAlign w:val="center"/>
          </w:tcPr>
          <w:p>
            <w:pPr>
              <w:spacing w:after="0"/>
            </w:pPr>
            <w:r/>
            <w:r>
              <w:rPr>
                <w:rFonts w:ascii="Times New Roman" w:hAnsi="Times New Roman" w:eastAsia="Times New Roman"/>
                <w:b w:val="0"/>
                <w:sz w:val="18"/>
              </w:rPr>
              <w:t>Ngưỡng chính 800 m; có kiểm tra 600–1.200 m.</w:t>
            </w:r>
          </w:p>
        </w:tc>
        <w:tc>
          <w:tcPr>
            <w:tcW w:type="dxa" w:w="1960"/>
            <w:vAlign w:val="center"/>
          </w:tcPr>
          <w:p>
            <w:pPr>
              <w:spacing w:after="0"/>
            </w:pPr>
            <w:r/>
            <w:r>
              <w:rPr>
                <w:rFonts w:ascii="Times New Roman" w:hAnsi="Times New Roman" w:eastAsia="Times New Roman"/>
                <w:b w:val="0"/>
                <w:sz w:val="18"/>
              </w:rPr>
              <w:t>800 m chưa được hiệu chỉnh theo hành vi cư dân Hà Nội; khoảng cách mạng chưa phản ánh chất lượng tuyến đi bộ.</w:t>
            </w:r>
          </w:p>
        </w:tc>
        <w:tc>
          <w:tcPr>
            <w:tcW w:type="dxa" w:w="1960"/>
            <w:vAlign w:val="center"/>
          </w:tcPr>
          <w:p>
            <w:pPr>
              <w:spacing w:after="0"/>
            </w:pPr>
            <w:r/>
            <w:r>
              <w:rPr>
                <w:rFonts w:ascii="Times New Roman" w:hAnsi="Times New Roman" w:eastAsia="Times New Roman"/>
                <w:b w:val="0"/>
                <w:sz w:val="18"/>
              </w:rPr>
              <w:t>Giữ 800 m làm specification chính nhưng báo cáo đầy đủ sensitivity; bổ sung penalty cho rào cản, giao cắt, thiếu vỉa hè và độ dốc nếu có dữ liệu.</w:t>
            </w:r>
          </w:p>
        </w:tc>
        <w:tc>
          <w:tcPr>
            <w:tcW w:type="dxa" w:w="1960"/>
            <w:vAlign w:val="center"/>
          </w:tcPr>
          <w:p>
            <w:pPr>
              <w:spacing w:after="0"/>
            </w:pPr>
            <w:r/>
            <w:r>
              <w:rPr>
                <w:rFonts w:ascii="Times New Roman" w:hAnsi="Times New Roman" w:eastAsia="Times New Roman"/>
                <w:b w:val="0"/>
                <w:sz w:val="18"/>
              </w:rPr>
              <w:t>Bắt buộc</w:t>
            </w:r>
          </w:p>
        </w:tc>
      </w:tr>
      <w:tr>
        <w:tc>
          <w:tcPr>
            <w:tcW w:type="dxa" w:w="1960"/>
            <w:vAlign w:val="center"/>
          </w:tcPr>
          <w:p>
            <w:pPr>
              <w:spacing w:after="0"/>
            </w:pPr>
            <w:r/>
            <w:r>
              <w:rPr>
                <w:rFonts w:ascii="Times New Roman" w:hAnsi="Times New Roman" w:eastAsia="Times New Roman"/>
                <w:b w:val="0"/>
                <w:sz w:val="18"/>
              </w:rPr>
              <w:t>NAI – chất lượng tiếp cận</w:t>
            </w:r>
          </w:p>
        </w:tc>
        <w:tc>
          <w:tcPr>
            <w:tcW w:type="dxa" w:w="1960"/>
            <w:vAlign w:val="center"/>
          </w:tcPr>
          <w:p>
            <w:pPr>
              <w:spacing w:after="0"/>
            </w:pPr>
            <w:r/>
            <w:r>
              <w:rPr>
                <w:rFonts w:ascii="Times New Roman" w:hAnsi="Times New Roman" w:eastAsia="Times New Roman"/>
                <w:b w:val="0"/>
                <w:sz w:val="18"/>
              </w:rPr>
              <w:t>Chủ yếu đo khả năng đến cơ hội trong ngưỡng.</w:t>
            </w:r>
          </w:p>
        </w:tc>
        <w:tc>
          <w:tcPr>
            <w:tcW w:type="dxa" w:w="1960"/>
            <w:vAlign w:val="center"/>
          </w:tcPr>
          <w:p>
            <w:pPr>
              <w:spacing w:after="0"/>
            </w:pPr>
            <w:r/>
            <w:r>
              <w:rPr>
                <w:rFonts w:ascii="Times New Roman" w:hAnsi="Times New Roman" w:eastAsia="Times New Roman"/>
                <w:b w:val="0"/>
                <w:sz w:val="18"/>
              </w:rPr>
              <w:t>Một tuyến ngắn chưa chắc sử dụng được hoặc an toàn.</w:t>
            </w:r>
          </w:p>
        </w:tc>
        <w:tc>
          <w:tcPr>
            <w:tcW w:type="dxa" w:w="1960"/>
            <w:vAlign w:val="center"/>
          </w:tcPr>
          <w:p>
            <w:pPr>
              <w:spacing w:after="0"/>
            </w:pPr>
            <w:r/>
            <w:r>
              <w:rPr>
                <w:rFonts w:ascii="Times New Roman" w:hAnsi="Times New Roman" w:eastAsia="Times New Roman"/>
                <w:b w:val="0"/>
                <w:sz w:val="18"/>
              </w:rPr>
              <w:t>Tách proximity access và usable walking access; xây chỉ số chất lượng đường đi hoặc crossing impedance ở phân tích bổ sung.</w:t>
            </w:r>
          </w:p>
        </w:tc>
        <w:tc>
          <w:tcPr>
            <w:tcW w:type="dxa" w:w="1960"/>
            <w:vAlign w:val="center"/>
          </w:tcPr>
          <w:p>
            <w:pPr>
              <w:spacing w:after="0"/>
            </w:pPr>
            <w:r/>
            <w:r>
              <w:rPr>
                <w:rFonts w:ascii="Times New Roman" w:hAnsi="Times New Roman" w:eastAsia="Times New Roman"/>
                <w:b w:val="0"/>
                <w:sz w:val="18"/>
              </w:rPr>
              <w:t>Nên làm</w:t>
            </w:r>
          </w:p>
        </w:tc>
      </w:tr>
      <w:tr>
        <w:tc>
          <w:tcPr>
            <w:tcW w:type="dxa" w:w="1960"/>
            <w:vAlign w:val="center"/>
          </w:tcPr>
          <w:p>
            <w:pPr>
              <w:spacing w:after="0"/>
            </w:pPr>
            <w:r/>
            <w:r>
              <w:rPr>
                <w:rFonts w:ascii="Times New Roman" w:hAnsi="Times New Roman" w:eastAsia="Times New Roman"/>
                <w:b w:val="0"/>
                <w:sz w:val="18"/>
              </w:rPr>
              <w:t>MAI – trọng số cơ hội</w:t>
            </w:r>
          </w:p>
        </w:tc>
        <w:tc>
          <w:tcPr>
            <w:tcW w:type="dxa" w:w="1960"/>
            <w:vAlign w:val="center"/>
          </w:tcPr>
          <w:p>
            <w:pPr>
              <w:spacing w:after="0"/>
            </w:pPr>
            <w:r/>
            <w:r>
              <w:rPr>
                <w:rFonts w:ascii="Times New Roman" w:hAnsi="Times New Roman" w:eastAsia="Times New Roman"/>
                <w:b w:val="0"/>
                <w:sz w:val="18"/>
              </w:rPr>
              <w:t>Kinh tế 0,40; giáo dục, y tế, thương mại mỗi nhóm 0,20.</w:t>
            </w:r>
          </w:p>
        </w:tc>
        <w:tc>
          <w:tcPr>
            <w:tcW w:type="dxa" w:w="1960"/>
            <w:vAlign w:val="center"/>
          </w:tcPr>
          <w:p>
            <w:pPr>
              <w:spacing w:after="0"/>
            </w:pPr>
            <w:r/>
            <w:r>
              <w:rPr>
                <w:rFonts w:ascii="Times New Roman" w:hAnsi="Times New Roman" w:eastAsia="Times New Roman"/>
                <w:b w:val="0"/>
                <w:sz w:val="18"/>
              </w:rPr>
              <w:t>Trọng số theory-first, chưa được hiệu chỉnh từ mục đích chuyến đi hoặc khảo sát.</w:t>
            </w:r>
          </w:p>
        </w:tc>
        <w:tc>
          <w:tcPr>
            <w:tcW w:type="dxa" w:w="1960"/>
            <w:vAlign w:val="center"/>
          </w:tcPr>
          <w:p>
            <w:pPr>
              <w:spacing w:after="0"/>
            </w:pPr>
            <w:r/>
            <w:r>
              <w:rPr>
                <w:rFonts w:ascii="Times New Roman" w:hAnsi="Times New Roman" w:eastAsia="Times New Roman"/>
                <w:b w:val="0"/>
                <w:sz w:val="18"/>
              </w:rPr>
              <w:t>Chạy equal weights, trip-purpose weights nếu có, expert weights và Monte Carlo/random-weight sensitivity; không gọi đây là hệ số hành vi.</w:t>
            </w:r>
          </w:p>
        </w:tc>
        <w:tc>
          <w:tcPr>
            <w:tcW w:type="dxa" w:w="1960"/>
            <w:vAlign w:val="center"/>
          </w:tcPr>
          <w:p>
            <w:pPr>
              <w:spacing w:after="0"/>
            </w:pPr>
            <w:r/>
            <w:r>
              <w:rPr>
                <w:rFonts w:ascii="Times New Roman" w:hAnsi="Times New Roman" w:eastAsia="Times New Roman"/>
                <w:b w:val="0"/>
                <w:sz w:val="18"/>
              </w:rPr>
              <w:t>Bắt buộc</w:t>
            </w:r>
          </w:p>
        </w:tc>
      </w:tr>
      <w:tr>
        <w:tc>
          <w:tcPr>
            <w:tcW w:type="dxa" w:w="1960"/>
            <w:vAlign w:val="center"/>
          </w:tcPr>
          <w:p>
            <w:pPr>
              <w:spacing w:after="0"/>
            </w:pPr>
            <w:r/>
            <w:r>
              <w:rPr>
                <w:rFonts w:ascii="Times New Roman" w:hAnsi="Times New Roman" w:eastAsia="Times New Roman"/>
                <w:b w:val="0"/>
                <w:sz w:val="18"/>
              </w:rPr>
              <w:t>MAI – hàm suy giảm thời gian</w:t>
            </w:r>
          </w:p>
        </w:tc>
        <w:tc>
          <w:tcPr>
            <w:tcW w:type="dxa" w:w="1960"/>
            <w:vAlign w:val="center"/>
          </w:tcPr>
          <w:p>
            <w:pPr>
              <w:spacing w:after="0"/>
            </w:pPr>
            <w:r/>
            <w:r>
              <w:rPr>
                <w:rFonts w:ascii="Times New Roman" w:hAnsi="Times New Roman" w:eastAsia="Times New Roman"/>
                <w:b w:val="0"/>
                <w:sz w:val="18"/>
              </w:rPr>
              <w:t>Trọng số đầy đủ đến 30 phút, giảm tuyến tính 30–60 phút, bằng 0 sau 60 phút.</w:t>
            </w:r>
          </w:p>
        </w:tc>
        <w:tc>
          <w:tcPr>
            <w:tcW w:type="dxa" w:w="1960"/>
            <w:vAlign w:val="center"/>
          </w:tcPr>
          <w:p>
            <w:pPr>
              <w:spacing w:after="0"/>
            </w:pPr>
            <w:r/>
            <w:r>
              <w:rPr>
                <w:rFonts w:ascii="Times New Roman" w:hAnsi="Times New Roman" w:eastAsia="Times New Roman"/>
                <w:b w:val="0"/>
                <w:sz w:val="18"/>
              </w:rPr>
              <w:t>Ngưỡng và dạng tuyến tính có thể không phù hợp cho mọi loại cơ hội.</w:t>
            </w:r>
          </w:p>
        </w:tc>
        <w:tc>
          <w:tcPr>
            <w:tcW w:type="dxa" w:w="1960"/>
            <w:vAlign w:val="center"/>
          </w:tcPr>
          <w:p>
            <w:pPr>
              <w:spacing w:after="0"/>
            </w:pPr>
            <w:r/>
            <w:r>
              <w:rPr>
                <w:rFonts w:ascii="Times New Roman" w:hAnsi="Times New Roman" w:eastAsia="Times New Roman"/>
                <w:b w:val="0"/>
                <w:sz w:val="18"/>
              </w:rPr>
              <w:t>So sánh ít nhất 20–45, 30–60 và 45–90 phút; thêm exponential hoặc logistic decay; cân nhắc hàm riêng theo loại cơ hội.</w:t>
            </w:r>
          </w:p>
        </w:tc>
        <w:tc>
          <w:tcPr>
            <w:tcW w:type="dxa" w:w="1960"/>
            <w:vAlign w:val="center"/>
          </w:tcPr>
          <w:p>
            <w:pPr>
              <w:spacing w:after="0"/>
            </w:pPr>
            <w:r/>
            <w:r>
              <w:rPr>
                <w:rFonts w:ascii="Times New Roman" w:hAnsi="Times New Roman" w:eastAsia="Times New Roman"/>
                <w:b w:val="0"/>
                <w:sz w:val="18"/>
              </w:rPr>
              <w:t>Bắt buộc</w:t>
            </w:r>
          </w:p>
        </w:tc>
      </w:tr>
      <w:tr>
        <w:tc>
          <w:tcPr>
            <w:tcW w:type="dxa" w:w="1960"/>
            <w:vAlign w:val="center"/>
          </w:tcPr>
          <w:p>
            <w:pPr>
              <w:spacing w:after="0"/>
            </w:pPr>
            <w:r/>
            <w:r>
              <w:rPr>
                <w:rFonts w:ascii="Times New Roman" w:hAnsi="Times New Roman" w:eastAsia="Times New Roman"/>
                <w:b w:val="0"/>
                <w:sz w:val="18"/>
              </w:rPr>
              <w:t>MAI – quy mô/công suất cơ hội</w:t>
            </w:r>
          </w:p>
        </w:tc>
        <w:tc>
          <w:tcPr>
            <w:tcW w:type="dxa" w:w="1960"/>
            <w:vAlign w:val="center"/>
          </w:tcPr>
          <w:p>
            <w:pPr>
              <w:spacing w:after="0"/>
            </w:pPr>
            <w:r/>
            <w:r>
              <w:rPr>
                <w:rFonts w:ascii="Times New Roman" w:hAnsi="Times New Roman" w:eastAsia="Times New Roman"/>
                <w:b w:val="0"/>
                <w:sz w:val="18"/>
              </w:rPr>
              <w:t>Dùng population multiplier căn bậc hai và cắt trong khoảng 0,5–2,0.</w:t>
            </w:r>
          </w:p>
        </w:tc>
        <w:tc>
          <w:tcPr>
            <w:tcW w:type="dxa" w:w="1960"/>
            <w:vAlign w:val="center"/>
          </w:tcPr>
          <w:p>
            <w:pPr>
              <w:spacing w:after="0"/>
            </w:pPr>
            <w:r/>
            <w:r>
              <w:rPr>
                <w:rFonts w:ascii="Times New Roman" w:hAnsi="Times New Roman" w:eastAsia="Times New Roman"/>
                <w:b w:val="0"/>
                <w:sz w:val="18"/>
              </w:rPr>
              <w:t>Đây là proxy, chưa phản ánh trực tiếp capacity hoặc quality của cơ hội.</w:t>
            </w:r>
          </w:p>
        </w:tc>
        <w:tc>
          <w:tcPr>
            <w:tcW w:type="dxa" w:w="1960"/>
            <w:vAlign w:val="center"/>
          </w:tcPr>
          <w:p>
            <w:pPr>
              <w:spacing w:after="0"/>
            </w:pPr>
            <w:r/>
            <w:r>
              <w:rPr>
                <w:rFonts w:ascii="Times New Roman" w:hAnsi="Times New Roman" w:eastAsia="Times New Roman"/>
                <w:b w:val="0"/>
                <w:sz w:val="18"/>
              </w:rPr>
              <w:t>Giữ như proxy có provenance rõ; báo cáo kết quả không dùng multiplier; khi có dữ liệu thì thay bằng số việc làm, số chỗ học, giường bệnh hoặc diện tích thương mại.</w:t>
            </w:r>
          </w:p>
        </w:tc>
        <w:tc>
          <w:tcPr>
            <w:tcW w:type="dxa" w:w="1960"/>
            <w:vAlign w:val="center"/>
          </w:tcPr>
          <w:p>
            <w:pPr>
              <w:spacing w:after="0"/>
            </w:pPr>
            <w:r/>
            <w:r>
              <w:rPr>
                <w:rFonts w:ascii="Times New Roman" w:hAnsi="Times New Roman" w:eastAsia="Times New Roman"/>
                <w:b w:val="0"/>
                <w:sz w:val="18"/>
              </w:rPr>
              <w:t>Nên làm</w:t>
            </w:r>
          </w:p>
        </w:tc>
      </w:tr>
      <w:tr>
        <w:tc>
          <w:tcPr>
            <w:tcW w:type="dxa" w:w="1960"/>
            <w:vAlign w:val="center"/>
          </w:tcPr>
          <w:p>
            <w:pPr>
              <w:spacing w:after="0"/>
            </w:pPr>
            <w:r/>
            <w:r>
              <w:rPr>
                <w:rFonts w:ascii="Times New Roman" w:hAnsi="Times New Roman" w:eastAsia="Times New Roman"/>
                <w:b w:val="0"/>
                <w:sz w:val="18"/>
              </w:rPr>
              <w:t>RAC – đại lượng so sánh</w:t>
            </w:r>
          </w:p>
        </w:tc>
        <w:tc>
          <w:tcPr>
            <w:tcW w:type="dxa" w:w="1960"/>
            <w:vAlign w:val="center"/>
          </w:tcPr>
          <w:p>
            <w:pPr>
              <w:spacing w:after="0"/>
            </w:pPr>
            <w:r/>
            <w:r>
              <w:rPr>
                <w:rFonts w:ascii="Times New Roman" w:hAnsi="Times New Roman" w:eastAsia="Times New Roman"/>
                <w:b w:val="0"/>
                <w:sz w:val="18"/>
              </w:rPr>
              <w:t>Dùng tỷ lệ thời gian đi lại có trọng số cơ hội giữa xe máy và đi bộ–transit.</w:t>
            </w:r>
          </w:p>
        </w:tc>
        <w:tc>
          <w:tcPr>
            <w:tcW w:type="dxa" w:w="1960"/>
            <w:vAlign w:val="center"/>
          </w:tcPr>
          <w:p>
            <w:pPr>
              <w:spacing w:after="0"/>
            </w:pPr>
            <w:r/>
            <w:r>
              <w:rPr>
                <w:rFonts w:ascii="Times New Roman" w:hAnsi="Times New Roman" w:eastAsia="Times New Roman"/>
                <w:b w:val="0"/>
                <w:sz w:val="18"/>
              </w:rPr>
              <w:t>Chưa phản ánh thời gian chờ, chuyển tuyến, giá vé, đỗ xe, độ tin cậy và sự khó chịu.</w:t>
            </w:r>
          </w:p>
        </w:tc>
        <w:tc>
          <w:tcPr>
            <w:tcW w:type="dxa" w:w="1960"/>
            <w:vAlign w:val="center"/>
          </w:tcPr>
          <w:p>
            <w:pPr>
              <w:spacing w:after="0"/>
            </w:pPr>
            <w:r/>
            <w:r>
              <w:rPr>
                <w:rFonts w:ascii="Times New Roman" w:hAnsi="Times New Roman" w:eastAsia="Times New Roman"/>
                <w:b w:val="0"/>
                <w:sz w:val="18"/>
              </w:rPr>
              <w:t>Giữ RAC_time làm mô hình chính trong pilot; bổ sung một RAC_generalized-cost đơn giản như sensitivity, chỉ dùng hệ số có nguồn hoặc khoảng kiểm tra rõ.</w:t>
            </w:r>
          </w:p>
        </w:tc>
        <w:tc>
          <w:tcPr>
            <w:tcW w:type="dxa" w:w="1960"/>
            <w:vAlign w:val="center"/>
          </w:tcPr>
          <w:p>
            <w:pPr>
              <w:spacing w:after="0"/>
            </w:pPr>
            <w:r/>
            <w:r>
              <w:rPr>
                <w:rFonts w:ascii="Times New Roman" w:hAnsi="Times New Roman" w:eastAsia="Times New Roman"/>
                <w:b w:val="0"/>
                <w:sz w:val="18"/>
              </w:rPr>
              <w:t>Bắt buộc</w:t>
            </w:r>
          </w:p>
        </w:tc>
      </w:tr>
      <w:tr>
        <w:tc>
          <w:tcPr>
            <w:tcW w:type="dxa" w:w="1960"/>
            <w:vAlign w:val="center"/>
          </w:tcPr>
          <w:p>
            <w:pPr>
              <w:spacing w:after="0"/>
            </w:pPr>
            <w:r/>
            <w:r>
              <w:rPr>
                <w:rFonts w:ascii="Times New Roman" w:hAnsi="Times New Roman" w:eastAsia="Times New Roman"/>
                <w:b w:val="0"/>
                <w:sz w:val="18"/>
              </w:rPr>
              <w:t>RAC – độ tin cậy</w:t>
            </w:r>
          </w:p>
        </w:tc>
        <w:tc>
          <w:tcPr>
            <w:tcW w:type="dxa" w:w="1960"/>
            <w:vAlign w:val="center"/>
          </w:tcPr>
          <w:p>
            <w:pPr>
              <w:spacing w:after="0"/>
            </w:pPr>
            <w:r/>
            <w:r>
              <w:rPr>
                <w:rFonts w:ascii="Times New Roman" w:hAnsi="Times New Roman" w:eastAsia="Times New Roman"/>
                <w:b w:val="0"/>
                <w:sz w:val="18"/>
              </w:rPr>
              <w:t>Chủ yếu dùng thời gian trung bình.</w:t>
            </w:r>
          </w:p>
        </w:tc>
        <w:tc>
          <w:tcPr>
            <w:tcW w:type="dxa" w:w="1960"/>
            <w:vAlign w:val="center"/>
          </w:tcPr>
          <w:p>
            <w:pPr>
              <w:spacing w:after="0"/>
            </w:pPr>
            <w:r/>
            <w:r>
              <w:rPr>
                <w:rFonts w:ascii="Times New Roman" w:hAnsi="Times New Roman" w:eastAsia="Times New Roman"/>
                <w:b w:val="0"/>
                <w:sz w:val="18"/>
              </w:rPr>
              <w:t>Transit có thể kém cạnh tranh vì biến động và bỏ lỡ chuyến, không chỉ vì thời gian trung bình.</w:t>
            </w:r>
          </w:p>
        </w:tc>
        <w:tc>
          <w:tcPr>
            <w:tcW w:type="dxa" w:w="1960"/>
            <w:vAlign w:val="center"/>
          </w:tcPr>
          <w:p>
            <w:pPr>
              <w:spacing w:after="0"/>
            </w:pPr>
            <w:r/>
            <w:r>
              <w:rPr>
                <w:rFonts w:ascii="Times New Roman" w:hAnsi="Times New Roman" w:eastAsia="Times New Roman"/>
                <w:b w:val="0"/>
                <w:sz w:val="18"/>
              </w:rPr>
              <w:t>Bổ sung peak/off-peak, headway variability, buffer time hoặc T95/T50; báo cáo cả mức trung bình và độ bất định.</w:t>
            </w:r>
          </w:p>
        </w:tc>
        <w:tc>
          <w:tcPr>
            <w:tcW w:type="dxa" w:w="1960"/>
            <w:vAlign w:val="center"/>
          </w:tcPr>
          <w:p>
            <w:pPr>
              <w:spacing w:after="0"/>
            </w:pPr>
            <w:r/>
            <w:r>
              <w:rPr>
                <w:rFonts w:ascii="Times New Roman" w:hAnsi="Times New Roman" w:eastAsia="Times New Roman"/>
                <w:b w:val="0"/>
                <w:sz w:val="18"/>
              </w:rPr>
              <w:t>Nên làm</w:t>
            </w:r>
          </w:p>
        </w:tc>
      </w:tr>
      <w:tr>
        <w:tc>
          <w:tcPr>
            <w:tcW w:type="dxa" w:w="1960"/>
            <w:vAlign w:val="center"/>
          </w:tcPr>
          <w:p>
            <w:pPr>
              <w:spacing w:after="0"/>
            </w:pPr>
            <w:r/>
            <w:r>
              <w:rPr>
                <w:rFonts w:ascii="Times New Roman" w:hAnsi="Times New Roman" w:eastAsia="Times New Roman"/>
                <w:b w:val="0"/>
                <w:sz w:val="18"/>
              </w:rPr>
              <w:t>Xe máy và dòng xe hỗn hợp</w:t>
            </w:r>
          </w:p>
        </w:tc>
        <w:tc>
          <w:tcPr>
            <w:tcW w:type="dxa" w:w="1960"/>
            <w:vAlign w:val="center"/>
          </w:tcPr>
          <w:p>
            <w:pPr>
              <w:spacing w:after="0"/>
            </w:pPr>
            <w:r/>
            <w:r>
              <w:rPr>
                <w:rFonts w:ascii="Times New Roman" w:hAnsi="Times New Roman" w:eastAsia="Times New Roman"/>
                <w:b w:val="0"/>
                <w:sz w:val="18"/>
              </w:rPr>
              <w:t>Tốc độ xe máy theo road class, được kiểm tra sơ bộ bằng một số OD.</w:t>
            </w:r>
          </w:p>
        </w:tc>
        <w:tc>
          <w:tcPr>
            <w:tcW w:type="dxa" w:w="1960"/>
            <w:vAlign w:val="center"/>
          </w:tcPr>
          <w:p>
            <w:pPr>
              <w:spacing w:after="0"/>
            </w:pPr>
            <w:r/>
            <w:r>
              <w:rPr>
                <w:rFonts w:ascii="Times New Roman" w:hAnsi="Times New Roman" w:eastAsia="Times New Roman"/>
                <w:b w:val="0"/>
                <w:sz w:val="18"/>
              </w:rPr>
              <w:t>Chưa phản ánh tỷ lệ xe tải, xe buýt dừng đỗ, hoạt động ven đường, chợ, trường học và lấn chiếm lòng đường.</w:t>
            </w:r>
          </w:p>
        </w:tc>
        <w:tc>
          <w:tcPr>
            <w:tcW w:type="dxa" w:w="1960"/>
            <w:vAlign w:val="center"/>
          </w:tcPr>
          <w:p>
            <w:pPr>
              <w:spacing w:after="0"/>
            </w:pPr>
            <w:r/>
            <w:r>
              <w:rPr>
                <w:rFonts w:ascii="Times New Roman" w:hAnsi="Times New Roman" w:eastAsia="Times New Roman"/>
                <w:b w:val="0"/>
                <w:sz w:val="18"/>
              </w:rPr>
              <w:t>Xây mixed-traffic friction factor để điều chỉnh edge impedance theo thời gian, nút giao và hoạt động ven đường; không tạo thêm một trụ cột composite riêng.</w:t>
            </w:r>
          </w:p>
        </w:tc>
        <w:tc>
          <w:tcPr>
            <w:tcW w:type="dxa" w:w="1960"/>
            <w:vAlign w:val="center"/>
          </w:tcPr>
          <w:p>
            <w:pPr>
              <w:spacing w:after="0"/>
            </w:pPr>
            <w:r/>
            <w:r>
              <w:rPr>
                <w:rFonts w:ascii="Times New Roman" w:hAnsi="Times New Roman" w:eastAsia="Times New Roman"/>
                <w:b w:val="0"/>
                <w:sz w:val="18"/>
              </w:rPr>
              <w:t>Nên làm</w:t>
            </w:r>
          </w:p>
        </w:tc>
      </w:tr>
      <w:tr>
        <w:tc>
          <w:tcPr>
            <w:tcW w:type="dxa" w:w="1960"/>
            <w:vAlign w:val="center"/>
          </w:tcPr>
          <w:p>
            <w:pPr>
              <w:spacing w:after="0"/>
            </w:pPr>
            <w:r/>
            <w:r>
              <w:rPr>
                <w:rFonts w:ascii="Times New Roman" w:hAnsi="Times New Roman" w:eastAsia="Times New Roman"/>
                <w:b w:val="0"/>
                <w:sz w:val="18"/>
              </w:rPr>
              <w:t>Chuẩn hóa</w:t>
            </w:r>
          </w:p>
        </w:tc>
        <w:tc>
          <w:tcPr>
            <w:tcW w:type="dxa" w:w="1960"/>
            <w:vAlign w:val="center"/>
          </w:tcPr>
          <w:p>
            <w:pPr>
              <w:spacing w:after="0"/>
            </w:pPr>
            <w:r/>
            <w:r>
              <w:rPr>
                <w:rFonts w:ascii="Times New Roman" w:hAnsi="Times New Roman" w:eastAsia="Times New Roman"/>
                <w:b w:val="0"/>
                <w:sz w:val="18"/>
              </w:rPr>
              <w:t>Chuẩn hóa các thành phần trước khi nhân.</w:t>
            </w:r>
          </w:p>
        </w:tc>
        <w:tc>
          <w:tcPr>
            <w:tcW w:type="dxa" w:w="1960"/>
            <w:vAlign w:val="center"/>
          </w:tcPr>
          <w:p>
            <w:pPr>
              <w:spacing w:after="0"/>
            </w:pPr>
            <w:r/>
            <w:r>
              <w:rPr>
                <w:rFonts w:ascii="Times New Roman" w:hAnsi="Times New Roman" w:eastAsia="Times New Roman"/>
                <w:b w:val="0"/>
                <w:sz w:val="18"/>
              </w:rPr>
              <w:t>Kết quả có thể phụ thuộc mạnh vào min/max hoặc mẫu nghiên cứu.</w:t>
            </w:r>
          </w:p>
        </w:tc>
        <w:tc>
          <w:tcPr>
            <w:tcW w:type="dxa" w:w="1960"/>
            <w:vAlign w:val="center"/>
          </w:tcPr>
          <w:p>
            <w:pPr>
              <w:spacing w:after="0"/>
            </w:pPr>
            <w:r/>
            <w:r>
              <w:rPr>
                <w:rFonts w:ascii="Times New Roman" w:hAnsi="Times New Roman" w:eastAsia="Times New Roman"/>
                <w:b w:val="0"/>
                <w:sz w:val="18"/>
              </w:rPr>
              <w:t>Công bố rõ công thức, giá trị neo và xử lý ngoại lệ; so sánh sample-dependent normalization với policy/theory anchors hoặc percentile caps.</w:t>
            </w:r>
          </w:p>
        </w:tc>
        <w:tc>
          <w:tcPr>
            <w:tcW w:type="dxa" w:w="1960"/>
            <w:vAlign w:val="center"/>
          </w:tcPr>
          <w:p>
            <w:pPr>
              <w:spacing w:after="0"/>
            </w:pPr>
            <w:r/>
            <w:r>
              <w:rPr>
                <w:rFonts w:ascii="Times New Roman" w:hAnsi="Times New Roman" w:eastAsia="Times New Roman"/>
                <w:b w:val="0"/>
                <w:sz w:val="18"/>
              </w:rPr>
              <w:t>Bắt buộc</w:t>
            </w:r>
          </w:p>
        </w:tc>
      </w:tr>
      <w:tr>
        <w:tc>
          <w:tcPr>
            <w:tcW w:type="dxa" w:w="1960"/>
            <w:vAlign w:val="center"/>
          </w:tcPr>
          <w:p>
            <w:pPr>
              <w:spacing w:after="0"/>
            </w:pPr>
            <w:r/>
            <w:r>
              <w:rPr>
                <w:rFonts w:ascii="Times New Roman" w:hAnsi="Times New Roman" w:eastAsia="Times New Roman"/>
                <w:b w:val="0"/>
                <w:sz w:val="18"/>
              </w:rPr>
              <w:t>Tổng hợp nhân</w:t>
            </w:r>
          </w:p>
        </w:tc>
        <w:tc>
          <w:tcPr>
            <w:tcW w:type="dxa" w:w="1960"/>
            <w:vAlign w:val="center"/>
          </w:tcPr>
          <w:p>
            <w:pPr>
              <w:spacing w:after="0"/>
            </w:pPr>
            <w:r/>
            <w:r>
              <w:rPr>
                <w:rFonts w:ascii="Times New Roman" w:hAnsi="Times New Roman" w:eastAsia="Times New Roman"/>
                <w:b w:val="0"/>
                <w:sz w:val="18"/>
              </w:rPr>
              <w:t>SMCI là tích của ba thành phần.</w:t>
            </w:r>
          </w:p>
        </w:tc>
        <w:tc>
          <w:tcPr>
            <w:tcW w:type="dxa" w:w="1960"/>
            <w:vAlign w:val="center"/>
          </w:tcPr>
          <w:p>
            <w:pPr>
              <w:spacing w:after="0"/>
            </w:pPr>
            <w:r/>
            <w:r>
              <w:rPr>
                <w:rFonts w:ascii="Times New Roman" w:hAnsi="Times New Roman" w:eastAsia="Times New Roman"/>
                <w:b w:val="0"/>
                <w:sz w:val="18"/>
              </w:rPr>
              <w:t>Nhạy với zero và sai số của một thành phần; điểm tổng khó diễn giải một mình.</w:t>
            </w:r>
          </w:p>
        </w:tc>
        <w:tc>
          <w:tcPr>
            <w:tcW w:type="dxa" w:w="1960"/>
            <w:vAlign w:val="center"/>
          </w:tcPr>
          <w:p>
            <w:pPr>
              <w:spacing w:after="0"/>
            </w:pPr>
            <w:r/>
            <w:r>
              <w:rPr>
                <w:rFonts w:ascii="Times New Roman" w:hAnsi="Times New Roman" w:eastAsia="Times New Roman"/>
                <w:b w:val="0"/>
                <w:sz w:val="18"/>
              </w:rPr>
              <w:t>Giữ phép nhân để bảo toàn logic weak-link, nhưng luôn báo cáo NAI, MAI, RAC riêng; thêm additive/geometric alternative và minimum-component diagnostics.</w:t>
            </w:r>
          </w:p>
        </w:tc>
        <w:tc>
          <w:tcPr>
            <w:tcW w:type="dxa" w:w="1960"/>
            <w:vAlign w:val="center"/>
          </w:tcPr>
          <w:p>
            <w:pPr>
              <w:spacing w:after="0"/>
            </w:pPr>
            <w:r/>
            <w:r>
              <w:rPr>
                <w:rFonts w:ascii="Times New Roman" w:hAnsi="Times New Roman" w:eastAsia="Times New Roman"/>
                <w:b w:val="0"/>
                <w:sz w:val="18"/>
              </w:rPr>
              <w:t>Bắt buộc</w:t>
            </w:r>
          </w:p>
        </w:tc>
      </w:tr>
      <w:tr>
        <w:tc>
          <w:tcPr>
            <w:tcW w:type="dxa" w:w="1960"/>
            <w:vAlign w:val="center"/>
          </w:tcPr>
          <w:p>
            <w:pPr>
              <w:spacing w:after="0"/>
            </w:pPr>
            <w:r/>
            <w:r>
              <w:rPr>
                <w:rFonts w:ascii="Times New Roman" w:hAnsi="Times New Roman" w:eastAsia="Times New Roman"/>
                <w:b w:val="0"/>
                <w:sz w:val="18"/>
              </w:rPr>
              <w:t>Typology không gian</w:t>
            </w:r>
          </w:p>
        </w:tc>
        <w:tc>
          <w:tcPr>
            <w:tcW w:type="dxa" w:w="1960"/>
            <w:vAlign w:val="center"/>
          </w:tcPr>
          <w:p>
            <w:pPr>
              <w:spacing w:after="0"/>
            </w:pPr>
            <w:r/>
            <w:r>
              <w:rPr>
                <w:rFonts w:ascii="Times New Roman" w:hAnsi="Times New Roman" w:eastAsia="Times New Roman"/>
                <w:b w:val="0"/>
                <w:sz w:val="18"/>
              </w:rPr>
              <w:t>Phân loại cell theo mức local và metropolitan capability.</w:t>
            </w:r>
          </w:p>
        </w:tc>
        <w:tc>
          <w:tcPr>
            <w:tcW w:type="dxa" w:w="1960"/>
            <w:vAlign w:val="center"/>
          </w:tcPr>
          <w:p>
            <w:pPr>
              <w:spacing w:after="0"/>
            </w:pPr>
            <w:r/>
            <w:r>
              <w:rPr>
                <w:rFonts w:ascii="Times New Roman" w:hAnsi="Times New Roman" w:eastAsia="Times New Roman"/>
                <w:b w:val="0"/>
                <w:sz w:val="18"/>
              </w:rPr>
              <w:t>Ngưỡng median mang tính phụ thuộc mẫu; chưa kiểm tra với clustering hoặc ngưỡng chính sách.</w:t>
            </w:r>
          </w:p>
        </w:tc>
        <w:tc>
          <w:tcPr>
            <w:tcW w:type="dxa" w:w="1960"/>
            <w:vAlign w:val="center"/>
          </w:tcPr>
          <w:p>
            <w:pPr>
              <w:spacing w:after="0"/>
            </w:pPr>
            <w:r/>
            <w:r>
              <w:rPr>
                <w:rFonts w:ascii="Times New Roman" w:hAnsi="Times New Roman" w:eastAsia="Times New Roman"/>
                <w:b w:val="0"/>
                <w:sz w:val="18"/>
              </w:rPr>
              <w:t>Giữ typology theory-first làm chính; kiểm tra độ ổn định với quantile khác, ngưỡng cố định hoặc clustering phụ trợ.</w:t>
            </w:r>
          </w:p>
        </w:tc>
        <w:tc>
          <w:tcPr>
            <w:tcW w:type="dxa" w:w="1960"/>
            <w:vAlign w:val="center"/>
          </w:tcPr>
          <w:p>
            <w:pPr>
              <w:spacing w:after="0"/>
            </w:pPr>
            <w:r/>
            <w:r>
              <w:rPr>
                <w:rFonts w:ascii="Times New Roman" w:hAnsi="Times New Roman" w:eastAsia="Times New Roman"/>
                <w:b w:val="0"/>
                <w:sz w:val="18"/>
              </w:rPr>
              <w:t>Nên làm</w:t>
            </w:r>
          </w:p>
        </w:tc>
      </w:tr>
      <w:tr>
        <w:tc>
          <w:tcPr>
            <w:tcW w:type="dxa" w:w="1960"/>
            <w:vAlign w:val="center"/>
          </w:tcPr>
          <w:p>
            <w:pPr>
              <w:spacing w:after="0"/>
            </w:pPr>
            <w:r/>
            <w:r>
              <w:rPr>
                <w:rFonts w:ascii="Times New Roman" w:hAnsi="Times New Roman" w:eastAsia="Times New Roman"/>
                <w:b w:val="0"/>
                <w:sz w:val="18"/>
              </w:rPr>
              <w:t>Validation</w:t>
            </w:r>
          </w:p>
        </w:tc>
        <w:tc>
          <w:tcPr>
            <w:tcW w:type="dxa" w:w="1960"/>
            <w:vAlign w:val="center"/>
          </w:tcPr>
          <w:p>
            <w:pPr>
              <w:spacing w:after="0"/>
            </w:pPr>
            <w:r/>
            <w:r>
              <w:rPr>
                <w:rFonts w:ascii="Times New Roman" w:hAnsi="Times New Roman" w:eastAsia="Times New Roman"/>
                <w:b w:val="0"/>
                <w:sz w:val="18"/>
              </w:rPr>
              <w:t>Có kiểm tra kỹ thuật và sensitivity; external behavioral validation còn hạn chế.</w:t>
            </w:r>
          </w:p>
        </w:tc>
        <w:tc>
          <w:tcPr>
            <w:tcW w:type="dxa" w:w="1960"/>
            <w:vAlign w:val="center"/>
          </w:tcPr>
          <w:p>
            <w:pPr>
              <w:spacing w:after="0"/>
            </w:pPr>
            <w:r/>
            <w:r>
              <w:rPr>
                <w:rFonts w:ascii="Times New Roman" w:hAnsi="Times New Roman" w:eastAsia="Times New Roman"/>
                <w:b w:val="0"/>
                <w:sz w:val="18"/>
              </w:rPr>
              <w:t>Chưa biết điểm cao có tương ứng với ridership, lựa chọn mode hoặc perceived accessibility hay không.</w:t>
            </w:r>
          </w:p>
        </w:tc>
        <w:tc>
          <w:tcPr>
            <w:tcW w:type="dxa" w:w="1960"/>
            <w:vAlign w:val="center"/>
          </w:tcPr>
          <w:p>
            <w:pPr>
              <w:spacing w:after="0"/>
            </w:pPr>
            <w:r/>
            <w:r>
              <w:rPr>
                <w:rFonts w:ascii="Times New Roman" w:hAnsi="Times New Roman" w:eastAsia="Times New Roman"/>
                <w:b w:val="0"/>
                <w:sz w:val="18"/>
              </w:rPr>
              <w:t>Bổ sung validation bằng quan sát thời gian đi lại, ridership, travel diary, mode share hoặc khảo sát cảm nhận; ít nhất chọn một outcome độc lập.</w:t>
            </w:r>
          </w:p>
        </w:tc>
        <w:tc>
          <w:tcPr>
            <w:tcW w:type="dxa" w:w="1960"/>
            <w:vAlign w:val="center"/>
          </w:tcPr>
          <w:p>
            <w:pPr>
              <w:spacing w:after="0"/>
            </w:pPr>
            <w:r/>
            <w:r>
              <w:rPr>
                <w:rFonts w:ascii="Times New Roman" w:hAnsi="Times New Roman" w:eastAsia="Times New Roman"/>
                <w:b w:val="0"/>
                <w:sz w:val="18"/>
              </w:rPr>
              <w:t>Bắt buộc</w:t>
            </w:r>
          </w:p>
        </w:tc>
      </w:tr>
      <w:tr>
        <w:tc>
          <w:tcPr>
            <w:tcW w:type="dxa" w:w="1960"/>
            <w:vAlign w:val="center"/>
          </w:tcPr>
          <w:p>
            <w:pPr>
              <w:spacing w:after="0"/>
            </w:pPr>
            <w:r/>
            <w:r>
              <w:rPr>
                <w:rFonts w:ascii="Times New Roman" w:hAnsi="Times New Roman" w:eastAsia="Times New Roman"/>
                <w:b w:val="0"/>
                <w:sz w:val="18"/>
              </w:rPr>
              <w:t>Uncertainty và data quality</w:t>
            </w:r>
          </w:p>
        </w:tc>
        <w:tc>
          <w:tcPr>
            <w:tcW w:type="dxa" w:w="1960"/>
            <w:vAlign w:val="center"/>
          </w:tcPr>
          <w:p>
            <w:pPr>
              <w:spacing w:after="0"/>
            </w:pPr>
            <w:r/>
            <w:r>
              <w:rPr>
                <w:rFonts w:ascii="Times New Roman" w:hAnsi="Times New Roman" w:eastAsia="Times New Roman"/>
                <w:b w:val="0"/>
                <w:sz w:val="18"/>
              </w:rPr>
              <w:t>Có provenance và một số scenario checks.</w:t>
            </w:r>
          </w:p>
        </w:tc>
        <w:tc>
          <w:tcPr>
            <w:tcW w:type="dxa" w:w="1960"/>
            <w:vAlign w:val="center"/>
          </w:tcPr>
          <w:p>
            <w:pPr>
              <w:spacing w:after="0"/>
            </w:pPr>
            <w:r/>
            <w:r>
              <w:rPr>
                <w:rFonts w:ascii="Times New Roman" w:hAnsi="Times New Roman" w:eastAsia="Times New Roman"/>
                <w:b w:val="0"/>
                <w:sz w:val="18"/>
              </w:rPr>
              <w:t>Chưa tổng hợp mức bất định theo từng cell và từng nguồn dữ liệu.</w:t>
            </w:r>
          </w:p>
        </w:tc>
        <w:tc>
          <w:tcPr>
            <w:tcW w:type="dxa" w:w="1960"/>
            <w:vAlign w:val="center"/>
          </w:tcPr>
          <w:p>
            <w:pPr>
              <w:spacing w:after="0"/>
            </w:pPr>
            <w:r/>
            <w:r>
              <w:rPr>
                <w:rFonts w:ascii="Times New Roman" w:hAnsi="Times New Roman" w:eastAsia="Times New Roman"/>
                <w:b w:val="0"/>
                <w:sz w:val="18"/>
              </w:rPr>
              <w:t>Gán data-quality grade cho GTFS, POI, tốc độ và population; chạy scenario envelope hoặc Monte Carlo để báo cáo khoảng thay vì một điểm duy nhất.</w:t>
            </w:r>
          </w:p>
        </w:tc>
        <w:tc>
          <w:tcPr>
            <w:tcW w:type="dxa" w:w="1960"/>
            <w:vAlign w:val="center"/>
          </w:tcPr>
          <w:p>
            <w:pPr>
              <w:spacing w:after="0"/>
            </w:pPr>
            <w:r/>
            <w:r>
              <w:rPr>
                <w:rFonts w:ascii="Times New Roman" w:hAnsi="Times New Roman" w:eastAsia="Times New Roman"/>
                <w:b w:val="0"/>
                <w:sz w:val="18"/>
              </w:rPr>
              <w:t>Nên làm</w:t>
            </w:r>
          </w:p>
        </w:tc>
      </w:tr>
      <w:tr>
        <w:tc>
          <w:tcPr>
            <w:tcW w:type="dxa" w:w="1960"/>
            <w:vAlign w:val="center"/>
          </w:tcPr>
          <w:p>
            <w:pPr>
              <w:spacing w:after="0"/>
            </w:pPr>
            <w:r/>
            <w:r>
              <w:rPr>
                <w:rFonts w:ascii="Times New Roman" w:hAnsi="Times New Roman" w:eastAsia="Times New Roman"/>
                <w:b w:val="0"/>
                <w:sz w:val="18"/>
              </w:rPr>
              <w:t>Khả năng chuyển giao</w:t>
            </w:r>
          </w:p>
        </w:tc>
        <w:tc>
          <w:tcPr>
            <w:tcW w:type="dxa" w:w="1960"/>
            <w:vAlign w:val="center"/>
          </w:tcPr>
          <w:p>
            <w:pPr>
              <w:spacing w:after="0"/>
            </w:pPr>
            <w:r/>
            <w:r>
              <w:rPr>
                <w:rFonts w:ascii="Times New Roman" w:hAnsi="Times New Roman" w:eastAsia="Times New Roman"/>
                <w:b w:val="0"/>
                <w:sz w:val="18"/>
              </w:rPr>
              <w:t>Pilot tại Ocean Park và vùng đệm.</w:t>
            </w:r>
          </w:p>
        </w:tc>
        <w:tc>
          <w:tcPr>
            <w:tcW w:type="dxa" w:w="1960"/>
            <w:vAlign w:val="center"/>
          </w:tcPr>
          <w:p>
            <w:pPr>
              <w:spacing w:after="0"/>
            </w:pPr>
            <w:r/>
            <w:r>
              <w:rPr>
                <w:rFonts w:ascii="Times New Roman" w:hAnsi="Times New Roman" w:eastAsia="Times New Roman"/>
                <w:b w:val="0"/>
                <w:sz w:val="18"/>
              </w:rPr>
              <w:t>Single-site design chưa cho biết framework có ổn định ở cấu trúc đô thị khác hay không.</w:t>
            </w:r>
          </w:p>
        </w:tc>
        <w:tc>
          <w:tcPr>
            <w:tcW w:type="dxa" w:w="1960"/>
            <w:vAlign w:val="center"/>
          </w:tcPr>
          <w:p>
            <w:pPr>
              <w:spacing w:after="0"/>
            </w:pPr>
            <w:r/>
            <w:r>
              <w:rPr>
                <w:rFonts w:ascii="Times New Roman" w:hAnsi="Times New Roman" w:eastAsia="Times New Roman"/>
                <w:b w:val="0"/>
                <w:sz w:val="18"/>
              </w:rPr>
              <w:t>Nếu đủ nguồn lực, thêm một khu đối chứng có cấu trúc truyền thống hoặc transit tốt hơn; nếu không, giữ single-site và giới hạn kết luận rõ.</w:t>
            </w:r>
          </w:p>
        </w:tc>
        <w:tc>
          <w:tcPr>
            <w:tcW w:type="dxa" w:w="1960"/>
            <w:vAlign w:val="center"/>
          </w:tcPr>
          <w:p>
            <w:pPr>
              <w:spacing w:after="0"/>
            </w:pPr>
            <w:r/>
            <w:r>
              <w:rPr>
                <w:rFonts w:ascii="Times New Roman" w:hAnsi="Times New Roman" w:eastAsia="Times New Roman"/>
                <w:b w:val="0"/>
                <w:sz w:val="18"/>
              </w:rPr>
              <w:t>Nên làm</w:t>
            </w:r>
          </w:p>
        </w:tc>
      </w:tr>
    </w:tbl>
    <w:p>
      <w:pPr>
        <w:pStyle w:val="Heading1"/>
      </w:pPr>
      <w:r>
        <w:t>3. Hướng nâng cấp RAC theo từng giai đoạn</w:t>
      </w:r>
    </w:p>
    <w:p>
      <w:r>
        <w:rPr>
          <w:b/>
        </w:rPr>
        <w:t xml:space="preserve">Không nên đưa toàn bộ chi phí, an toàn, thoải mái, mưa, ngập và dòng xe hỗn hợp vào một lần. </w:t>
      </w:r>
      <w:r>
        <w:t>Nên phát triển theo ba giai đoạn để tránh tạo thêm nhiều hệ số chưa được hiệu chỉnh.</w:t>
      </w:r>
    </w:p>
    <w:tbl>
      <w:tblPr>
        <w:tblStyle w:val="TableGrid"/>
        <w:tblW w:type="auto" w:w="0"/>
        <w:jc w:val="center"/>
        <w:tblLook w:firstColumn="1" w:firstRow="1" w:lastColumn="0" w:lastRow="0" w:noHBand="0" w:noVBand="1" w:val="04A0"/>
      </w:tblPr>
      <w:tblGrid>
        <w:gridCol w:w="2450"/>
        <w:gridCol w:w="2450"/>
        <w:gridCol w:w="2450"/>
        <w:gridCol w:w="2450"/>
      </w:tblGrid>
      <w:tr>
        <w:tc>
          <w:tcPr>
            <w:tcW w:type="dxa" w:w="2450"/>
            <w:vAlign w:val="center"/>
            <w:shd w:fill="E2F0D9"/>
          </w:tcPr>
          <w:p>
            <w:pPr>
              <w:spacing w:after="0"/>
            </w:pPr>
            <w:r/>
            <w:r>
              <w:rPr>
                <w:rFonts w:ascii="Times New Roman" w:hAnsi="Times New Roman" w:eastAsia="Times New Roman"/>
                <w:b/>
                <w:sz w:val="20"/>
              </w:rPr>
              <w:t>Giai đoạn</w:t>
            </w:r>
          </w:p>
        </w:tc>
        <w:tc>
          <w:tcPr>
            <w:tcW w:type="dxa" w:w="2450"/>
            <w:vAlign w:val="center"/>
            <w:shd w:fill="E2F0D9"/>
          </w:tcPr>
          <w:p>
            <w:pPr>
              <w:spacing w:after="0"/>
            </w:pPr>
            <w:r/>
            <w:r>
              <w:rPr>
                <w:rFonts w:ascii="Times New Roman" w:hAnsi="Times New Roman" w:eastAsia="Times New Roman"/>
                <w:b/>
                <w:sz w:val="20"/>
              </w:rPr>
              <w:t>Cấu hình RAC</w:t>
            </w:r>
          </w:p>
        </w:tc>
        <w:tc>
          <w:tcPr>
            <w:tcW w:type="dxa" w:w="2450"/>
            <w:vAlign w:val="center"/>
            <w:shd w:fill="E2F0D9"/>
          </w:tcPr>
          <w:p>
            <w:pPr>
              <w:spacing w:after="0"/>
            </w:pPr>
            <w:r/>
            <w:r>
              <w:rPr>
                <w:rFonts w:ascii="Times New Roman" w:hAnsi="Times New Roman" w:eastAsia="Times New Roman"/>
                <w:b/>
                <w:sz w:val="20"/>
              </w:rPr>
              <w:t>Dữ liệu cần</w:t>
            </w:r>
          </w:p>
        </w:tc>
        <w:tc>
          <w:tcPr>
            <w:tcW w:type="dxa" w:w="2450"/>
            <w:vAlign w:val="center"/>
            <w:shd w:fill="E2F0D9"/>
          </w:tcPr>
          <w:p>
            <w:pPr>
              <w:spacing w:after="0"/>
            </w:pPr>
            <w:r/>
            <w:r>
              <w:rPr>
                <w:rFonts w:ascii="Times New Roman" w:hAnsi="Times New Roman" w:eastAsia="Times New Roman"/>
                <w:b/>
                <w:sz w:val="20"/>
              </w:rPr>
              <w:t>Vai trò trong bài</w:t>
            </w:r>
          </w:p>
        </w:tc>
      </w:tr>
      <w:tr>
        <w:tc>
          <w:tcPr>
            <w:tcW w:type="dxa" w:w="2450"/>
            <w:vAlign w:val="center"/>
          </w:tcPr>
          <w:p>
            <w:pPr>
              <w:spacing w:after="0"/>
            </w:pPr>
            <w:r/>
            <w:r>
              <w:rPr>
                <w:rFonts w:ascii="Times New Roman" w:hAnsi="Times New Roman" w:eastAsia="Times New Roman"/>
                <w:b w:val="0"/>
                <w:sz w:val="19"/>
              </w:rPr>
              <w:t>Giai đoạn 1</w:t>
            </w:r>
          </w:p>
        </w:tc>
        <w:tc>
          <w:tcPr>
            <w:tcW w:type="dxa" w:w="2450"/>
            <w:vAlign w:val="center"/>
          </w:tcPr>
          <w:p>
            <w:pPr>
              <w:spacing w:after="0"/>
            </w:pPr>
            <w:r/>
            <w:r>
              <w:rPr>
                <w:rFonts w:ascii="Times New Roman" w:hAnsi="Times New Roman" w:eastAsia="Times New Roman"/>
                <w:b w:val="0"/>
                <w:sz w:val="19"/>
              </w:rPr>
              <w:t>RAC_time: thời gian xe máy so với đi bộ–transit; có peak/off-peak và sensitivity tốc độ/headway.</w:t>
            </w:r>
          </w:p>
        </w:tc>
        <w:tc>
          <w:tcPr>
            <w:tcW w:type="dxa" w:w="2450"/>
            <w:vAlign w:val="center"/>
          </w:tcPr>
          <w:p>
            <w:pPr>
              <w:spacing w:after="0"/>
            </w:pPr>
            <w:r/>
            <w:r>
              <w:rPr>
                <w:rFonts w:ascii="Times New Roman" w:hAnsi="Times New Roman" w:eastAsia="Times New Roman"/>
                <w:b w:val="0"/>
                <w:sz w:val="19"/>
              </w:rPr>
              <w:t>Mạng đường, GTFS/pseudo-GTFS, tốc độ theo road class, thời gian chờ và chuyển tuyến.</w:t>
            </w:r>
          </w:p>
        </w:tc>
        <w:tc>
          <w:tcPr>
            <w:tcW w:type="dxa" w:w="2450"/>
            <w:vAlign w:val="center"/>
          </w:tcPr>
          <w:p>
            <w:pPr>
              <w:spacing w:after="0"/>
            </w:pPr>
            <w:r/>
            <w:r>
              <w:rPr>
                <w:rFonts w:ascii="Times New Roman" w:hAnsi="Times New Roman" w:eastAsia="Times New Roman"/>
                <w:b w:val="0"/>
                <w:sz w:val="19"/>
              </w:rPr>
              <w:t>Primary specification của paper hiện tại.</w:t>
            </w:r>
          </w:p>
        </w:tc>
      </w:tr>
      <w:tr>
        <w:tc>
          <w:tcPr>
            <w:tcW w:type="dxa" w:w="2450"/>
            <w:vAlign w:val="center"/>
          </w:tcPr>
          <w:p>
            <w:pPr>
              <w:spacing w:after="0"/>
            </w:pPr>
            <w:r/>
            <w:r>
              <w:rPr>
                <w:rFonts w:ascii="Times New Roman" w:hAnsi="Times New Roman" w:eastAsia="Times New Roman"/>
                <w:b w:val="0"/>
                <w:sz w:val="19"/>
              </w:rPr>
              <w:t>Giai đoạn 2</w:t>
            </w:r>
          </w:p>
        </w:tc>
        <w:tc>
          <w:tcPr>
            <w:tcW w:type="dxa" w:w="2450"/>
            <w:vAlign w:val="center"/>
          </w:tcPr>
          <w:p>
            <w:pPr>
              <w:spacing w:after="0"/>
            </w:pPr>
            <w:r/>
            <w:r>
              <w:rPr>
                <w:rFonts w:ascii="Times New Roman" w:hAnsi="Times New Roman" w:eastAsia="Times New Roman"/>
                <w:b w:val="0"/>
                <w:sz w:val="19"/>
              </w:rPr>
              <w:t>RAC_reliability: bổ sung buffer time, headway variability hoặc percentile travel time.</w:t>
            </w:r>
          </w:p>
        </w:tc>
        <w:tc>
          <w:tcPr>
            <w:tcW w:type="dxa" w:w="2450"/>
            <w:vAlign w:val="center"/>
          </w:tcPr>
          <w:p>
            <w:pPr>
              <w:spacing w:after="0"/>
            </w:pPr>
            <w:r/>
            <w:r>
              <w:rPr>
                <w:rFonts w:ascii="Times New Roman" w:hAnsi="Times New Roman" w:eastAsia="Times New Roman"/>
                <w:b w:val="0"/>
                <w:sz w:val="19"/>
              </w:rPr>
              <w:t>Nhiều thời điểm khởi hành, dữ liệu vận hành hoặc mô phỏng thời gian biểu.</w:t>
            </w:r>
          </w:p>
        </w:tc>
        <w:tc>
          <w:tcPr>
            <w:tcW w:type="dxa" w:w="2450"/>
            <w:vAlign w:val="center"/>
          </w:tcPr>
          <w:p>
            <w:pPr>
              <w:spacing w:after="0"/>
            </w:pPr>
            <w:r/>
            <w:r>
              <w:rPr>
                <w:rFonts w:ascii="Times New Roman" w:hAnsi="Times New Roman" w:eastAsia="Times New Roman"/>
                <w:b w:val="0"/>
                <w:sz w:val="19"/>
              </w:rPr>
              <w:t>Supplementary analysis nếu dữ liệu cho phép.</w:t>
            </w:r>
          </w:p>
        </w:tc>
      </w:tr>
      <w:tr>
        <w:tc>
          <w:tcPr>
            <w:tcW w:type="dxa" w:w="2450"/>
            <w:vAlign w:val="center"/>
          </w:tcPr>
          <w:p>
            <w:pPr>
              <w:spacing w:after="0"/>
            </w:pPr>
            <w:r/>
            <w:r>
              <w:rPr>
                <w:rFonts w:ascii="Times New Roman" w:hAnsi="Times New Roman" w:eastAsia="Times New Roman"/>
                <w:b w:val="0"/>
                <w:sz w:val="19"/>
              </w:rPr>
              <w:t>Giai đoạn 3</w:t>
            </w:r>
          </w:p>
        </w:tc>
        <w:tc>
          <w:tcPr>
            <w:tcW w:type="dxa" w:w="2450"/>
            <w:vAlign w:val="center"/>
          </w:tcPr>
          <w:p>
            <w:pPr>
              <w:spacing w:after="0"/>
            </w:pPr>
            <w:r/>
            <w:r>
              <w:rPr>
                <w:rFonts w:ascii="Times New Roman" w:hAnsi="Times New Roman" w:eastAsia="Times New Roman"/>
                <w:b w:val="0"/>
                <w:sz w:val="19"/>
              </w:rPr>
              <w:t>RAC_generalized cost: thời gian đi bộ, chờ, trên xe, chuyển tuyến, giá vé, chi phí xe máy, đỗ xe, rủi ro và discomfort.</w:t>
            </w:r>
          </w:p>
        </w:tc>
        <w:tc>
          <w:tcPr>
            <w:tcW w:type="dxa" w:w="2450"/>
            <w:vAlign w:val="center"/>
          </w:tcPr>
          <w:p>
            <w:pPr>
              <w:spacing w:after="0"/>
            </w:pPr>
            <w:r/>
            <w:r>
              <w:rPr>
                <w:rFonts w:ascii="Times New Roman" w:hAnsi="Times New Roman" w:eastAsia="Times New Roman"/>
                <w:b w:val="0"/>
                <w:sz w:val="19"/>
              </w:rPr>
              <w:t>Khảo sát local value-of-time, penalty chuyển tuyến, chi phí và perceived safety.</w:t>
            </w:r>
          </w:p>
        </w:tc>
        <w:tc>
          <w:tcPr>
            <w:tcW w:type="dxa" w:w="2450"/>
            <w:vAlign w:val="center"/>
          </w:tcPr>
          <w:p>
            <w:pPr>
              <w:spacing w:after="0"/>
            </w:pPr>
            <w:r/>
            <w:r>
              <w:rPr>
                <w:rFonts w:ascii="Times New Roman" w:hAnsi="Times New Roman" w:eastAsia="Times New Roman"/>
                <w:b w:val="0"/>
                <w:sz w:val="19"/>
              </w:rPr>
              <w:t>Nghiên cứu tiếp theo hoặc phiên bản mở rộng.</w:t>
            </w:r>
          </w:p>
        </w:tc>
      </w:tr>
    </w:tbl>
    <w:p>
      <w:pPr>
        <w:pStyle w:val="Heading1"/>
      </w:pPr>
      <w:r>
        <w:t>4. Các kiểm định cần bổ sung</w:t>
      </w:r>
    </w:p>
    <w:p>
      <w:pPr>
        <w:pStyle w:val="ListBullet"/>
        <w:spacing w:after="40"/>
      </w:pPr>
      <w:r>
        <w:t>Sensitivity của trọng số MAI: equal weights, bộ trọng số hiện tại, bộ trọng số theo mục đích chuyến đi và random weights.</w:t>
      </w:r>
    </w:p>
    <w:p>
      <w:pPr>
        <w:pStyle w:val="ListBullet"/>
        <w:spacing w:after="40"/>
      </w:pPr>
      <w:r>
        <w:t>Sensitivity của time decay: nhiều ngưỡng và ít nhất hai dạng hàm khác nhau.</w:t>
      </w:r>
    </w:p>
    <w:p>
      <w:pPr>
        <w:pStyle w:val="ListBullet"/>
        <w:spacing w:after="40"/>
      </w:pPr>
      <w:r>
        <w:t>Sensitivity của chuẩn hóa: min–max, percentile-capped và anchor-based normalization.</w:t>
      </w:r>
    </w:p>
    <w:p>
      <w:pPr>
        <w:pStyle w:val="ListBullet"/>
        <w:spacing w:after="40"/>
      </w:pPr>
      <w:r>
        <w:t>Sensitivity của tổng hợp: product, geometric mean có epsilon và additive alternative.</w:t>
      </w:r>
    </w:p>
    <w:p>
      <w:pPr>
        <w:pStyle w:val="ListBullet"/>
        <w:spacing w:after="40"/>
      </w:pPr>
      <w:r>
        <w:t>Temporal robustness: giờ cao điểm, thấp điểm và buổi tối.</w:t>
      </w:r>
    </w:p>
    <w:p>
      <w:pPr>
        <w:pStyle w:val="ListBullet"/>
        <w:spacing w:after="40"/>
      </w:pPr>
      <w:r>
        <w:t>Spatial robustness: thay đổi kích thước cell hoặc buffer nghiên cứu.</w:t>
      </w:r>
    </w:p>
    <w:p>
      <w:pPr>
        <w:pStyle w:val="ListBullet"/>
        <w:spacing w:after="40"/>
      </w:pPr>
      <w:r>
        <w:t>Leave-one-component-out: đánh giá mức đóng góp của NAI, MAI và RAC.</w:t>
      </w:r>
    </w:p>
    <w:p>
      <w:pPr>
        <w:pStyle w:val="ListBullet"/>
        <w:spacing w:after="40"/>
      </w:pPr>
      <w:r>
        <w:t>External validation: kiểm tra quan hệ với ít nhất một dữ liệu quan sát độc lập.</w:t>
      </w:r>
    </w:p>
    <w:p>
      <w:pPr>
        <w:pStyle w:val="Heading1"/>
      </w:pPr>
      <w:r>
        <w:t>5. Sản phẩm đầu ra nên báo cáo</w:t>
      </w:r>
    </w:p>
    <w:p>
      <w:pPr>
        <w:pStyle w:val="ListBullet"/>
        <w:spacing w:after="40"/>
      </w:pPr>
      <w:r>
        <w:t>Bản đồ và phân bố riêng của NAI, MAI và RAC, không chỉ bản đồ SMCI.</w:t>
      </w:r>
    </w:p>
    <w:p>
      <w:pPr>
        <w:pStyle w:val="ListBullet"/>
        <w:spacing w:after="40"/>
      </w:pPr>
      <w:r>
        <w:t>Tỷ lệ cell và dân số thuộc nhóm zero-access hoặc low-capability.</w:t>
      </w:r>
    </w:p>
    <w:p>
      <w:pPr>
        <w:pStyle w:val="ListBullet"/>
        <w:spacing w:after="40"/>
      </w:pPr>
      <w:r>
        <w:t>Typology local–metropolitan capability kèm bảng chuyển nhóm giữa các scenario.</w:t>
      </w:r>
    </w:p>
    <w:p>
      <w:pPr>
        <w:pStyle w:val="ListBullet"/>
        <w:spacing w:after="40"/>
      </w:pPr>
      <w:r>
        <w:t>Khoảng bất định hoặc scenario range cho từng cell.</w:t>
      </w:r>
    </w:p>
    <w:p>
      <w:pPr>
        <w:pStyle w:val="ListBullet"/>
        <w:spacing w:after="40"/>
      </w:pPr>
      <w:r>
        <w:t>Bảng provenance và chất lượng dữ liệu của từng thành phần.</w:t>
      </w:r>
    </w:p>
    <w:p>
      <w:pPr>
        <w:pStyle w:val="ListBullet"/>
        <w:spacing w:after="40"/>
      </w:pPr>
      <w:r>
        <w:t>Bảng robustness: Spearman correlation, kappa của typology, số cell đổi nhóm và thay đổi median.</w:t>
      </w:r>
    </w:p>
    <w:p>
      <w:pPr>
        <w:pStyle w:val="ListBullet"/>
        <w:spacing w:after="40"/>
      </w:pPr>
      <w:r>
        <w:t>Bảng các trường hợp điển hình để giải thích tại sao một cell có điểm thấp.</w:t>
      </w:r>
    </w:p>
    <w:p>
      <w:pPr>
        <w:pStyle w:val="Heading1"/>
      </w:pPr>
      <w:r>
        <w:t>6. Thứ tự ưu tiên thực hiện</w:t>
      </w:r>
    </w:p>
    <w:tbl>
      <w:tblPr>
        <w:tblStyle w:val="TableGrid"/>
        <w:tblW w:type="auto" w:w="0"/>
        <w:jc w:val="center"/>
        <w:tblLook w:firstColumn="1" w:firstRow="1" w:lastColumn="0" w:lastRow="0" w:noHBand="0" w:noVBand="1" w:val="04A0"/>
      </w:tblPr>
      <w:tblGrid>
        <w:gridCol w:w="3267"/>
        <w:gridCol w:w="3267"/>
        <w:gridCol w:w="3267"/>
      </w:tblGrid>
      <w:tr>
        <w:tc>
          <w:tcPr>
            <w:tcW w:type="dxa" w:w="3267"/>
            <w:vAlign w:val="center"/>
            <w:shd w:fill="FFF2CC"/>
          </w:tcPr>
          <w:p>
            <w:pPr>
              <w:spacing w:after="0"/>
            </w:pPr>
            <w:r/>
            <w:r>
              <w:rPr>
                <w:rFonts w:ascii="Times New Roman" w:hAnsi="Times New Roman" w:eastAsia="Times New Roman"/>
                <w:b/>
                <w:sz w:val="20"/>
              </w:rPr>
              <w:t>Mức</w:t>
            </w:r>
          </w:p>
        </w:tc>
        <w:tc>
          <w:tcPr>
            <w:tcW w:type="dxa" w:w="3267"/>
            <w:vAlign w:val="center"/>
            <w:shd w:fill="FFF2CC"/>
          </w:tcPr>
          <w:p>
            <w:pPr>
              <w:spacing w:after="0"/>
            </w:pPr>
            <w:r/>
            <w:r>
              <w:rPr>
                <w:rFonts w:ascii="Times New Roman" w:hAnsi="Times New Roman" w:eastAsia="Times New Roman"/>
                <w:b/>
                <w:sz w:val="20"/>
              </w:rPr>
              <w:t>Việc cần thực hiện</w:t>
            </w:r>
          </w:p>
        </w:tc>
        <w:tc>
          <w:tcPr>
            <w:tcW w:type="dxa" w:w="3267"/>
            <w:vAlign w:val="center"/>
            <w:shd w:fill="FFF2CC"/>
          </w:tcPr>
          <w:p>
            <w:pPr>
              <w:spacing w:after="0"/>
            </w:pPr>
            <w:r/>
            <w:r>
              <w:rPr>
                <w:rFonts w:ascii="Times New Roman" w:hAnsi="Times New Roman" w:eastAsia="Times New Roman"/>
                <w:b/>
                <w:sz w:val="20"/>
              </w:rPr>
              <w:t>Lý do</w:t>
            </w:r>
          </w:p>
        </w:tc>
      </w:tr>
      <w:tr>
        <w:tc>
          <w:tcPr>
            <w:tcW w:type="dxa" w:w="3267"/>
            <w:vAlign w:val="center"/>
          </w:tcPr>
          <w:p>
            <w:pPr>
              <w:spacing w:after="0"/>
            </w:pPr>
            <w:r/>
            <w:r>
              <w:rPr>
                <w:rFonts w:ascii="Times New Roman" w:hAnsi="Times New Roman" w:eastAsia="Times New Roman"/>
                <w:b w:val="0"/>
                <w:sz w:val="19"/>
              </w:rPr>
              <w:t>Bắt buộc trước khi hoàn thiện paper</w:t>
            </w:r>
          </w:p>
        </w:tc>
        <w:tc>
          <w:tcPr>
            <w:tcW w:type="dxa" w:w="3267"/>
            <w:vAlign w:val="center"/>
          </w:tcPr>
          <w:p>
            <w:pPr>
              <w:spacing w:after="0"/>
            </w:pPr>
            <w:r/>
            <w:r>
              <w:rPr>
                <w:rFonts w:ascii="Times New Roman" w:hAnsi="Times New Roman" w:eastAsia="Times New Roman"/>
                <w:b w:val="0"/>
                <w:sz w:val="19"/>
              </w:rPr>
              <w:t>Làm rõ construct; sensitivity trọng số MAI và time decay; minh bạch chuẩn hóa; báo cáo component riêng; validation bằng một outcome độc lập.</w:t>
            </w:r>
          </w:p>
        </w:tc>
        <w:tc>
          <w:tcPr>
            <w:tcW w:type="dxa" w:w="3267"/>
            <w:vAlign w:val="center"/>
          </w:tcPr>
          <w:p>
            <w:pPr>
              <w:spacing w:after="0"/>
            </w:pPr>
            <w:r/>
            <w:r>
              <w:rPr>
                <w:rFonts w:ascii="Times New Roman" w:hAnsi="Times New Roman" w:eastAsia="Times New Roman"/>
                <w:b w:val="0"/>
                <w:sz w:val="19"/>
              </w:rPr>
              <w:t>Đây là các điểm ảnh hưởng trực tiếp đến độ tin cậy và khả năng bảo vệ chỉ số.</w:t>
            </w:r>
          </w:p>
        </w:tc>
      </w:tr>
      <w:tr>
        <w:tc>
          <w:tcPr>
            <w:tcW w:type="dxa" w:w="3267"/>
            <w:vAlign w:val="center"/>
          </w:tcPr>
          <w:p>
            <w:pPr>
              <w:spacing w:after="0"/>
            </w:pPr>
            <w:r/>
            <w:r>
              <w:rPr>
                <w:rFonts w:ascii="Times New Roman" w:hAnsi="Times New Roman" w:eastAsia="Times New Roman"/>
                <w:b w:val="0"/>
                <w:sz w:val="19"/>
              </w:rPr>
              <w:t>Nên bổ sung trong paper nếu dữ liệu cho phép</w:t>
            </w:r>
          </w:p>
        </w:tc>
        <w:tc>
          <w:tcPr>
            <w:tcW w:type="dxa" w:w="3267"/>
            <w:vAlign w:val="center"/>
          </w:tcPr>
          <w:p>
            <w:pPr>
              <w:spacing w:after="0"/>
            </w:pPr>
            <w:r/>
            <w:r>
              <w:rPr>
                <w:rFonts w:ascii="Times New Roman" w:hAnsi="Times New Roman" w:eastAsia="Times New Roman"/>
                <w:b w:val="0"/>
                <w:sz w:val="19"/>
              </w:rPr>
              <w:t>Peak/off-peak RAC, reliability, walking/crossing impedance, data-quality grade và khu đối chứng.</w:t>
            </w:r>
          </w:p>
        </w:tc>
        <w:tc>
          <w:tcPr>
            <w:tcW w:type="dxa" w:w="3267"/>
            <w:vAlign w:val="center"/>
          </w:tcPr>
          <w:p>
            <w:pPr>
              <w:spacing w:after="0"/>
            </w:pPr>
            <w:r/>
            <w:r>
              <w:rPr>
                <w:rFonts w:ascii="Times New Roman" w:hAnsi="Times New Roman" w:eastAsia="Times New Roman"/>
                <w:b w:val="0"/>
                <w:sz w:val="19"/>
              </w:rPr>
              <w:t>Tăng tính phù hợp với giao thông hỗn hợp và khả năng chuyển giao.</w:t>
            </w:r>
          </w:p>
        </w:tc>
      </w:tr>
      <w:tr>
        <w:tc>
          <w:tcPr>
            <w:tcW w:type="dxa" w:w="3267"/>
            <w:vAlign w:val="center"/>
          </w:tcPr>
          <w:p>
            <w:pPr>
              <w:spacing w:after="0"/>
            </w:pPr>
            <w:r/>
            <w:r>
              <w:rPr>
                <w:rFonts w:ascii="Times New Roman" w:hAnsi="Times New Roman" w:eastAsia="Times New Roman"/>
                <w:b w:val="0"/>
                <w:sz w:val="19"/>
              </w:rPr>
              <w:t>Để nghiên cứu tiếp theo</w:t>
            </w:r>
          </w:p>
        </w:tc>
        <w:tc>
          <w:tcPr>
            <w:tcW w:type="dxa" w:w="3267"/>
            <w:vAlign w:val="center"/>
          </w:tcPr>
          <w:p>
            <w:pPr>
              <w:spacing w:after="0"/>
            </w:pPr>
            <w:r/>
            <w:r>
              <w:rPr>
                <w:rFonts w:ascii="Times New Roman" w:hAnsi="Times New Roman" w:eastAsia="Times New Roman"/>
                <w:b w:val="0"/>
                <w:sz w:val="19"/>
              </w:rPr>
              <w:t>Generalized cost đầy đủ, perceived safety, affordability, ride-hailing và mixed-traffic microsimulation.</w:t>
            </w:r>
          </w:p>
        </w:tc>
        <w:tc>
          <w:tcPr>
            <w:tcW w:type="dxa" w:w="3267"/>
            <w:vAlign w:val="center"/>
          </w:tcPr>
          <w:p>
            <w:pPr>
              <w:spacing w:after="0"/>
            </w:pPr>
            <w:r/>
            <w:r>
              <w:rPr>
                <w:rFonts w:ascii="Times New Roman" w:hAnsi="Times New Roman" w:eastAsia="Times New Roman"/>
                <w:b w:val="0"/>
                <w:sz w:val="19"/>
              </w:rPr>
              <w:t>Các nội dung này cần khảo sát và hiệu chỉnh hành vi riêng, dễ làm paper hiện tại mất tập trung.</w:t>
            </w:r>
          </w:p>
        </w:tc>
      </w:tr>
    </w:tbl>
    <w:p>
      <w:pPr>
        <w:pStyle w:val="Heading1"/>
      </w:pPr>
      <w:r>
        <w:t>7. Những vấn đề cần xin thầy xác nhận hướng đi</w:t>
      </w:r>
    </w:p>
    <w:p>
      <w:pPr>
        <w:pStyle w:val="ListNumber"/>
        <w:spacing w:after="40"/>
      </w:pPr>
      <w:r>
        <w:t>Có giữ SMCI là chỉ số năng lực tiếp cận bền vững gồm NAI–MAI–RAC, còn safety, affordability, equity và environment là các lớp audit riêng không?</w:t>
      </w:r>
    </w:p>
    <w:p>
      <w:pPr>
        <w:pStyle w:val="ListNumber"/>
        <w:spacing w:after="40"/>
      </w:pPr>
      <w:r>
        <w:t>Trọng số MAI có thể giữ là theory-first specification kèm sensitivity analysis, hay bắt buộc phải có survey/trip-purpose data để hiệu chỉnh?</w:t>
      </w:r>
    </w:p>
    <w:p>
      <w:pPr>
        <w:pStyle w:val="ListNumber"/>
        <w:spacing w:after="40"/>
      </w:pPr>
      <w:r>
        <w:t>RAC_time có nên tiếp tục là cấu hình chính của paper, còn generalized-cost RAC chỉ là extension?</w:t>
      </w:r>
    </w:p>
    <w:p>
      <w:pPr>
        <w:pStyle w:val="ListNumber"/>
        <w:spacing w:after="40"/>
      </w:pPr>
      <w:r>
        <w:t>Trong điều kiện nguồn lực hiện tại, nên ưu tiên reliability, pedestrian safety hay mixed-traffic friction?</w:t>
      </w:r>
    </w:p>
    <w:p>
      <w:pPr>
        <w:pStyle w:val="ListNumber"/>
        <w:spacing w:after="40"/>
      </w:pPr>
      <w:r>
        <w:t>Mức technical validation và sensitivity hiện tại có đủ cho một pilot methods paper không, hay cần external behavioral validation trước khi gửi?</w:t>
      </w:r>
    </w:p>
    <w:p>
      <w:pPr>
        <w:pStyle w:val="ListNumber"/>
        <w:spacing w:after="40"/>
      </w:pPr>
      <w:r>
        <w:t>Có cần thêm một khu vực đối chứng, hay giữ Ocean Park là single-site pilot và giới hạn khả năng khái quát hóa?</w:t>
      </w:r>
    </w:p>
    <w:p>
      <w:pPr>
        <w:pStyle w:val="Heading1"/>
      </w:pPr>
      <w:r>
        <w:t>8. Khuyến nghị định vị cuối cùng</w:t>
      </w:r>
    </w:p>
    <w:p>
      <w:r>
        <w:rPr>
          <w:b/>
        </w:rPr>
        <w:t xml:space="preserve">Hướng nên giữ: </w:t>
      </w:r>
      <w:r>
        <w:t>SMCI là một framework accessibility hai quy mô, lấy xe máy làm benchmark và nhạy với mắt xích yếu. Đóng góp chính nằm ở sự phù hợp bối cảnh, tính minh bạch của giả định, độ phân giải không gian và robustness, không nằm ở việc bao phủ mọi chiều của giao thông bền vững.</w:t>
      </w:r>
    </w:p>
    <w:p>
      <w:r>
        <w:rPr>
          <w:b/>
        </w:rPr>
        <w:t xml:space="preserve">Hướng không nên theo trong paper hiện tại: </w:t>
      </w:r>
      <w:r>
        <w:t>mở rộng SMCI thành một composite index gồm quá nhiều chiều hoặc đưa tất cả safety, affordability, reliability, environment và mixed traffic trực tiếp vào phép nhân. Cách đó sẽ làm construct khó diễn giải, tăng số hệ số chưa có evidence và tạo nguy cơ double counting.</w:t>
      </w:r>
    </w:p>
    <w:sectPr w:rsidR="00FC693F" w:rsidRPr="0006063C" w:rsidSect="00034616">
      <w:footerReference w:type="default" r:id="rId9"/>
      <w:pgSz w:w="12240" w:h="15840"/>
      <w:pgMar w:top="1134" w:right="113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Đề xuất nâng cấp chỉ số SMCI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eastAsia="Times New Roman"/>
      <w:sz w:val="2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