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b/>
          <w:color w:val="174A5B"/>
          <w:sz w:val="44"/>
        </w:rPr>
        <w:t>KẾ HOẠCH NÂNG CẤP PHƯƠNG PHÁP NAI</w:t>
      </w:r>
    </w:p>
    <w:p>
      <w:pPr>
        <w:jc w:val="center"/>
      </w:pPr>
      <w:r>
        <w:rPr>
          <w:rFonts w:ascii="Times New Roman" w:hAnsi="Times New Roman"/>
          <w:i/>
          <w:color w:val="465A5F"/>
          <w:sz w:val="28"/>
        </w:rPr>
        <w:t>Học tập từ khung phương pháp của Bruno et al. (2024)</w:t>
        <w:br/>
        <w:t>nhưng vẫn bảo toàn đóng góp NAI–MAI–RAC của nghiên cứu</w:t>
      </w:r>
    </w:p>
    <w:p>
      <w:pPr>
        <w:spacing w:before="560"/>
        <w:jc w:val="center"/>
      </w:pPr>
      <w:r>
        <w:rPr>
          <w:rFonts w:ascii="Times New Roman" w:hAnsi="Times New Roman"/>
          <w:sz w:val="24"/>
        </w:rPr>
        <w:t>Áp dụng cho bản thảo: “Fragmented Mobility Capability in a Motorcycle-Dependent Green Megaproject”</w:t>
      </w:r>
    </w:p>
    <w:tbl>
      <w:tblPr>
        <w:tblW w:type="auto" w:w="0"/>
        <w:jc w:val="center"/>
        <w:tblLook w:firstColumn="1" w:firstRow="1" w:lastColumn="0" w:lastRow="0" w:noHBand="0" w:noVBand="1" w:val="04A0"/>
      </w:tblPr>
      <w:tblGrid>
        <w:gridCol w:w="9936"/>
      </w:tblGrid>
      <w:tr>
        <w:tc>
          <w:tcPr>
            <w:tcW w:type="dxa" w:w="9936"/>
            <w:shd w:fill="E8F1F3"/>
            <w:tcMar>
              <w:top w:w="110" w:type="dxa"/>
              <w:start w:w="140" w:type="dxa"/>
              <w:bottom w:w="110" w:type="dxa"/>
              <w:end w:w="140" w:type="dxa"/>
            </w:tcMar>
          </w:tcPr>
          <w:p>
            <w:r>
              <w:rPr>
                <w:rFonts w:ascii="Times New Roman" w:hAnsi="Times New Roman"/>
                <w:b/>
                <w:sz w:val="22"/>
              </w:rPr>
              <w:t xml:space="preserve">Mục tiêu tài liệu: </w:t>
            </w:r>
            <w:r>
              <w:rPr>
                <w:rFonts w:ascii="Times New Roman" w:hAnsi="Times New Roman"/>
                <w:sz w:val="22"/>
              </w:rPr>
              <w:t>Chuyển các bài học phương pháp từ Bruno et al. thành một gói nâng cấp có thể triển khai, kiểm tra độ nhạy và trình bày rõ trong bài chính hoặc phụ lục. Tài liệu không đề xuất sao chép nguyên công thức của Bruno, mà dùng chúng để tăng độ vững cho cấu phần neighborhood accessibility.</w:t>
            </w:r>
          </w:p>
        </w:tc>
      </w:tr>
    </w:tbl>
    <w:p>
      <w:pPr>
        <w:spacing w:before="560"/>
        <w:jc w:val="center"/>
      </w:pPr>
      <w:r>
        <w:rPr>
          <w:rFonts w:ascii="Times New Roman" w:hAnsi="Times New Roman"/>
          <w:sz w:val="22"/>
        </w:rPr>
        <w:t>Tháng 8 năm 2026</w:t>
      </w:r>
    </w:p>
    <w:p>
      <w:r>
        <w:br w:type="page"/>
      </w:r>
    </w:p>
    <w:p>
      <w:pPr>
        <w:pStyle w:val="Heading1"/>
      </w:pPr>
      <w:r>
        <w:t>TÓM TẮT ĐỀ XUẤT</w:t>
      </w:r>
    </w:p>
    <w:p>
      <w:pPr>
        <w:pStyle w:val="BodyText"/>
      </w:pPr>
      <w:r>
        <w:t>Khuyến nghị cốt lõi là giữ nguyên cấu trúc NAI–MAI–RAC và vai trò của SMCI, nhưng bổ sung một mô-đun kiểm định neighborhood accessibility lấy cảm hứng từ Bruno et al. Mô-đun này tách rõ ba khía cạnh: số lượng tiện ích, mức đầy đủ theo nhóm và thời gian tiếp cận thực tế.</w:t>
      </w:r>
    </w:p>
    <w:tbl>
      <w:tblPr>
        <w:tblW w:type="auto" w:w="0"/>
        <w:jc w:val="center"/>
        <w:tblLook w:firstColumn="1" w:firstRow="1" w:lastColumn="0" w:lastRow="0" w:noHBand="0" w:noVBand="1" w:val="04A0"/>
      </w:tblPr>
      <w:tblGrid>
        <w:gridCol w:w="9936"/>
      </w:tblGrid>
      <w:tr>
        <w:tc>
          <w:tcPr>
            <w:tcW w:type="dxa" w:w="9936"/>
            <w:shd w:fill="FFF2CC"/>
            <w:tcMar>
              <w:top w:w="110" w:type="dxa"/>
              <w:start w:w="140" w:type="dxa"/>
              <w:bottom w:w="110" w:type="dxa"/>
              <w:end w:w="140" w:type="dxa"/>
            </w:tcMar>
          </w:tcPr>
          <w:p>
            <w:r>
              <w:rPr>
                <w:rFonts w:ascii="Times New Roman" w:hAnsi="Times New Roman"/>
                <w:b/>
                <w:sz w:val="22"/>
              </w:rPr>
              <w:t xml:space="preserve">Khuyến nghị ưu tiên: </w:t>
            </w:r>
            <w:r>
              <w:rPr>
                <w:rFonts w:ascii="Times New Roman" w:hAnsi="Times New Roman"/>
                <w:sz w:val="22"/>
              </w:rPr>
              <w:t>Giữ NAI hiện tại làm cấu phần chính của SMCI; thêm Category Completeness Score (CCS), Neighborhood Proximity Time (NPT), population coverage và inequality metric như các chỉ số kiểm định và diễn giải. Không nên đưa toàn bộ chỉ số mới vào SMCI ngay ở vòng sửa đầu tiên.</w:t>
            </w:r>
          </w:p>
        </w:tc>
      </w:tr>
    </w:tbl>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224"/>
            <w:shd w:fill="D9EAF0"/>
            <w:tcMar>
              <w:top w:w="80" w:type="dxa"/>
              <w:start w:w="90" w:type="dxa"/>
              <w:bottom w:w="80" w:type="dxa"/>
              <w:end w:w="90" w:type="dxa"/>
            </w:tcMar>
            <w:vAlign w:val="center"/>
          </w:tcPr>
          <w:p>
            <w:pPr>
              <w:jc w:val="center"/>
            </w:pPr>
            <w:r>
              <w:rPr>
                <w:rFonts w:ascii="Times New Roman" w:hAnsi="Times New Roman"/>
                <w:b/>
                <w:sz w:val="20"/>
              </w:rPr>
              <w:t>Mức ưu tiên</w:t>
            </w:r>
          </w:p>
        </w:tc>
        <w:tc>
          <w:tcPr>
            <w:tcW w:type="dxa" w:w="2376"/>
            <w:shd w:fill="D9EAF0"/>
            <w:tcMar>
              <w:top w:w="80" w:type="dxa"/>
              <w:start w:w="90" w:type="dxa"/>
              <w:bottom w:w="80" w:type="dxa"/>
              <w:end w:w="90" w:type="dxa"/>
            </w:tcMar>
            <w:vAlign w:val="center"/>
          </w:tcPr>
          <w:p>
            <w:pPr>
              <w:jc w:val="center"/>
            </w:pPr>
            <w:r>
              <w:rPr>
                <w:rFonts w:ascii="Times New Roman" w:hAnsi="Times New Roman"/>
                <w:b/>
                <w:sz w:val="20"/>
              </w:rPr>
              <w:t>Nâng cấp</w:t>
            </w:r>
          </w:p>
        </w:tc>
        <w:tc>
          <w:tcPr>
            <w:tcW w:type="dxa" w:w="3816"/>
            <w:shd w:fill="D9EAF0"/>
            <w:tcMar>
              <w:top w:w="80" w:type="dxa"/>
              <w:start w:w="90" w:type="dxa"/>
              <w:bottom w:w="80" w:type="dxa"/>
              <w:end w:w="90" w:type="dxa"/>
            </w:tcMar>
            <w:vAlign w:val="center"/>
          </w:tcPr>
          <w:p>
            <w:pPr>
              <w:jc w:val="center"/>
            </w:pPr>
            <w:r>
              <w:rPr>
                <w:rFonts w:ascii="Times New Roman" w:hAnsi="Times New Roman"/>
                <w:b/>
                <w:sz w:val="20"/>
              </w:rPr>
              <w:t>Vai trò đề xuất</w:t>
            </w:r>
          </w:p>
        </w:tc>
        <w:tc>
          <w:tcPr>
            <w:tcW w:type="dxa" w:w="1800"/>
            <w:shd w:fill="D9EAF0"/>
            <w:tcMar>
              <w:top w:w="80" w:type="dxa"/>
              <w:start w:w="90" w:type="dxa"/>
              <w:bottom w:w="80" w:type="dxa"/>
              <w:end w:w="90" w:type="dxa"/>
            </w:tcMar>
            <w:vAlign w:val="center"/>
          </w:tcPr>
          <w:p>
            <w:pPr>
              <w:jc w:val="center"/>
            </w:pPr>
            <w:r>
              <w:rPr>
                <w:rFonts w:ascii="Times New Roman" w:hAnsi="Times New Roman"/>
                <w:b/>
                <w:sz w:val="20"/>
              </w:rPr>
              <w:t>Vị trí trình bày</w:t>
            </w:r>
          </w:p>
        </w:tc>
      </w:tr>
      <w:tr>
        <w:tc>
          <w:tcPr>
            <w:tcW w:type="dxa" w:w="1224"/>
            <w:tcMar>
              <w:top w:w="80" w:type="dxa"/>
              <w:start w:w="90" w:type="dxa"/>
              <w:bottom w:w="80" w:type="dxa"/>
              <w:end w:w="90" w:type="dxa"/>
            </w:tcMar>
            <w:vAlign w:val="center"/>
          </w:tcPr>
          <w:p>
            <w:pPr>
              <w:jc w:val="left"/>
            </w:pPr>
            <w:r>
              <w:rPr>
                <w:rFonts w:ascii="Times New Roman" w:hAnsi="Times New Roman"/>
                <w:sz w:val="20"/>
              </w:rPr>
              <w:t>Rất cao</w:t>
            </w:r>
          </w:p>
        </w:tc>
        <w:tc>
          <w:tcPr>
            <w:tcW w:type="dxa" w:w="2376"/>
            <w:tcMar>
              <w:top w:w="80" w:type="dxa"/>
              <w:start w:w="90" w:type="dxa"/>
              <w:bottom w:w="80" w:type="dxa"/>
              <w:end w:w="90" w:type="dxa"/>
            </w:tcMar>
            <w:vAlign w:val="center"/>
          </w:tcPr>
          <w:p>
            <w:pPr>
              <w:jc w:val="left"/>
            </w:pPr>
            <w:r>
              <w:rPr>
                <w:rFonts w:ascii="Times New Roman" w:hAnsi="Times New Roman"/>
                <w:sz w:val="20"/>
              </w:rPr>
              <w:t>Category Completeness Score (CCS)</w:t>
            </w:r>
          </w:p>
        </w:tc>
        <w:tc>
          <w:tcPr>
            <w:tcW w:type="dxa" w:w="3816"/>
            <w:tcMar>
              <w:top w:w="80" w:type="dxa"/>
              <w:start w:w="90" w:type="dxa"/>
              <w:bottom w:w="80" w:type="dxa"/>
              <w:end w:w="90" w:type="dxa"/>
            </w:tcMar>
            <w:vAlign w:val="center"/>
          </w:tcPr>
          <w:p>
            <w:pPr>
              <w:jc w:val="left"/>
            </w:pPr>
            <w:r>
              <w:rPr>
                <w:rFonts w:ascii="Times New Roman" w:hAnsi="Times New Roman"/>
                <w:sz w:val="20"/>
              </w:rPr>
              <w:t>Kiểm tra NAI có bị chi phối bởi một vài loại POI hay không</w:t>
            </w:r>
          </w:p>
        </w:tc>
        <w:tc>
          <w:tcPr>
            <w:tcW w:type="dxa" w:w="1800"/>
            <w:tcMar>
              <w:top w:w="80" w:type="dxa"/>
              <w:start w:w="90" w:type="dxa"/>
              <w:bottom w:w="80" w:type="dxa"/>
              <w:end w:w="90" w:type="dxa"/>
            </w:tcMar>
            <w:vAlign w:val="center"/>
          </w:tcPr>
          <w:p>
            <w:pPr>
              <w:jc w:val="left"/>
            </w:pPr>
            <w:r>
              <w:rPr>
                <w:rFonts w:ascii="Times New Roman" w:hAnsi="Times New Roman"/>
                <w:sz w:val="20"/>
              </w:rPr>
              <w:t>Bài chính</w:t>
            </w:r>
          </w:p>
        </w:tc>
      </w:tr>
      <w:tr>
        <w:tc>
          <w:tcPr>
            <w:tcW w:type="dxa" w:w="1224"/>
            <w:tcMar>
              <w:top w:w="80" w:type="dxa"/>
              <w:start w:w="90" w:type="dxa"/>
              <w:bottom w:w="80" w:type="dxa"/>
              <w:end w:w="90" w:type="dxa"/>
            </w:tcMar>
            <w:vAlign w:val="center"/>
          </w:tcPr>
          <w:p>
            <w:pPr>
              <w:jc w:val="left"/>
            </w:pPr>
            <w:r>
              <w:rPr>
                <w:rFonts w:ascii="Times New Roman" w:hAnsi="Times New Roman"/>
                <w:sz w:val="20"/>
              </w:rPr>
              <w:t>Rất cao</w:t>
            </w:r>
          </w:p>
        </w:tc>
        <w:tc>
          <w:tcPr>
            <w:tcW w:type="dxa" w:w="2376"/>
            <w:tcMar>
              <w:top w:w="80" w:type="dxa"/>
              <w:start w:w="90" w:type="dxa"/>
              <w:bottom w:w="80" w:type="dxa"/>
              <w:end w:w="90" w:type="dxa"/>
            </w:tcMar>
            <w:vAlign w:val="center"/>
          </w:tcPr>
          <w:p>
            <w:pPr>
              <w:jc w:val="left"/>
            </w:pPr>
            <w:r>
              <w:rPr>
                <w:rFonts w:ascii="Times New Roman" w:hAnsi="Times New Roman"/>
                <w:sz w:val="20"/>
              </w:rPr>
              <w:t>Population coverage</w:t>
            </w:r>
          </w:p>
        </w:tc>
        <w:tc>
          <w:tcPr>
            <w:tcW w:type="dxa" w:w="3816"/>
            <w:tcMar>
              <w:top w:w="80" w:type="dxa"/>
              <w:start w:w="90" w:type="dxa"/>
              <w:bottom w:w="80" w:type="dxa"/>
              <w:end w:w="90" w:type="dxa"/>
            </w:tcMar>
            <w:vAlign w:val="center"/>
          </w:tcPr>
          <w:p>
            <w:pPr>
              <w:jc w:val="left"/>
            </w:pPr>
            <w:r>
              <w:rPr>
                <w:rFonts w:ascii="Times New Roman" w:hAnsi="Times New Roman"/>
                <w:sz w:val="20"/>
              </w:rPr>
              <w:t>Chuyển kết quả cell-level thành tỷ lệ dân cư được phục vụ</w:t>
            </w:r>
          </w:p>
        </w:tc>
        <w:tc>
          <w:tcPr>
            <w:tcW w:type="dxa" w:w="1800"/>
            <w:tcMar>
              <w:top w:w="80" w:type="dxa"/>
              <w:start w:w="90" w:type="dxa"/>
              <w:bottom w:w="80" w:type="dxa"/>
              <w:end w:w="90" w:type="dxa"/>
            </w:tcMar>
            <w:vAlign w:val="center"/>
          </w:tcPr>
          <w:p>
            <w:pPr>
              <w:jc w:val="left"/>
            </w:pPr>
            <w:r>
              <w:rPr>
                <w:rFonts w:ascii="Times New Roman" w:hAnsi="Times New Roman"/>
                <w:sz w:val="20"/>
              </w:rPr>
              <w:t>Bài chính</w:t>
            </w:r>
          </w:p>
        </w:tc>
      </w:tr>
      <w:tr>
        <w:tc>
          <w:tcPr>
            <w:tcW w:type="dxa" w:w="1224"/>
            <w:tcMar>
              <w:top w:w="80" w:type="dxa"/>
              <w:start w:w="90" w:type="dxa"/>
              <w:bottom w:w="80" w:type="dxa"/>
              <w:end w:w="90" w:type="dxa"/>
            </w:tcMar>
            <w:vAlign w:val="center"/>
          </w:tcPr>
          <w:p>
            <w:pPr>
              <w:jc w:val="left"/>
            </w:pPr>
            <w:r>
              <w:rPr>
                <w:rFonts w:ascii="Times New Roman" w:hAnsi="Times New Roman"/>
                <w:sz w:val="20"/>
              </w:rPr>
              <w:t>Cao</w:t>
            </w:r>
          </w:p>
        </w:tc>
        <w:tc>
          <w:tcPr>
            <w:tcW w:type="dxa" w:w="2376"/>
            <w:tcMar>
              <w:top w:w="80" w:type="dxa"/>
              <w:start w:w="90" w:type="dxa"/>
              <w:bottom w:w="80" w:type="dxa"/>
              <w:end w:w="90" w:type="dxa"/>
            </w:tcMar>
            <w:vAlign w:val="center"/>
          </w:tcPr>
          <w:p>
            <w:pPr>
              <w:jc w:val="left"/>
            </w:pPr>
            <w:r>
              <w:rPr>
                <w:rFonts w:ascii="Times New Roman" w:hAnsi="Times New Roman"/>
                <w:sz w:val="20"/>
              </w:rPr>
              <w:t>Neighborhood Proximity Time (NPT)</w:t>
            </w:r>
          </w:p>
        </w:tc>
        <w:tc>
          <w:tcPr>
            <w:tcW w:type="dxa" w:w="3816"/>
            <w:tcMar>
              <w:top w:w="80" w:type="dxa"/>
              <w:start w:w="90" w:type="dxa"/>
              <w:bottom w:w="80" w:type="dxa"/>
              <w:end w:w="90" w:type="dxa"/>
            </w:tcMar>
            <w:vAlign w:val="center"/>
          </w:tcPr>
          <w:p>
            <w:pPr>
              <w:jc w:val="left"/>
            </w:pPr>
            <w:r>
              <w:rPr>
                <w:rFonts w:ascii="Times New Roman" w:hAnsi="Times New Roman"/>
                <w:sz w:val="20"/>
              </w:rPr>
              <w:t>Robustness check liên tục cho NAI dạng threshold count</w:t>
            </w:r>
          </w:p>
        </w:tc>
        <w:tc>
          <w:tcPr>
            <w:tcW w:type="dxa" w:w="1800"/>
            <w:tcMar>
              <w:top w:w="80" w:type="dxa"/>
              <w:start w:w="90" w:type="dxa"/>
              <w:bottom w:w="80" w:type="dxa"/>
              <w:end w:w="90" w:type="dxa"/>
            </w:tcMar>
            <w:vAlign w:val="center"/>
          </w:tcPr>
          <w:p>
            <w:pPr>
              <w:jc w:val="left"/>
            </w:pPr>
            <w:r>
              <w:rPr>
                <w:rFonts w:ascii="Times New Roman" w:hAnsi="Times New Roman"/>
                <w:sz w:val="20"/>
              </w:rPr>
              <w:t>Phụ lục + tóm tắt ở bài chính</w:t>
            </w:r>
          </w:p>
        </w:tc>
      </w:tr>
      <w:tr>
        <w:tc>
          <w:tcPr>
            <w:tcW w:type="dxa" w:w="1224"/>
            <w:tcMar>
              <w:top w:w="80" w:type="dxa"/>
              <w:start w:w="90" w:type="dxa"/>
              <w:bottom w:w="80" w:type="dxa"/>
              <w:end w:w="90" w:type="dxa"/>
            </w:tcMar>
            <w:vAlign w:val="center"/>
          </w:tcPr>
          <w:p>
            <w:pPr>
              <w:jc w:val="left"/>
            </w:pPr>
            <w:r>
              <w:rPr>
                <w:rFonts w:ascii="Times New Roman" w:hAnsi="Times New Roman"/>
                <w:sz w:val="20"/>
              </w:rPr>
              <w:t>Cao</w:t>
            </w:r>
          </w:p>
        </w:tc>
        <w:tc>
          <w:tcPr>
            <w:tcW w:type="dxa" w:w="2376"/>
            <w:tcMar>
              <w:top w:w="80" w:type="dxa"/>
              <w:start w:w="90" w:type="dxa"/>
              <w:bottom w:w="80" w:type="dxa"/>
              <w:end w:w="90" w:type="dxa"/>
            </w:tcMar>
            <w:vAlign w:val="center"/>
          </w:tcPr>
          <w:p>
            <w:pPr>
              <w:jc w:val="left"/>
            </w:pPr>
            <w:r>
              <w:rPr>
                <w:rFonts w:ascii="Times New Roman" w:hAnsi="Times New Roman"/>
                <w:sz w:val="20"/>
              </w:rPr>
              <w:t>Population-weighted Gini của NPT</w:t>
            </w:r>
          </w:p>
        </w:tc>
        <w:tc>
          <w:tcPr>
            <w:tcW w:type="dxa" w:w="3816"/>
            <w:tcMar>
              <w:top w:w="80" w:type="dxa"/>
              <w:start w:w="90" w:type="dxa"/>
              <w:bottom w:w="80" w:type="dxa"/>
              <w:end w:w="90" w:type="dxa"/>
            </w:tcMar>
            <w:vAlign w:val="center"/>
          </w:tcPr>
          <w:p>
            <w:pPr>
              <w:jc w:val="left"/>
            </w:pPr>
            <w:r>
              <w:rPr>
                <w:rFonts w:ascii="Times New Roman" w:hAnsi="Times New Roman"/>
                <w:sz w:val="20"/>
              </w:rPr>
              <w:t>Bổ sung thước đo bất bình đẳng scalar</w:t>
            </w:r>
          </w:p>
        </w:tc>
        <w:tc>
          <w:tcPr>
            <w:tcW w:type="dxa" w:w="1800"/>
            <w:tcMar>
              <w:top w:w="80" w:type="dxa"/>
              <w:start w:w="90" w:type="dxa"/>
              <w:bottom w:w="80" w:type="dxa"/>
              <w:end w:w="90" w:type="dxa"/>
            </w:tcMar>
            <w:vAlign w:val="center"/>
          </w:tcPr>
          <w:p>
            <w:pPr>
              <w:jc w:val="left"/>
            </w:pPr>
            <w:r>
              <w:rPr>
                <w:rFonts w:ascii="Times New Roman" w:hAnsi="Times New Roman"/>
                <w:sz w:val="20"/>
              </w:rPr>
              <w:t>Bài chính hoặc phụ lục</w:t>
            </w:r>
          </w:p>
        </w:tc>
      </w:tr>
      <w:tr>
        <w:tc>
          <w:tcPr>
            <w:tcW w:type="dxa" w:w="1224"/>
            <w:tcMar>
              <w:top w:w="80" w:type="dxa"/>
              <w:start w:w="90" w:type="dxa"/>
              <w:bottom w:w="80" w:type="dxa"/>
              <w:end w:w="90" w:type="dxa"/>
            </w:tcMar>
            <w:vAlign w:val="center"/>
          </w:tcPr>
          <w:p>
            <w:pPr>
              <w:jc w:val="left"/>
            </w:pPr>
            <w:r>
              <w:rPr>
                <w:rFonts w:ascii="Times New Roman" w:hAnsi="Times New Roman"/>
                <w:sz w:val="20"/>
              </w:rPr>
              <w:t>Trung bình</w:t>
            </w:r>
          </w:p>
        </w:tc>
        <w:tc>
          <w:tcPr>
            <w:tcW w:type="dxa" w:w="2376"/>
            <w:tcMar>
              <w:top w:w="80" w:type="dxa"/>
              <w:start w:w="90" w:type="dxa"/>
              <w:bottom w:w="80" w:type="dxa"/>
              <w:end w:w="90" w:type="dxa"/>
            </w:tcMar>
            <w:vAlign w:val="center"/>
          </w:tcPr>
          <w:p>
            <w:pPr>
              <w:jc w:val="left"/>
            </w:pPr>
            <w:r>
              <w:rPr>
                <w:rFonts w:ascii="Times New Roman" w:hAnsi="Times New Roman"/>
                <w:sz w:val="20"/>
              </w:rPr>
              <w:t>Phân loại zero/low/incomplete access</w:t>
            </w:r>
          </w:p>
        </w:tc>
        <w:tc>
          <w:tcPr>
            <w:tcW w:type="dxa" w:w="3816"/>
            <w:tcMar>
              <w:top w:w="80" w:type="dxa"/>
              <w:start w:w="90" w:type="dxa"/>
              <w:bottom w:w="80" w:type="dxa"/>
              <w:end w:w="90" w:type="dxa"/>
            </w:tcMar>
            <w:vAlign w:val="center"/>
          </w:tcPr>
          <w:p>
            <w:pPr>
              <w:jc w:val="left"/>
            </w:pPr>
            <w:r>
              <w:rPr>
                <w:rFonts w:ascii="Times New Roman" w:hAnsi="Times New Roman"/>
                <w:sz w:val="20"/>
              </w:rPr>
              <w:t>Làm rõ ý nghĩa chính sách và bản đồ</w:t>
            </w:r>
          </w:p>
        </w:tc>
        <w:tc>
          <w:tcPr>
            <w:tcW w:type="dxa" w:w="1800"/>
            <w:tcMar>
              <w:top w:w="80" w:type="dxa"/>
              <w:start w:w="90" w:type="dxa"/>
              <w:bottom w:w="80" w:type="dxa"/>
              <w:end w:w="90" w:type="dxa"/>
            </w:tcMar>
            <w:vAlign w:val="center"/>
          </w:tcPr>
          <w:p>
            <w:pPr>
              <w:jc w:val="left"/>
            </w:pPr>
            <w:r>
              <w:rPr>
                <w:rFonts w:ascii="Times New Roman" w:hAnsi="Times New Roman"/>
                <w:sz w:val="20"/>
              </w:rPr>
              <w:t>Bài chính</w:t>
            </w:r>
          </w:p>
        </w:tc>
      </w:tr>
      <w:tr>
        <w:tc>
          <w:tcPr>
            <w:tcW w:type="dxa" w:w="1224"/>
            <w:tcMar>
              <w:top w:w="80" w:type="dxa"/>
              <w:start w:w="90" w:type="dxa"/>
              <w:bottom w:w="80" w:type="dxa"/>
              <w:end w:w="90" w:type="dxa"/>
            </w:tcMar>
            <w:vAlign w:val="center"/>
          </w:tcPr>
          <w:p>
            <w:pPr>
              <w:jc w:val="left"/>
            </w:pPr>
            <w:r>
              <w:rPr>
                <w:rFonts w:ascii="Times New Roman" w:hAnsi="Times New Roman"/>
                <w:sz w:val="20"/>
              </w:rPr>
              <w:t>Tùy chọn</w:t>
            </w:r>
          </w:p>
        </w:tc>
        <w:tc>
          <w:tcPr>
            <w:tcW w:type="dxa" w:w="2376"/>
            <w:tcMar>
              <w:top w:w="80" w:type="dxa"/>
              <w:start w:w="90" w:type="dxa"/>
              <w:bottom w:w="80" w:type="dxa"/>
              <w:end w:w="90" w:type="dxa"/>
            </w:tcMar>
            <w:vAlign w:val="center"/>
          </w:tcPr>
          <w:p>
            <w:pPr>
              <w:jc w:val="left"/>
            </w:pPr>
            <w:r>
              <w:rPr>
                <w:rFonts w:ascii="Times New Roman" w:hAnsi="Times New Roman"/>
                <w:sz w:val="20"/>
              </w:rPr>
              <w:t>Targeted POI intervention scenario</w:t>
            </w:r>
          </w:p>
        </w:tc>
        <w:tc>
          <w:tcPr>
            <w:tcW w:type="dxa" w:w="3816"/>
            <w:tcMar>
              <w:top w:w="80" w:type="dxa"/>
              <w:start w:w="90" w:type="dxa"/>
              <w:bottom w:w="80" w:type="dxa"/>
              <w:end w:w="90" w:type="dxa"/>
            </w:tcMar>
            <w:vAlign w:val="center"/>
          </w:tcPr>
          <w:p>
            <w:pPr>
              <w:jc w:val="left"/>
            </w:pPr>
            <w:r>
              <w:rPr>
                <w:rFonts w:ascii="Times New Roman" w:hAnsi="Times New Roman"/>
                <w:sz w:val="20"/>
              </w:rPr>
              <w:t>Chuyển từ mô tả sang kịch bản can thiệp</w:t>
            </w:r>
          </w:p>
        </w:tc>
        <w:tc>
          <w:tcPr>
            <w:tcW w:type="dxa" w:w="1800"/>
            <w:tcMar>
              <w:top w:w="80" w:type="dxa"/>
              <w:start w:w="90" w:type="dxa"/>
              <w:bottom w:w="80" w:type="dxa"/>
              <w:end w:w="90" w:type="dxa"/>
            </w:tcMar>
            <w:vAlign w:val="center"/>
          </w:tcPr>
          <w:p>
            <w:pPr>
              <w:jc w:val="left"/>
            </w:pPr>
            <w:r>
              <w:rPr>
                <w:rFonts w:ascii="Times New Roman" w:hAnsi="Times New Roman"/>
                <w:sz w:val="20"/>
              </w:rPr>
              <w:t>Bài sau hoặc phụ lục mở rộng</w:t>
            </w:r>
          </w:p>
        </w:tc>
      </w:tr>
    </w:tbl>
    <w:p/>
    <w:p>
      <w:pPr>
        <w:pStyle w:val="Heading1"/>
      </w:pPr>
      <w:r>
        <w:t>1. NGUYÊN TẮC NÂNG CẤP</w:t>
      </w:r>
    </w:p>
    <w:p>
      <w:pPr>
        <w:pStyle w:val="ListNumber"/>
      </w:pPr>
      <w:r>
        <w:t>Không thay NAI bằng công thức của Bruno. NAI hiện tại vẫn phù hợp với logic weak-link của SMCI và với mục tiêu nhận diện zero-access cells.</w:t>
      </w:r>
    </w:p>
    <w:p>
      <w:pPr>
        <w:pStyle w:val="ListNumber"/>
      </w:pPr>
      <w:r>
        <w:t>Dùng công thức kiểu Bruno để kiểm định NAI theo một operationalization khác, thay vì tạo một cấu phần tổng hợp hoàn toàn mới.</w:t>
      </w:r>
    </w:p>
    <w:p>
      <w:pPr>
        <w:pStyle w:val="ListNumber"/>
      </w:pPr>
      <w:r>
        <w:t>Tách rõ abundance, completeness và proximity. Ba khía cạnh này liên quan nhưng không đồng nhất.</w:t>
      </w:r>
    </w:p>
    <w:p>
      <w:pPr>
        <w:pStyle w:val="ListNumber"/>
      </w:pPr>
      <w:r>
        <w:t>Mọi chỉ số cell-level quan trọng cần có phiên bản population-weighted để trả lời ai thực sự được hưởng lợi hoặc chịu thiệt.</w:t>
      </w:r>
    </w:p>
    <w:p>
      <w:pPr>
        <w:pStyle w:val="ListNumber"/>
      </w:pPr>
      <w:r>
        <w:t>Các chỉ số mới phải tăng khả năng diễn giải, không làm contribution chính bị loãng khỏi dual-scale accessibility và motorcycle-referenced competitiveness.</w:t>
      </w:r>
    </w:p>
    <w:p>
      <w:pPr>
        <w:pStyle w:val="Heading1"/>
      </w:pPr>
      <w:r>
        <w:t>2. CẤU TRÚC PHƯƠNG PHÁP HIỆN TẠI CẦN ĐƯỢC GIỮ</w:t>
      </w:r>
    </w:p>
    <w:p>
      <w:pPr>
        <w:pStyle w:val="BodyText"/>
      </w:pPr>
      <w:r>
        <w:t>Framework hiện tại phân tách ba điều kiện: neighborhood walking access (NAI), metropolitan walk-and-transit opportunity access (MAI), và khả năng cạnh tranh với xe máy (RAC). Ba cấu phần được kết hợp thành SMCI theo dạng tích, nhằm làm nổi bật các điểm yếu trong chuỗi năng lực di chuyển bền vững.</w:t>
      </w:r>
    </w:p>
    <w:tbl>
      <w:tblPr>
        <w:tblW w:type="auto" w:w="0"/>
        <w:jc w:val="center"/>
        <w:tblLayout w:type="autofit"/>
        <w:tblLook w:firstColumn="1" w:firstRow="1" w:lastColumn="0" w:lastRow="0" w:noHBand="0" w:noVBand="1" w:val="04A0"/>
      </w:tblPr>
      <w:tblGrid>
        <w:gridCol w:w="9936"/>
      </w:tblGrid>
      <w:tr>
        <w:trPr>
          <w:cantSplit/>
        </w:trPr>
        <w:tc>
          <w:tcPr>
            <w:tcW w:type="dxa" w:w="9936"/>
            <w:shd w:fill="F3F6F8"/>
            <w:tcMar>
              <w:top w:w="100" w:type="dxa"/>
              <w:start w:w="140" w:type="dxa"/>
              <w:bottom w:w="100" w:type="dxa"/>
              <w:end w:w="140" w:type="dxa"/>
            </w:tcMar>
          </w:tcPr>
          <w:p>
            <w:pPr>
              <w:keepLines/>
              <w:jc w:val="center"/>
            </w:pPr>
            <w:r>
              <w:rPr>
                <w:rFonts w:ascii="Cambria Math" w:hAnsi="Cambria Math"/>
                <w:sz w:val="23"/>
              </w:rPr>
              <w:t>SMCI_i = NAI^{norm}_i × MAI^{norm}_i × RAC^{norm}_i</w:t>
            </w:r>
          </w:p>
          <w:p>
            <w:pPr>
              <w:keepLines/>
              <w:jc w:val="right"/>
            </w:pPr>
            <w:r>
              <w:rPr>
                <w:rFonts w:ascii="Times New Roman" w:hAnsi="Times New Roman"/>
                <w:i/>
                <w:color w:val="5A5A5A"/>
                <w:sz w:val="18"/>
              </w:rPr>
              <w:t>Công thức nền tảng cần giữ nguyên trong phiên bản nâng cấp</w:t>
            </w:r>
          </w:p>
        </w:tc>
      </w:tr>
    </w:tbl>
    <w:p>
      <w:pPr>
        <w:spacing w:after="0"/>
      </w:pPr>
    </w:p>
    <w:tbl>
      <w:tblPr>
        <w:tblW w:type="auto" w:w="0"/>
        <w:jc w:val="center"/>
        <w:tblLook w:firstColumn="1" w:firstRow="1" w:lastColumn="0" w:lastRow="0" w:noHBand="0" w:noVBand="1" w:val="04A0"/>
      </w:tblPr>
      <w:tblGrid>
        <w:gridCol w:w="9936"/>
      </w:tblGrid>
      <w:tr>
        <w:tc>
          <w:tcPr>
            <w:tcW w:type="dxa" w:w="9936"/>
            <w:shd w:fill="E2F0D9"/>
            <w:tcMar>
              <w:top w:w="110" w:type="dxa"/>
              <w:start w:w="140" w:type="dxa"/>
              <w:bottom w:w="110" w:type="dxa"/>
              <w:end w:w="140" w:type="dxa"/>
            </w:tcMar>
          </w:tcPr>
          <w:p>
            <w:r>
              <w:rPr>
                <w:rFonts w:ascii="Times New Roman" w:hAnsi="Times New Roman"/>
                <w:b/>
                <w:sz w:val="22"/>
              </w:rPr>
              <w:t xml:space="preserve">Nguyên tắc bảo toàn novelty: </w:t>
            </w:r>
            <w:r>
              <w:rPr>
                <w:rFonts w:ascii="Times New Roman" w:hAnsi="Times New Roman"/>
                <w:sz w:val="22"/>
              </w:rPr>
              <w:t>NAI là phần kế thừa từ literature về local accessibility; contribution chính vẫn nằm ở việc kết hợp NAI với MAI, RAC, green megaproject evaluation và boundary discontinuity.</w:t>
            </w:r>
          </w:p>
        </w:tc>
      </w:tr>
    </w:tbl>
    <w:p>
      <w:pPr>
        <w:pStyle w:val="Heading1"/>
      </w:pPr>
      <w:r>
        <w:t>3. NÂNG CẤP 1 — CATEGORY COMPLETENESS SCORE (CCS)</w:t>
      </w:r>
    </w:p>
    <w:p>
      <w:pPr>
        <w:pStyle w:val="Heading2"/>
      </w:pPr>
      <w:r>
        <w:t>3.1. Vấn đề cần giải quyết</w:t>
      </w:r>
    </w:p>
    <w:p>
      <w:pPr>
        <w:pStyle w:val="BodyText"/>
      </w:pPr>
      <w:r>
        <w:t>NAI dạng tổng số POI có thể đạt giá trị cao nếu một cell có rất nhiều POI thuộc cùng một nhóm, trong khi thiếu các nhu cầu cơ bản khác. Ví dụ, nhiều điểm ăn uống không thể thay thế trường học, y tế, công viên hoặc dịch vụ thiết yếu.</w:t>
      </w:r>
    </w:p>
    <w:p>
      <w:pPr>
        <w:pStyle w:val="Heading2"/>
      </w:pPr>
      <w:r>
        <w:t>3.2. Công thức đề xuất</w:t>
      </w:r>
    </w:p>
    <w:tbl>
      <w:tblPr>
        <w:tblW w:type="auto" w:w="0"/>
        <w:jc w:val="center"/>
        <w:tblLayout w:type="autofit"/>
        <w:tblLook w:firstColumn="1" w:firstRow="1" w:lastColumn="0" w:lastRow="0" w:noHBand="0" w:noVBand="1" w:val="04A0"/>
      </w:tblPr>
      <w:tblGrid>
        <w:gridCol w:w="9936"/>
      </w:tblGrid>
      <w:tr>
        <w:trPr>
          <w:cantSplit/>
        </w:trPr>
        <w:tc>
          <w:tcPr>
            <w:tcW w:type="dxa" w:w="9936"/>
            <w:shd w:fill="F3F6F8"/>
            <w:tcMar>
              <w:top w:w="100" w:type="dxa"/>
              <w:start w:w="140" w:type="dxa"/>
              <w:bottom w:w="100" w:type="dxa"/>
              <w:end w:w="140" w:type="dxa"/>
            </w:tcMar>
          </w:tcPr>
          <w:p>
            <w:pPr>
              <w:keepLines/>
              <w:jc w:val="center"/>
            </w:pPr>
            <w:r>
              <w:rPr>
                <w:rFonts w:ascii="Cambria Math" w:hAnsi="Cambria Math"/>
                <w:sz w:val="23"/>
              </w:rPr>
              <w:t>CCS_i(T) = (1 / C) × Σ[c=1…C] I(t^min_ic ≤ T)</w:t>
            </w:r>
          </w:p>
          <w:p>
            <w:pPr>
              <w:keepLines/>
              <w:jc w:val="right"/>
            </w:pPr>
            <w:r>
              <w:rPr>
                <w:rFonts w:ascii="Times New Roman" w:hAnsi="Times New Roman"/>
                <w:i/>
                <w:color w:val="5A5A5A"/>
                <w:sz w:val="18"/>
              </w:rPr>
              <w:t>Đề xuất 1</w:t>
            </w:r>
          </w:p>
        </w:tc>
      </w:tr>
    </w:tbl>
    <w:p>
      <w:pPr>
        <w:spacing w:after="0"/>
      </w:pP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1944"/>
            <w:shd w:fill="D9EAF0"/>
            <w:tcMar>
              <w:top w:w="80" w:type="dxa"/>
              <w:start w:w="90" w:type="dxa"/>
              <w:bottom w:w="80" w:type="dxa"/>
              <w:end w:w="90" w:type="dxa"/>
            </w:tcMar>
            <w:vAlign w:val="center"/>
          </w:tcPr>
          <w:p>
            <w:pPr>
              <w:jc w:val="center"/>
            </w:pPr>
            <w:r>
              <w:rPr>
                <w:rFonts w:ascii="Times New Roman" w:hAnsi="Times New Roman"/>
                <w:b/>
                <w:sz w:val="20"/>
              </w:rPr>
              <w:t>Ký hiệu</w:t>
            </w:r>
          </w:p>
        </w:tc>
        <w:tc>
          <w:tcPr>
            <w:tcW w:type="dxa" w:w="7344"/>
            <w:shd w:fill="D9EAF0"/>
            <w:tcMar>
              <w:top w:w="80" w:type="dxa"/>
              <w:start w:w="90" w:type="dxa"/>
              <w:bottom w:w="80" w:type="dxa"/>
              <w:end w:w="90" w:type="dxa"/>
            </w:tcMar>
            <w:vAlign w:val="center"/>
          </w:tcPr>
          <w:p>
            <w:pPr>
              <w:jc w:val="center"/>
            </w:pPr>
            <w:r>
              <w:rPr>
                <w:rFonts w:ascii="Times New Roman" w:hAnsi="Times New Roman"/>
                <w:b/>
                <w:sz w:val="20"/>
              </w:rPr>
              <w:t>Ý nghĩa</w:t>
            </w:r>
          </w:p>
        </w:tc>
      </w:tr>
      <w:tr>
        <w:tc>
          <w:tcPr>
            <w:tcW w:type="dxa" w:w="1944"/>
            <w:tcMar>
              <w:top w:w="80" w:type="dxa"/>
              <w:start w:w="90" w:type="dxa"/>
              <w:bottom w:w="80" w:type="dxa"/>
              <w:end w:w="90" w:type="dxa"/>
            </w:tcMar>
            <w:vAlign w:val="center"/>
          </w:tcPr>
          <w:p>
            <w:pPr>
              <w:jc w:val="left"/>
            </w:pPr>
            <w:r>
              <w:rPr>
                <w:rFonts w:ascii="Times New Roman" w:hAnsi="Times New Roman"/>
                <w:sz w:val="20"/>
              </w:rPr>
              <w:t>i</w:t>
            </w:r>
          </w:p>
        </w:tc>
        <w:tc>
          <w:tcPr>
            <w:tcW w:type="dxa" w:w="7344"/>
            <w:tcMar>
              <w:top w:w="80" w:type="dxa"/>
              <w:start w:w="90" w:type="dxa"/>
              <w:bottom w:w="80" w:type="dxa"/>
              <w:end w:w="90" w:type="dxa"/>
            </w:tcMar>
            <w:vAlign w:val="center"/>
          </w:tcPr>
          <w:p>
            <w:pPr>
              <w:jc w:val="left"/>
            </w:pPr>
            <w:r>
              <w:rPr>
                <w:rFonts w:ascii="Times New Roman" w:hAnsi="Times New Roman"/>
                <w:sz w:val="20"/>
              </w:rPr>
              <w:t>Ô lưới xuất phát</w:t>
            </w:r>
          </w:p>
        </w:tc>
      </w:tr>
      <w:tr>
        <w:tc>
          <w:tcPr>
            <w:tcW w:type="dxa" w:w="1944"/>
            <w:tcMar>
              <w:top w:w="80" w:type="dxa"/>
              <w:start w:w="90" w:type="dxa"/>
              <w:bottom w:w="80" w:type="dxa"/>
              <w:end w:w="90" w:type="dxa"/>
            </w:tcMar>
            <w:vAlign w:val="center"/>
          </w:tcPr>
          <w:p>
            <w:pPr>
              <w:jc w:val="left"/>
            </w:pPr>
            <w:r>
              <w:rPr>
                <w:rFonts w:ascii="Times New Roman" w:hAnsi="Times New Roman"/>
                <w:sz w:val="20"/>
              </w:rPr>
              <w:t>c</w:t>
            </w:r>
          </w:p>
        </w:tc>
        <w:tc>
          <w:tcPr>
            <w:tcW w:type="dxa" w:w="7344"/>
            <w:tcMar>
              <w:top w:w="80" w:type="dxa"/>
              <w:start w:w="90" w:type="dxa"/>
              <w:bottom w:w="80" w:type="dxa"/>
              <w:end w:w="90" w:type="dxa"/>
            </w:tcMar>
            <w:vAlign w:val="center"/>
          </w:tcPr>
          <w:p>
            <w:pPr>
              <w:jc w:val="left"/>
            </w:pPr>
            <w:r>
              <w:rPr>
                <w:rFonts w:ascii="Times New Roman" w:hAnsi="Times New Roman"/>
                <w:sz w:val="20"/>
              </w:rPr>
              <w:t>Nhóm tiện ích</w:t>
            </w:r>
          </w:p>
        </w:tc>
      </w:tr>
      <w:tr>
        <w:tc>
          <w:tcPr>
            <w:tcW w:type="dxa" w:w="1944"/>
            <w:tcMar>
              <w:top w:w="80" w:type="dxa"/>
              <w:start w:w="90" w:type="dxa"/>
              <w:bottom w:w="80" w:type="dxa"/>
              <w:end w:w="90" w:type="dxa"/>
            </w:tcMar>
            <w:vAlign w:val="center"/>
          </w:tcPr>
          <w:p>
            <w:pPr>
              <w:jc w:val="left"/>
            </w:pPr>
            <w:r>
              <w:rPr>
                <w:rFonts w:ascii="Times New Roman" w:hAnsi="Times New Roman"/>
                <w:sz w:val="20"/>
              </w:rPr>
              <w:t>C</w:t>
            </w:r>
          </w:p>
        </w:tc>
        <w:tc>
          <w:tcPr>
            <w:tcW w:type="dxa" w:w="7344"/>
            <w:tcMar>
              <w:top w:w="80" w:type="dxa"/>
              <w:start w:w="90" w:type="dxa"/>
              <w:bottom w:w="80" w:type="dxa"/>
              <w:end w:w="90" w:type="dxa"/>
            </w:tcMar>
            <w:vAlign w:val="center"/>
          </w:tcPr>
          <w:p>
            <w:pPr>
              <w:jc w:val="left"/>
            </w:pPr>
            <w:r>
              <w:rPr>
                <w:rFonts w:ascii="Times New Roman" w:hAnsi="Times New Roman"/>
                <w:sz w:val="20"/>
              </w:rPr>
              <w:t>Tổng số nhóm tiện ích neighborhood</w:t>
            </w:r>
          </w:p>
        </w:tc>
      </w:tr>
      <w:tr>
        <w:tc>
          <w:tcPr>
            <w:tcW w:type="dxa" w:w="1944"/>
            <w:tcMar>
              <w:top w:w="80" w:type="dxa"/>
              <w:start w:w="90" w:type="dxa"/>
              <w:bottom w:w="80" w:type="dxa"/>
              <w:end w:w="90" w:type="dxa"/>
            </w:tcMar>
            <w:vAlign w:val="center"/>
          </w:tcPr>
          <w:p>
            <w:pPr>
              <w:jc w:val="left"/>
            </w:pPr>
            <w:r>
              <w:rPr>
                <w:rFonts w:ascii="Times New Roman" w:hAnsi="Times New Roman"/>
                <w:sz w:val="20"/>
              </w:rPr>
              <w:t>t^min_ic</w:t>
            </w:r>
          </w:p>
        </w:tc>
        <w:tc>
          <w:tcPr>
            <w:tcW w:type="dxa" w:w="7344"/>
            <w:tcMar>
              <w:top w:w="80" w:type="dxa"/>
              <w:start w:w="90" w:type="dxa"/>
              <w:bottom w:w="80" w:type="dxa"/>
              <w:end w:w="90" w:type="dxa"/>
            </w:tcMar>
            <w:vAlign w:val="center"/>
          </w:tcPr>
          <w:p>
            <w:pPr>
              <w:jc w:val="left"/>
            </w:pPr>
            <w:r>
              <w:rPr>
                <w:rFonts w:ascii="Times New Roman" w:hAnsi="Times New Roman"/>
                <w:sz w:val="20"/>
              </w:rPr>
              <w:t>Thời gian hoặc khoảng cách mạng lưới đến POI gần nhất của nhóm c</w:t>
            </w:r>
          </w:p>
        </w:tc>
      </w:tr>
      <w:tr>
        <w:tc>
          <w:tcPr>
            <w:tcW w:type="dxa" w:w="1944"/>
            <w:tcMar>
              <w:top w:w="80" w:type="dxa"/>
              <w:start w:w="90" w:type="dxa"/>
              <w:bottom w:w="80" w:type="dxa"/>
              <w:end w:w="90" w:type="dxa"/>
            </w:tcMar>
            <w:vAlign w:val="center"/>
          </w:tcPr>
          <w:p>
            <w:pPr>
              <w:jc w:val="left"/>
            </w:pPr>
            <w:r>
              <w:rPr>
                <w:rFonts w:ascii="Times New Roman" w:hAnsi="Times New Roman"/>
                <w:sz w:val="20"/>
              </w:rPr>
              <w:t>T</w:t>
            </w:r>
          </w:p>
        </w:tc>
        <w:tc>
          <w:tcPr>
            <w:tcW w:type="dxa" w:w="7344"/>
            <w:tcMar>
              <w:top w:w="80" w:type="dxa"/>
              <w:start w:w="90" w:type="dxa"/>
              <w:bottom w:w="80" w:type="dxa"/>
              <w:end w:w="90" w:type="dxa"/>
            </w:tcMar>
            <w:vAlign w:val="center"/>
          </w:tcPr>
          <w:p>
            <w:pPr>
              <w:jc w:val="left"/>
            </w:pPr>
            <w:r>
              <w:rPr>
                <w:rFonts w:ascii="Times New Roman" w:hAnsi="Times New Roman"/>
                <w:sz w:val="20"/>
              </w:rPr>
              <w:t>Ngưỡng neighborhood; đề xuất primary là 800 m network distance</w:t>
            </w:r>
          </w:p>
        </w:tc>
      </w:tr>
      <w:tr>
        <w:tc>
          <w:tcPr>
            <w:tcW w:type="dxa" w:w="1944"/>
            <w:tcMar>
              <w:top w:w="80" w:type="dxa"/>
              <w:start w:w="90" w:type="dxa"/>
              <w:bottom w:w="80" w:type="dxa"/>
              <w:end w:w="90" w:type="dxa"/>
            </w:tcMar>
            <w:vAlign w:val="center"/>
          </w:tcPr>
          <w:p>
            <w:pPr>
              <w:jc w:val="left"/>
            </w:pPr>
            <w:r>
              <w:rPr>
                <w:rFonts w:ascii="Times New Roman" w:hAnsi="Times New Roman"/>
                <w:sz w:val="20"/>
              </w:rPr>
              <w:t>I(·)</w:t>
            </w:r>
          </w:p>
        </w:tc>
        <w:tc>
          <w:tcPr>
            <w:tcW w:type="dxa" w:w="7344"/>
            <w:tcMar>
              <w:top w:w="80" w:type="dxa"/>
              <w:start w:w="90" w:type="dxa"/>
              <w:bottom w:w="80" w:type="dxa"/>
              <w:end w:w="90" w:type="dxa"/>
            </w:tcMar>
            <w:vAlign w:val="center"/>
          </w:tcPr>
          <w:p>
            <w:pPr>
              <w:jc w:val="left"/>
            </w:pPr>
            <w:r>
              <w:rPr>
                <w:rFonts w:ascii="Times New Roman" w:hAnsi="Times New Roman"/>
                <w:sz w:val="20"/>
              </w:rPr>
              <w:t>Hàm chỉ báo: bằng 1 nếu điều kiện đúng, bằng 0 nếu sai</w:t>
            </w:r>
          </w:p>
        </w:tc>
      </w:tr>
    </w:tbl>
    <w:p/>
    <w:p>
      <w:pPr>
        <w:pStyle w:val="BodyText"/>
      </w:pPr>
      <w:r>
        <w:t>CCS nằm trong khoảng từ 0 đến 1. Giá trị 0,75 nghĩa là cell tiếp cận được 75% nhóm dịch vụ trong ngưỡng T. Chỉ số này đo sự đầy đủ theo nhóm, không đo tổng số lượng POI.</w:t>
      </w:r>
    </w:p>
    <w:p>
      <w:pPr>
        <w:pStyle w:val="Heading2"/>
      </w:pPr>
      <w:r>
        <w:t>3.3. Quy tắc trình bày gợi ý</w:t>
      </w:r>
    </w:p>
    <w:p>
      <w:pPr>
        <w:pStyle w:val="ListBullet"/>
      </w:pPr>
      <w:r>
        <w:t>CCS &lt; 0,50: incomplete local access.</w:t>
      </w:r>
    </w:p>
    <w:p>
      <w:pPr>
        <w:pStyle w:val="ListBullet"/>
      </w:pPr>
      <w:r>
        <w:t>0,50 ≤ CCS &lt; 0,75: partial local completeness.</w:t>
      </w:r>
    </w:p>
    <w:p>
      <w:pPr>
        <w:pStyle w:val="ListBullet"/>
      </w:pPr>
      <w:r>
        <w:t>CCS ≥ 0,75: locally complete theo ngưỡng vận hành.</w:t>
      </w:r>
    </w:p>
    <w:p>
      <w:pPr>
        <w:pStyle w:val="BodyText"/>
      </w:pPr>
      <w:r>
        <w:t>Các ngưỡng trên là quy tắc diễn giải do nghiên cứu lựa chọn, không phải ngưỡng hành vi đã được xác nhận tại Hà Nội. Cần báo cáo sensitivity với 0,50; 0,67; 0,75 hoặc sử dụng distribution-based thresholds nếu reviewer yêu cầu.</w:t>
      </w:r>
    </w:p>
    <w:p>
      <w:pPr>
        <w:pStyle w:val="Heading1"/>
      </w:pPr>
      <w:r>
        <w:t>4. NÂNG CẤP 2 — NEIGHBORHOOD PROXIMITY TIME (NPT)</w:t>
      </w:r>
    </w:p>
    <w:p>
      <w:pPr>
        <w:pStyle w:val="Heading2"/>
      </w:pPr>
      <w:r>
        <w:t>4.1. Vai trò</w:t>
      </w:r>
    </w:p>
    <w:p>
      <w:pPr>
        <w:pStyle w:val="BodyText"/>
      </w:pPr>
      <w:r>
        <w:t>NPT là robustness check liên tục cho NAI dạng threshold count. Nó giúp kiểm tra liệu các cell có nhiều POI trong 800 m có thực sự tiếp cận nhanh hay chỉ có nhiều POI tập trung gần rìa catchment.</w:t>
      </w:r>
    </w:p>
    <w:p>
      <w:pPr>
        <w:pStyle w:val="Heading2"/>
      </w:pPr>
      <w:r>
        <w:t>4.2. Công thức theo nhóm</w:t>
      </w:r>
    </w:p>
    <w:tbl>
      <w:tblPr>
        <w:tblW w:type="auto" w:w="0"/>
        <w:jc w:val="center"/>
        <w:tblLayout w:type="autofit"/>
        <w:tblLook w:firstColumn="1" w:firstRow="1" w:lastColumn="0" w:lastRow="0" w:noHBand="0" w:noVBand="1" w:val="04A0"/>
      </w:tblPr>
      <w:tblGrid>
        <w:gridCol w:w="9936"/>
      </w:tblGrid>
      <w:tr>
        <w:trPr>
          <w:cantSplit/>
        </w:trPr>
        <w:tc>
          <w:tcPr>
            <w:tcW w:type="dxa" w:w="9936"/>
            <w:shd w:fill="F3F6F8"/>
            <w:tcMar>
              <w:top w:w="100" w:type="dxa"/>
              <w:start w:w="140" w:type="dxa"/>
              <w:bottom w:w="100" w:type="dxa"/>
              <w:end w:w="140" w:type="dxa"/>
            </w:tcMar>
          </w:tcPr>
          <w:p>
            <w:pPr>
              <w:keepLines/>
              <w:jc w:val="center"/>
            </w:pPr>
            <w:r>
              <w:rPr>
                <w:rFonts w:ascii="Cambria Math" w:hAnsi="Cambria Math"/>
                <w:sz w:val="23"/>
              </w:rPr>
              <w:t>t̄_ic(K) = (1 / K_c) × Σ[r=1…K_c] t_icr</w:t>
            </w:r>
          </w:p>
          <w:p>
            <w:pPr>
              <w:keepLines/>
              <w:jc w:val="right"/>
            </w:pPr>
            <w:r>
              <w:rPr>
                <w:rFonts w:ascii="Times New Roman" w:hAnsi="Times New Roman"/>
                <w:i/>
                <w:color w:val="5A5A5A"/>
                <w:sz w:val="18"/>
              </w:rPr>
              <w:t>Đề xuất 2a</w:t>
            </w:r>
          </w:p>
        </w:tc>
      </w:tr>
    </w:tbl>
    <w:p>
      <w:pPr>
        <w:spacing w:after="0"/>
      </w:pPr>
    </w:p>
    <w:p>
      <w:pPr>
        <w:pStyle w:val="BodyText"/>
      </w:pPr>
      <w:r>
        <w:t>Với mỗi cell i và nhóm c, tính thời gian đi bộ trung bình đến K POI gần nhất. Không nên mặc định K = 20 như Bruno vì quy mô và mật độ POI của pilot nhỏ hơn. Đề xuất kiểm tra K = 1, 3 và 5.</w:t>
      </w:r>
    </w:p>
    <w:p>
      <w:pPr>
        <w:pStyle w:val="Heading2"/>
      </w:pPr>
      <w:r>
        <w:t>4.3. Công thức tổng hợp</w:t>
      </w:r>
    </w:p>
    <w:tbl>
      <w:tblPr>
        <w:tblW w:type="auto" w:w="0"/>
        <w:jc w:val="center"/>
        <w:tblLayout w:type="autofit"/>
        <w:tblLook w:firstColumn="1" w:firstRow="1" w:lastColumn="0" w:lastRow="0" w:noHBand="0" w:noVBand="1" w:val="04A0"/>
      </w:tblPr>
      <w:tblGrid>
        <w:gridCol w:w="9936"/>
      </w:tblGrid>
      <w:tr>
        <w:trPr>
          <w:cantSplit/>
        </w:trPr>
        <w:tc>
          <w:tcPr>
            <w:tcW w:type="dxa" w:w="9936"/>
            <w:shd w:fill="F3F6F8"/>
            <w:tcMar>
              <w:top w:w="100" w:type="dxa"/>
              <w:start w:w="140" w:type="dxa"/>
              <w:bottom w:w="100" w:type="dxa"/>
              <w:end w:w="140" w:type="dxa"/>
            </w:tcMar>
          </w:tcPr>
          <w:p>
            <w:pPr>
              <w:keepLines/>
              <w:jc w:val="center"/>
            </w:pPr>
            <w:r>
              <w:rPr>
                <w:rFonts w:ascii="Cambria Math" w:hAnsi="Cambria Math"/>
                <w:sz w:val="23"/>
              </w:rPr>
              <w:t>NPT_i(K) = (1 / C_i) × Σ[c∈C_i] t̄_ic(K)</w:t>
            </w:r>
          </w:p>
          <w:p>
            <w:pPr>
              <w:keepLines/>
              <w:jc w:val="right"/>
            </w:pPr>
            <w:r>
              <w:rPr>
                <w:rFonts w:ascii="Times New Roman" w:hAnsi="Times New Roman"/>
                <w:i/>
                <w:color w:val="5A5A5A"/>
                <w:sz w:val="18"/>
              </w:rPr>
              <w:t>Đề xuất 2b</w:t>
            </w:r>
          </w:p>
        </w:tc>
      </w:tr>
    </w:tbl>
    <w:p>
      <w:pPr>
        <w:spacing w:after="0"/>
      </w:pPr>
    </w:p>
    <w:p>
      <w:pPr>
        <w:pStyle w:val="BodyText"/>
      </w:pPr>
      <w:r>
        <w:t>C_i là tập nhóm có đủ dữ liệu để tính K POI gần nhất. Nếu một nhóm không có đủ K POI, cần lựa chọn rõ một trong ba cách: giảm K cho nhóm đó, dùng cutoff time, hoặc xem nhóm đó là thiếu dịch vụ. Khuyến nghị dùng cutoff time để việc thiếu category được phản ánh như một bất lợi, thay vì tự động loại khỏi trung bình.</w:t>
      </w:r>
    </w:p>
    <w:tbl>
      <w:tblPr>
        <w:tblW w:type="auto" w:w="0"/>
        <w:jc w:val="center"/>
        <w:tblLook w:firstColumn="1" w:firstRow="1" w:lastColumn="0" w:lastRow="0" w:noHBand="0" w:noVBand="1" w:val="04A0"/>
      </w:tblPr>
      <w:tblGrid>
        <w:gridCol w:w="9936"/>
      </w:tblGrid>
      <w:tr>
        <w:tc>
          <w:tcPr>
            <w:tcW w:type="dxa" w:w="9936"/>
            <w:shd w:fill="EAF2F8"/>
            <w:tcMar>
              <w:top w:w="110" w:type="dxa"/>
              <w:start w:w="140" w:type="dxa"/>
              <w:bottom w:w="110" w:type="dxa"/>
              <w:end w:w="140" w:type="dxa"/>
            </w:tcMar>
          </w:tcPr>
          <w:p>
            <w:r>
              <w:rPr>
                <w:rFonts w:ascii="Times New Roman" w:hAnsi="Times New Roman"/>
                <w:b/>
                <w:sz w:val="22"/>
              </w:rPr>
              <w:t xml:space="preserve">Khuyến nghị triển khai: </w:t>
            </w:r>
            <w:r>
              <w:rPr>
                <w:rFonts w:ascii="Times New Roman" w:hAnsi="Times New Roman"/>
                <w:sz w:val="22"/>
              </w:rPr>
              <w:t>Primary robustness: K = 3. Sensitivity: K = 1 và K = 5. Với category thiếu POI, gán cutoff tương ứng với 20 phút đi bộ hoặc ngưỡng upper-bound đã xác định trước; báo cáo rõ trong Methods.</w:t>
            </w:r>
          </w:p>
        </w:tc>
      </w:tr>
    </w:tbl>
    <w:p>
      <w:pPr>
        <w:pStyle w:val="Heading1"/>
      </w:pPr>
      <w:r>
        <w:t>5. NÂNG CẤP 3 — POPULATION COVERAGE</w:t>
      </w:r>
    </w:p>
    <w:p>
      <w:pPr>
        <w:pStyle w:val="Heading2"/>
      </w:pPr>
      <w:r>
        <w:t>5.1. Bao phủ theo completeness</w:t>
      </w:r>
    </w:p>
    <w:tbl>
      <w:tblPr>
        <w:tblW w:type="auto" w:w="0"/>
        <w:jc w:val="center"/>
        <w:tblLayout w:type="autofit"/>
        <w:tblLook w:firstColumn="1" w:firstRow="1" w:lastColumn="0" w:lastRow="0" w:noHBand="0" w:noVBand="1" w:val="04A0"/>
      </w:tblPr>
      <w:tblGrid>
        <w:gridCol w:w="9936"/>
      </w:tblGrid>
      <w:tr>
        <w:trPr>
          <w:cantSplit/>
        </w:trPr>
        <w:tc>
          <w:tcPr>
            <w:tcW w:type="dxa" w:w="9936"/>
            <w:shd w:fill="F3F6F8"/>
            <w:tcMar>
              <w:top w:w="100" w:type="dxa"/>
              <w:start w:w="140" w:type="dxa"/>
              <w:bottom w:w="100" w:type="dxa"/>
              <w:end w:w="140" w:type="dxa"/>
            </w:tcMar>
          </w:tcPr>
          <w:p>
            <w:pPr>
              <w:keepLines/>
              <w:jc w:val="center"/>
            </w:pPr>
            <w:r>
              <w:rPr>
                <w:rFonts w:ascii="Cambria Math" w:hAnsi="Cambria Math"/>
                <w:sz w:val="23"/>
              </w:rPr>
              <w:t>F_complete(T,q) = [Σ_i p_i × I(CCS_i(T) ≥ q)] / [Σ_i p_i]</w:t>
            </w:r>
          </w:p>
          <w:p>
            <w:pPr>
              <w:keepLines/>
              <w:jc w:val="right"/>
            </w:pPr>
            <w:r>
              <w:rPr>
                <w:rFonts w:ascii="Times New Roman" w:hAnsi="Times New Roman"/>
                <w:i/>
                <w:color w:val="5A5A5A"/>
                <w:sz w:val="18"/>
              </w:rPr>
              <w:t>Đề xuất 3a</w:t>
            </w:r>
          </w:p>
        </w:tc>
      </w:tr>
    </w:tbl>
    <w:p>
      <w:pPr>
        <w:spacing w:after="0"/>
      </w:pPr>
    </w:p>
    <w:p>
      <w:pPr>
        <w:pStyle w:val="BodyText"/>
      </w:pPr>
      <w:r>
        <w:t>Chỉ số trả lời: bao nhiêu phần trăm dân số sống tại các cell đạt ít nhất tỷ lệ q nhóm tiện ích trong ngưỡng T. Ví dụ T = 800 m và q = 0,75.</w:t>
      </w:r>
    </w:p>
    <w:p>
      <w:pPr>
        <w:pStyle w:val="Heading2"/>
      </w:pPr>
      <w:r>
        <w:t>5.2. Bao phủ theo proximity time</w:t>
      </w:r>
    </w:p>
    <w:tbl>
      <w:tblPr>
        <w:tblW w:type="auto" w:w="0"/>
        <w:jc w:val="center"/>
        <w:tblLayout w:type="autofit"/>
        <w:tblLook w:firstColumn="1" w:firstRow="1" w:lastColumn="0" w:lastRow="0" w:noHBand="0" w:noVBand="1" w:val="04A0"/>
      </w:tblPr>
      <w:tblGrid>
        <w:gridCol w:w="9936"/>
      </w:tblGrid>
      <w:tr>
        <w:trPr>
          <w:cantSplit/>
        </w:trPr>
        <w:tc>
          <w:tcPr>
            <w:tcW w:type="dxa" w:w="9936"/>
            <w:shd w:fill="F3F6F8"/>
            <w:tcMar>
              <w:top w:w="100" w:type="dxa"/>
              <w:start w:w="140" w:type="dxa"/>
              <w:bottom w:w="100" w:type="dxa"/>
              <w:end w:w="140" w:type="dxa"/>
            </w:tcMar>
          </w:tcPr>
          <w:p>
            <w:pPr>
              <w:keepLines/>
              <w:jc w:val="center"/>
            </w:pPr>
            <w:r>
              <w:rPr>
                <w:rFonts w:ascii="Cambria Math" w:hAnsi="Cambria Math"/>
                <w:sz w:val="23"/>
              </w:rPr>
              <w:t>F_τ = [Σ_i p_i × I(NPT_i ≤ τ)] / [Σ_i p_i]</w:t>
            </w:r>
          </w:p>
          <w:p>
            <w:pPr>
              <w:keepLines/>
              <w:jc w:val="right"/>
            </w:pPr>
            <w:r>
              <w:rPr>
                <w:rFonts w:ascii="Times New Roman" w:hAnsi="Times New Roman"/>
                <w:i/>
                <w:color w:val="5A5A5A"/>
                <w:sz w:val="18"/>
              </w:rPr>
              <w:t>Đề xuất 3b</w:t>
            </w:r>
          </w:p>
        </w:tc>
      </w:tr>
    </w:tbl>
    <w:p>
      <w:pPr>
        <w:spacing w:after="0"/>
      </w:pPr>
    </w:p>
    <w:p>
      <w:pPr>
        <w:pStyle w:val="BodyText"/>
      </w:pPr>
      <w:r>
        <w:t>Có thể báo cáo F10 và F15. Tuy nhiên, cần gọi đây là operational population coverage, không phải bằng chứng hành vi rằng cư dân thực tế đi bộ đến các dịch vụ.</w:t>
      </w:r>
    </w:p>
    <w:p>
      <w:pPr>
        <w:pStyle w:val="Heading2"/>
      </w:pPr>
      <w:r>
        <w:t>5.3. Bao phủ zero-access</w:t>
      </w:r>
    </w:p>
    <w:tbl>
      <w:tblPr>
        <w:tblW w:type="auto" w:w="0"/>
        <w:jc w:val="center"/>
        <w:tblLayout w:type="autofit"/>
        <w:tblLook w:firstColumn="1" w:firstRow="1" w:lastColumn="0" w:lastRow="0" w:noHBand="0" w:noVBand="1" w:val="04A0"/>
      </w:tblPr>
      <w:tblGrid>
        <w:gridCol w:w="9936"/>
      </w:tblGrid>
      <w:tr>
        <w:trPr>
          <w:cantSplit/>
        </w:trPr>
        <w:tc>
          <w:tcPr>
            <w:tcW w:type="dxa" w:w="9936"/>
            <w:shd w:fill="F3F6F8"/>
            <w:tcMar>
              <w:top w:w="100" w:type="dxa"/>
              <w:start w:w="140" w:type="dxa"/>
              <w:bottom w:w="100" w:type="dxa"/>
              <w:end w:w="140" w:type="dxa"/>
            </w:tcMar>
          </w:tcPr>
          <w:p>
            <w:pPr>
              <w:keepLines/>
              <w:jc w:val="center"/>
            </w:pPr>
            <w:r>
              <w:rPr>
                <w:rFonts w:ascii="Cambria Math" w:hAnsi="Cambria Math"/>
                <w:sz w:val="23"/>
              </w:rPr>
              <w:t>F_zero = [Σ_i p_i × I(NAI_i = 0)] / [Σ_i p_i]</w:t>
            </w:r>
          </w:p>
          <w:p>
            <w:pPr>
              <w:keepLines/>
              <w:jc w:val="right"/>
            </w:pPr>
            <w:r>
              <w:rPr>
                <w:rFonts w:ascii="Times New Roman" w:hAnsi="Times New Roman"/>
                <w:i/>
                <w:color w:val="5A5A5A"/>
                <w:sz w:val="18"/>
              </w:rPr>
              <w:t>Đề xuất 3c</w:t>
            </w:r>
          </w:p>
        </w:tc>
      </w:tr>
    </w:tbl>
    <w:p>
      <w:pPr>
        <w:spacing w:after="0"/>
      </w:pPr>
    </w:p>
    <w:p>
      <w:pPr>
        <w:pStyle w:val="BodyText"/>
      </w:pPr>
      <w:r>
        <w:t>Bài hiện tại đã có kết quả population exposure cho zero-NAI cells. Nên chuẩn hóa thành một công thức chính thức và báo cáo song song theo cell share và population share.</w:t>
      </w:r>
    </w:p>
    <w:p>
      <w:pPr>
        <w:pStyle w:val="Heading1"/>
      </w:pPr>
      <w:r>
        <w:t>6. NÂNG CẤP 4 — BẤT BÌNH ĐẲNG ACCESSIBILITY</w:t>
      </w:r>
    </w:p>
    <w:p>
      <w:pPr>
        <w:pStyle w:val="Heading2"/>
      </w:pPr>
      <w:r>
        <w:t>6.1. Population-weighted mean NPT</w:t>
      </w:r>
    </w:p>
    <w:tbl>
      <w:tblPr>
        <w:tblW w:type="auto" w:w="0"/>
        <w:jc w:val="center"/>
        <w:tblLayout w:type="autofit"/>
        <w:tblLook w:firstColumn="1" w:firstRow="1" w:lastColumn="0" w:lastRow="0" w:noHBand="0" w:noVBand="1" w:val="04A0"/>
      </w:tblPr>
      <w:tblGrid>
        <w:gridCol w:w="9936"/>
      </w:tblGrid>
      <w:tr>
        <w:trPr>
          <w:cantSplit/>
        </w:trPr>
        <w:tc>
          <w:tcPr>
            <w:tcW w:type="dxa" w:w="9936"/>
            <w:shd w:fill="F3F6F8"/>
            <w:tcMar>
              <w:top w:w="100" w:type="dxa"/>
              <w:start w:w="140" w:type="dxa"/>
              <w:bottom w:w="100" w:type="dxa"/>
              <w:end w:w="140" w:type="dxa"/>
            </w:tcMar>
          </w:tcPr>
          <w:p>
            <w:pPr>
              <w:keepLines/>
              <w:jc w:val="center"/>
            </w:pPr>
            <w:r>
              <w:rPr>
                <w:rFonts w:ascii="Cambria Math" w:hAnsi="Cambria Math"/>
                <w:sz w:val="23"/>
              </w:rPr>
              <w:t>μ_NPT = [Σ_i p_i × NPT_i] / [Σ_i p_i]</w:t>
            </w:r>
          </w:p>
          <w:p>
            <w:pPr>
              <w:keepLines/>
              <w:jc w:val="right"/>
            </w:pPr>
            <w:r>
              <w:rPr>
                <w:rFonts w:ascii="Times New Roman" w:hAnsi="Times New Roman"/>
                <w:i/>
                <w:color w:val="5A5A5A"/>
                <w:sz w:val="18"/>
              </w:rPr>
              <w:t>Đề xuất 4a</w:t>
            </w:r>
          </w:p>
        </w:tc>
      </w:tr>
    </w:tbl>
    <w:p>
      <w:pPr>
        <w:spacing w:after="0"/>
      </w:pPr>
    </w:p>
    <w:p>
      <w:pPr>
        <w:pStyle w:val="Heading2"/>
      </w:pPr>
      <w:r>
        <w:t>6.2. Population-weighted Gini của NPT</w:t>
      </w:r>
    </w:p>
    <w:tbl>
      <w:tblPr>
        <w:tblW w:type="auto" w:w="0"/>
        <w:jc w:val="center"/>
        <w:tblLayout w:type="autofit"/>
        <w:tblLook w:firstColumn="1" w:firstRow="1" w:lastColumn="0" w:lastRow="0" w:noHBand="0" w:noVBand="1" w:val="04A0"/>
      </w:tblPr>
      <w:tblGrid>
        <w:gridCol w:w="9936"/>
      </w:tblGrid>
      <w:tr>
        <w:trPr>
          <w:cantSplit/>
        </w:trPr>
        <w:tc>
          <w:tcPr>
            <w:tcW w:type="dxa" w:w="9936"/>
            <w:shd w:fill="F3F6F8"/>
            <w:tcMar>
              <w:top w:w="100" w:type="dxa"/>
              <w:start w:w="140" w:type="dxa"/>
              <w:bottom w:w="100" w:type="dxa"/>
              <w:end w:w="140" w:type="dxa"/>
            </w:tcMar>
          </w:tcPr>
          <w:p>
            <w:pPr>
              <w:keepLines/>
              <w:jc w:val="center"/>
            </w:pPr>
            <w:r>
              <w:rPr>
                <w:rFonts w:ascii="Cambria Math" w:hAnsi="Cambria Math"/>
                <w:sz w:val="23"/>
              </w:rPr>
              <w:t>G_NPT = [Σ_i Σ_j p_i p_j |NPT_i − NPT_j|] / [2(Σ_i p_i)^2 μ_NPT]</w:t>
            </w:r>
          </w:p>
          <w:p>
            <w:pPr>
              <w:keepLines/>
              <w:jc w:val="right"/>
            </w:pPr>
            <w:r>
              <w:rPr>
                <w:rFonts w:ascii="Times New Roman" w:hAnsi="Times New Roman"/>
                <w:i/>
                <w:color w:val="5A5A5A"/>
                <w:sz w:val="18"/>
              </w:rPr>
              <w:t>Đề xuất 4b</w:t>
            </w:r>
          </w:p>
        </w:tc>
      </w:tr>
    </w:tbl>
    <w:p>
      <w:pPr>
        <w:spacing w:after="0"/>
      </w:pPr>
    </w:p>
    <w:p>
      <w:pPr>
        <w:pStyle w:val="BodyText"/>
      </w:pPr>
      <w:r>
        <w:t>Gini cao cho thấy gánh nặng thời gian tiếp cận phân bố không đều. Tuy nhiên, Gini phải được đọc cùng μ_NPT: một khu vực có thể có Gini thấp vì tất cả cư dân đều có accessibility kém tương tự nhau.</w:t>
      </w:r>
    </w:p>
    <w:tbl>
      <w:tblPr>
        <w:tblW w:type="auto" w:w="0"/>
        <w:jc w:val="center"/>
        <w:tblLook w:firstColumn="1" w:firstRow="1" w:lastColumn="0" w:lastRow="0" w:noHBand="0" w:noVBand="1" w:val="04A0"/>
      </w:tblPr>
      <w:tblGrid>
        <w:gridCol w:w="9936"/>
      </w:tblGrid>
      <w:tr>
        <w:tc>
          <w:tcPr>
            <w:tcW w:type="dxa" w:w="9936"/>
            <w:shd w:fill="FCE4D6"/>
            <w:tcMar>
              <w:top w:w="110" w:type="dxa"/>
              <w:start w:w="140" w:type="dxa"/>
              <w:bottom w:w="110" w:type="dxa"/>
              <w:end w:w="140" w:type="dxa"/>
            </w:tcMar>
          </w:tcPr>
          <w:p>
            <w:r>
              <w:rPr>
                <w:rFonts w:ascii="Times New Roman" w:hAnsi="Times New Roman"/>
                <w:b/>
                <w:sz w:val="22"/>
              </w:rPr>
              <w:t xml:space="preserve">Điểm cần tránh: </w:t>
            </w:r>
            <w:r>
              <w:rPr>
                <w:rFonts w:ascii="Times New Roman" w:hAnsi="Times New Roman"/>
                <w:sz w:val="22"/>
              </w:rPr>
              <w:t>Không dùng Gini như bằng chứng duy nhất về công bằng. Luôn báo cáo cùng mean/median, population coverage, zero-access share và bản đồ phân bố.</w:t>
            </w:r>
          </w:p>
        </w:tc>
      </w:tr>
    </w:tbl>
    <w:p>
      <w:pPr>
        <w:pStyle w:val="Heading1"/>
      </w:pPr>
      <w:r>
        <w:t>7. NÂNG CẤP 5 — PHÂN LOẠI LOCAL ACCESS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944"/>
            <w:shd w:fill="D9EAF0"/>
            <w:tcMar>
              <w:top w:w="80" w:type="dxa"/>
              <w:start w:w="90" w:type="dxa"/>
              <w:bottom w:w="80" w:type="dxa"/>
              <w:end w:w="90" w:type="dxa"/>
            </w:tcMar>
            <w:vAlign w:val="center"/>
          </w:tcPr>
          <w:p>
            <w:pPr>
              <w:jc w:val="center"/>
            </w:pPr>
            <w:r>
              <w:rPr>
                <w:rFonts w:ascii="Times New Roman" w:hAnsi="Times New Roman"/>
                <w:b/>
                <w:sz w:val="20"/>
              </w:rPr>
              <w:t>Loại</w:t>
            </w:r>
          </w:p>
        </w:tc>
        <w:tc>
          <w:tcPr>
            <w:tcW w:type="dxa" w:w="3528"/>
            <w:shd w:fill="D9EAF0"/>
            <w:tcMar>
              <w:top w:w="80" w:type="dxa"/>
              <w:start w:w="90" w:type="dxa"/>
              <w:bottom w:w="80" w:type="dxa"/>
              <w:end w:w="90" w:type="dxa"/>
            </w:tcMar>
            <w:vAlign w:val="center"/>
          </w:tcPr>
          <w:p>
            <w:pPr>
              <w:jc w:val="center"/>
            </w:pPr>
            <w:r>
              <w:rPr>
                <w:rFonts w:ascii="Times New Roman" w:hAnsi="Times New Roman"/>
                <w:b/>
                <w:sz w:val="20"/>
              </w:rPr>
              <w:t>Quy tắc vận hành gợi ý</w:t>
            </w:r>
          </w:p>
        </w:tc>
        <w:tc>
          <w:tcPr>
            <w:tcW w:type="dxa" w:w="3960"/>
            <w:shd w:fill="D9EAF0"/>
            <w:tcMar>
              <w:top w:w="80" w:type="dxa"/>
              <w:start w:w="90" w:type="dxa"/>
              <w:bottom w:w="80" w:type="dxa"/>
              <w:end w:w="90" w:type="dxa"/>
            </w:tcMar>
            <w:vAlign w:val="center"/>
          </w:tcPr>
          <w:p>
            <w:pPr>
              <w:jc w:val="center"/>
            </w:pPr>
            <w:r>
              <w:rPr>
                <w:rFonts w:ascii="Times New Roman" w:hAnsi="Times New Roman"/>
                <w:b/>
                <w:sz w:val="20"/>
              </w:rPr>
              <w:t>Ý nghĩa</w:t>
            </w:r>
          </w:p>
        </w:tc>
      </w:tr>
      <w:tr>
        <w:tc>
          <w:tcPr>
            <w:tcW w:type="dxa" w:w="1944"/>
            <w:tcMar>
              <w:top w:w="80" w:type="dxa"/>
              <w:start w:w="90" w:type="dxa"/>
              <w:bottom w:w="80" w:type="dxa"/>
              <w:end w:w="90" w:type="dxa"/>
            </w:tcMar>
            <w:vAlign w:val="center"/>
          </w:tcPr>
          <w:p>
            <w:pPr>
              <w:jc w:val="left"/>
            </w:pPr>
            <w:r>
              <w:rPr>
                <w:rFonts w:ascii="Times New Roman" w:hAnsi="Times New Roman"/>
                <w:sz w:val="20"/>
              </w:rPr>
              <w:t>Zero access</w:t>
            </w:r>
          </w:p>
        </w:tc>
        <w:tc>
          <w:tcPr>
            <w:tcW w:type="dxa" w:w="3528"/>
            <w:tcMar>
              <w:top w:w="80" w:type="dxa"/>
              <w:start w:w="90" w:type="dxa"/>
              <w:bottom w:w="80" w:type="dxa"/>
              <w:end w:w="90" w:type="dxa"/>
            </w:tcMar>
            <w:vAlign w:val="center"/>
          </w:tcPr>
          <w:p>
            <w:pPr>
              <w:jc w:val="left"/>
            </w:pPr>
            <w:r>
              <w:rPr>
                <w:rFonts w:ascii="Times New Roman" w:hAnsi="Times New Roman"/>
                <w:sz w:val="20"/>
              </w:rPr>
              <w:t>NAI_i = 0</w:t>
            </w:r>
          </w:p>
        </w:tc>
        <w:tc>
          <w:tcPr>
            <w:tcW w:type="dxa" w:w="3960"/>
            <w:tcMar>
              <w:top w:w="80" w:type="dxa"/>
              <w:start w:w="90" w:type="dxa"/>
              <w:bottom w:w="80" w:type="dxa"/>
              <w:end w:w="90" w:type="dxa"/>
            </w:tcMar>
            <w:vAlign w:val="center"/>
          </w:tcPr>
          <w:p>
            <w:pPr>
              <w:jc w:val="left"/>
            </w:pPr>
            <w:r>
              <w:rPr>
                <w:rFonts w:ascii="Times New Roman" w:hAnsi="Times New Roman"/>
                <w:sz w:val="20"/>
              </w:rPr>
              <w:t>Không có POI đủ điều kiện trong catchment</w:t>
            </w:r>
          </w:p>
        </w:tc>
      </w:tr>
      <w:tr>
        <w:tc>
          <w:tcPr>
            <w:tcW w:type="dxa" w:w="1944"/>
            <w:tcMar>
              <w:top w:w="80" w:type="dxa"/>
              <w:start w:w="90" w:type="dxa"/>
              <w:bottom w:w="80" w:type="dxa"/>
              <w:end w:w="90" w:type="dxa"/>
            </w:tcMar>
            <w:vAlign w:val="center"/>
          </w:tcPr>
          <w:p>
            <w:pPr>
              <w:jc w:val="left"/>
            </w:pPr>
            <w:r>
              <w:rPr>
                <w:rFonts w:ascii="Times New Roman" w:hAnsi="Times New Roman"/>
                <w:sz w:val="20"/>
              </w:rPr>
              <w:t>Low access</w:t>
            </w:r>
          </w:p>
        </w:tc>
        <w:tc>
          <w:tcPr>
            <w:tcW w:type="dxa" w:w="3528"/>
            <w:tcMar>
              <w:top w:w="80" w:type="dxa"/>
              <w:start w:w="90" w:type="dxa"/>
              <w:bottom w:w="80" w:type="dxa"/>
              <w:end w:w="90" w:type="dxa"/>
            </w:tcMar>
            <w:vAlign w:val="center"/>
          </w:tcPr>
          <w:p>
            <w:pPr>
              <w:jc w:val="left"/>
            </w:pPr>
            <w:r>
              <w:rPr>
                <w:rFonts w:ascii="Times New Roman" w:hAnsi="Times New Roman"/>
                <w:sz w:val="20"/>
              </w:rPr>
              <w:t>NAI_i &gt; 0 nhưng NAI_norm hoặc NPT nằm trong nhóm bất lợi</w:t>
            </w:r>
          </w:p>
        </w:tc>
        <w:tc>
          <w:tcPr>
            <w:tcW w:type="dxa" w:w="3960"/>
            <w:tcMar>
              <w:top w:w="80" w:type="dxa"/>
              <w:start w:w="90" w:type="dxa"/>
              <w:bottom w:w="80" w:type="dxa"/>
              <w:end w:w="90" w:type="dxa"/>
            </w:tcMar>
            <w:vAlign w:val="center"/>
          </w:tcPr>
          <w:p>
            <w:pPr>
              <w:jc w:val="left"/>
            </w:pPr>
            <w:r>
              <w:rPr>
                <w:rFonts w:ascii="Times New Roman" w:hAnsi="Times New Roman"/>
                <w:sz w:val="20"/>
              </w:rPr>
              <w:t>Có tiếp cận nhưng mức cung hoặc proximity yếu</w:t>
            </w:r>
          </w:p>
        </w:tc>
      </w:tr>
      <w:tr>
        <w:tc>
          <w:tcPr>
            <w:tcW w:type="dxa" w:w="1944"/>
            <w:tcMar>
              <w:top w:w="80" w:type="dxa"/>
              <w:start w:w="90" w:type="dxa"/>
              <w:bottom w:w="80" w:type="dxa"/>
              <w:end w:w="90" w:type="dxa"/>
            </w:tcMar>
            <w:vAlign w:val="center"/>
          </w:tcPr>
          <w:p>
            <w:pPr>
              <w:jc w:val="left"/>
            </w:pPr>
            <w:r>
              <w:rPr>
                <w:rFonts w:ascii="Times New Roman" w:hAnsi="Times New Roman"/>
                <w:sz w:val="20"/>
              </w:rPr>
              <w:t>Incomplete access</w:t>
            </w:r>
          </w:p>
        </w:tc>
        <w:tc>
          <w:tcPr>
            <w:tcW w:type="dxa" w:w="3528"/>
            <w:tcMar>
              <w:top w:w="80" w:type="dxa"/>
              <w:start w:w="90" w:type="dxa"/>
              <w:bottom w:w="80" w:type="dxa"/>
              <w:end w:w="90" w:type="dxa"/>
            </w:tcMar>
            <w:vAlign w:val="center"/>
          </w:tcPr>
          <w:p>
            <w:pPr>
              <w:jc w:val="left"/>
            </w:pPr>
            <w:r>
              <w:rPr>
                <w:rFonts w:ascii="Times New Roman" w:hAnsi="Times New Roman"/>
                <w:sz w:val="20"/>
              </w:rPr>
              <w:t>CCS_i &lt; 0,50 hoặc ngưỡng lựa chọn</w:t>
            </w:r>
          </w:p>
        </w:tc>
        <w:tc>
          <w:tcPr>
            <w:tcW w:type="dxa" w:w="3960"/>
            <w:tcMar>
              <w:top w:w="80" w:type="dxa"/>
              <w:start w:w="90" w:type="dxa"/>
              <w:bottom w:w="80" w:type="dxa"/>
              <w:end w:w="90" w:type="dxa"/>
            </w:tcMar>
            <w:vAlign w:val="center"/>
          </w:tcPr>
          <w:p>
            <w:pPr>
              <w:jc w:val="left"/>
            </w:pPr>
            <w:r>
              <w:rPr>
                <w:rFonts w:ascii="Times New Roman" w:hAnsi="Times New Roman"/>
                <w:sz w:val="20"/>
              </w:rPr>
              <w:t>Thiếu nhiều nhóm dịch vụ thiết yếu</w:t>
            </w:r>
          </w:p>
        </w:tc>
      </w:tr>
      <w:tr>
        <w:tc>
          <w:tcPr>
            <w:tcW w:type="dxa" w:w="1944"/>
            <w:tcMar>
              <w:top w:w="80" w:type="dxa"/>
              <w:start w:w="90" w:type="dxa"/>
              <w:bottom w:w="80" w:type="dxa"/>
              <w:end w:w="90" w:type="dxa"/>
            </w:tcMar>
            <w:vAlign w:val="center"/>
          </w:tcPr>
          <w:p>
            <w:pPr>
              <w:jc w:val="left"/>
            </w:pPr>
            <w:r>
              <w:rPr>
                <w:rFonts w:ascii="Times New Roman" w:hAnsi="Times New Roman"/>
                <w:sz w:val="20"/>
              </w:rPr>
              <w:t>Abundant but incomplete</w:t>
            </w:r>
          </w:p>
        </w:tc>
        <w:tc>
          <w:tcPr>
            <w:tcW w:type="dxa" w:w="3528"/>
            <w:tcMar>
              <w:top w:w="80" w:type="dxa"/>
              <w:start w:w="90" w:type="dxa"/>
              <w:bottom w:w="80" w:type="dxa"/>
              <w:end w:w="90" w:type="dxa"/>
            </w:tcMar>
            <w:vAlign w:val="center"/>
          </w:tcPr>
          <w:p>
            <w:pPr>
              <w:jc w:val="left"/>
            </w:pPr>
            <w:r>
              <w:rPr>
                <w:rFonts w:ascii="Times New Roman" w:hAnsi="Times New Roman"/>
                <w:sz w:val="20"/>
              </w:rPr>
              <w:t>NAI cao, CCS thấp</w:t>
            </w:r>
          </w:p>
        </w:tc>
        <w:tc>
          <w:tcPr>
            <w:tcW w:type="dxa" w:w="3960"/>
            <w:tcMar>
              <w:top w:w="80" w:type="dxa"/>
              <w:start w:w="90" w:type="dxa"/>
              <w:bottom w:w="80" w:type="dxa"/>
              <w:end w:w="90" w:type="dxa"/>
            </w:tcMar>
            <w:vAlign w:val="center"/>
          </w:tcPr>
          <w:p>
            <w:pPr>
              <w:jc w:val="left"/>
            </w:pPr>
            <w:r>
              <w:rPr>
                <w:rFonts w:ascii="Times New Roman" w:hAnsi="Times New Roman"/>
                <w:sz w:val="20"/>
              </w:rPr>
              <w:t>Nhiều POI nhưng bị tập trung vào ít category</w:t>
            </w:r>
          </w:p>
        </w:tc>
      </w:tr>
      <w:tr>
        <w:tc>
          <w:tcPr>
            <w:tcW w:type="dxa" w:w="1944"/>
            <w:tcMar>
              <w:top w:w="80" w:type="dxa"/>
              <w:start w:w="90" w:type="dxa"/>
              <w:bottom w:w="80" w:type="dxa"/>
              <w:end w:w="90" w:type="dxa"/>
            </w:tcMar>
            <w:vAlign w:val="center"/>
          </w:tcPr>
          <w:p>
            <w:pPr>
              <w:jc w:val="left"/>
            </w:pPr>
            <w:r>
              <w:rPr>
                <w:rFonts w:ascii="Times New Roman" w:hAnsi="Times New Roman"/>
                <w:sz w:val="20"/>
              </w:rPr>
              <w:t>Locally complete</w:t>
            </w:r>
          </w:p>
        </w:tc>
        <w:tc>
          <w:tcPr>
            <w:tcW w:type="dxa" w:w="3528"/>
            <w:tcMar>
              <w:top w:w="80" w:type="dxa"/>
              <w:start w:w="90" w:type="dxa"/>
              <w:bottom w:w="80" w:type="dxa"/>
              <w:end w:w="90" w:type="dxa"/>
            </w:tcMar>
            <w:vAlign w:val="center"/>
          </w:tcPr>
          <w:p>
            <w:pPr>
              <w:jc w:val="left"/>
            </w:pPr>
            <w:r>
              <w:rPr>
                <w:rFonts w:ascii="Times New Roman" w:hAnsi="Times New Roman"/>
                <w:sz w:val="20"/>
              </w:rPr>
              <w:t>CCS_i ≥ 0,75 và NPT_i ≤ ngưỡng</w:t>
            </w:r>
          </w:p>
        </w:tc>
        <w:tc>
          <w:tcPr>
            <w:tcW w:type="dxa" w:w="3960"/>
            <w:tcMar>
              <w:top w:w="80" w:type="dxa"/>
              <w:start w:w="90" w:type="dxa"/>
              <w:bottom w:w="80" w:type="dxa"/>
              <w:end w:w="90" w:type="dxa"/>
            </w:tcMar>
            <w:vAlign w:val="center"/>
          </w:tcPr>
          <w:p>
            <w:pPr>
              <w:jc w:val="left"/>
            </w:pPr>
            <w:r>
              <w:rPr>
                <w:rFonts w:ascii="Times New Roman" w:hAnsi="Times New Roman"/>
                <w:sz w:val="20"/>
              </w:rPr>
              <w:t>Có cả độ đầy đủ và proximity tốt</w:t>
            </w:r>
          </w:p>
        </w:tc>
      </w:tr>
    </w:tbl>
    <w:p/>
    <w:p>
      <w:pPr>
        <w:pStyle w:val="BodyText"/>
      </w:pPr>
      <w:r>
        <w:t>Phân loại này nên dùng để diễn giải local accessibility, không thay thế typology Integrated Capability / Fragmented Capability / Transit-Dependent / Motorcycle Lock-in của framework chính.</w:t>
      </w:r>
    </w:p>
    <w:p>
      <w:pPr>
        <w:pStyle w:val="Heading1"/>
      </w:pPr>
      <w:r>
        <w:t>8. KIỂM TRA ĐỘ VỮNG VÀ VALIDATION</w:t>
      </w:r>
    </w:p>
    <w:p>
      <w:pPr>
        <w:pStyle w:val="Heading2"/>
      </w:pPr>
      <w:r>
        <w:t>8.1. Convergent validity giữa NAI và NPT</w:t>
      </w:r>
    </w:p>
    <w:tbl>
      <w:tblPr>
        <w:tblW w:type="auto" w:w="0"/>
        <w:jc w:val="center"/>
        <w:tblLayout w:type="autofit"/>
        <w:tblLook w:firstColumn="1" w:firstRow="1" w:lastColumn="0" w:lastRow="0" w:noHBand="0" w:noVBand="1" w:val="04A0"/>
      </w:tblPr>
      <w:tblGrid>
        <w:gridCol w:w="9936"/>
      </w:tblGrid>
      <w:tr>
        <w:trPr>
          <w:cantSplit/>
        </w:trPr>
        <w:tc>
          <w:tcPr>
            <w:tcW w:type="dxa" w:w="9936"/>
            <w:shd w:fill="F3F6F8"/>
            <w:tcMar>
              <w:top w:w="100" w:type="dxa"/>
              <w:start w:w="140" w:type="dxa"/>
              <w:bottom w:w="100" w:type="dxa"/>
              <w:end w:w="140" w:type="dxa"/>
            </w:tcMar>
          </w:tcPr>
          <w:p>
            <w:pPr>
              <w:keepLines/>
              <w:jc w:val="center"/>
            </w:pPr>
            <w:r>
              <w:rPr>
                <w:rFonts w:ascii="Cambria Math" w:hAnsi="Cambria Math"/>
                <w:sz w:val="23"/>
              </w:rPr>
              <w:t>ρ_NAI,NPT = SpearmanCorr(NAI_i, NPT_i)</w:t>
            </w:r>
          </w:p>
          <w:p>
            <w:pPr>
              <w:keepLines/>
              <w:jc w:val="right"/>
            </w:pPr>
            <w:r>
              <w:rPr>
                <w:rFonts w:ascii="Times New Roman" w:hAnsi="Times New Roman"/>
                <w:i/>
                <w:color w:val="5A5A5A"/>
                <w:sz w:val="18"/>
              </w:rPr>
              <w:t>Kiểm tra 1</w:t>
            </w:r>
          </w:p>
        </w:tc>
      </w:tr>
    </w:tbl>
    <w:p>
      <w:pPr>
        <w:spacing w:after="0"/>
      </w:pPr>
    </w:p>
    <w:p>
      <w:pPr>
        <w:pStyle w:val="BodyText"/>
      </w:pPr>
      <w:r>
        <w:t>Kỳ vọng dấu âm: NAI cao thường đi cùng NPT thấp. Tuy nhiên, tương quan không cần hoàn hảo vì hai chỉ số đo abundance và proximity theo cách khác nhau.</w:t>
      </w:r>
    </w:p>
    <w:p>
      <w:pPr>
        <w:pStyle w:val="Heading2"/>
      </w:pPr>
      <w:r>
        <w:t>8.2. Sensitivity theo K</w:t>
      </w:r>
    </w:p>
    <w:p>
      <w:pPr>
        <w:pStyle w:val="ListBullet"/>
      </w:pPr>
      <w:r>
        <w:t>Tính NPT với K = 1, 3, 5.</w:t>
      </w:r>
    </w:p>
    <w:p>
      <w:pPr>
        <w:pStyle w:val="ListBullet"/>
      </w:pPr>
      <w:r>
        <w:t>So sánh rank correlation giữa các cấu hình.</w:t>
      </w:r>
    </w:p>
    <w:p>
      <w:pPr>
        <w:pStyle w:val="ListBullet"/>
      </w:pPr>
      <w:r>
        <w:t>So sánh cell classification hoặc typology agreement nếu NPT được dùng thay NAI trong một robustness run.</w:t>
      </w:r>
    </w:p>
    <w:p>
      <w:pPr>
        <w:pStyle w:val="Heading2"/>
      </w:pPr>
      <w:r>
        <w:t>8.3. Sensitivity theo threshold T</w:t>
      </w:r>
    </w:p>
    <w:p>
      <w:pPr>
        <w:pStyle w:val="ListBullet"/>
      </w:pPr>
      <w:r>
        <w:t>Giữ các threshold 600, 800, 1.000 và 1.200 m đã có trong pipeline.</w:t>
      </w:r>
    </w:p>
    <w:p>
      <w:pPr>
        <w:pStyle w:val="ListBullet"/>
      </w:pPr>
      <w:r>
        <w:t>Bổ sung đường threshold-response cho zero-access population share, CCS coverage và F_complete.</w:t>
      </w:r>
    </w:p>
    <w:p>
      <w:pPr>
        <w:pStyle w:val="ListBullet"/>
      </w:pPr>
      <w:r>
        <w:t>Không chỉ báo cáo Cohen’s kappa; cần cho thấy absolute levels thay đổi như thế nào.</w:t>
      </w:r>
    </w:p>
    <w:p>
      <w:pPr>
        <w:pStyle w:val="Heading2"/>
      </w:pPr>
      <w:r>
        <w:t>8.4. Robustness thay thế NAI trong SMCI</w:t>
      </w:r>
    </w:p>
    <w:p>
      <w:pPr>
        <w:pStyle w:val="BodyText"/>
      </w:pPr>
      <w:r>
        <w:t>Một kiểm tra mạnh nhưng chỉ nên đặt trong supplementary là xây dựng phiên bản SMCI sử dụng proximity score thay cho NAI count. Để giữ hướng “càng cao càng tốt”, chuyển NPT thành normalized proximity benefit trước khi nhân.</w:t>
      </w:r>
    </w:p>
    <w:tbl>
      <w:tblPr>
        <w:tblW w:type="auto" w:w="0"/>
        <w:jc w:val="center"/>
        <w:tblLayout w:type="autofit"/>
        <w:tblLook w:firstColumn="1" w:firstRow="1" w:lastColumn="0" w:lastRow="0" w:noHBand="0" w:noVBand="1" w:val="04A0"/>
      </w:tblPr>
      <w:tblGrid>
        <w:gridCol w:w="9936"/>
      </w:tblGrid>
      <w:tr>
        <w:trPr>
          <w:cantSplit/>
        </w:trPr>
        <w:tc>
          <w:tcPr>
            <w:tcW w:type="dxa" w:w="9936"/>
            <w:shd w:fill="F3F6F8"/>
            <w:tcMar>
              <w:top w:w="100" w:type="dxa"/>
              <w:start w:w="140" w:type="dxa"/>
              <w:bottom w:w="100" w:type="dxa"/>
              <w:end w:w="140" w:type="dxa"/>
            </w:tcMar>
          </w:tcPr>
          <w:p>
            <w:pPr>
              <w:keepLines/>
              <w:jc w:val="center"/>
            </w:pPr>
            <w:r>
              <w:rPr>
                <w:rFonts w:ascii="Cambria Math" w:hAnsi="Cambria Math"/>
                <w:sz w:val="23"/>
              </w:rPr>
              <w:t>NPT_benefit,i = 1 − MinMax(NPT_i)</w:t>
            </w:r>
          </w:p>
          <w:p>
            <w:pPr>
              <w:keepLines/>
              <w:jc w:val="right"/>
            </w:pPr>
            <w:r>
              <w:rPr>
                <w:rFonts w:ascii="Times New Roman" w:hAnsi="Times New Roman"/>
                <w:i/>
                <w:color w:val="5A5A5A"/>
                <w:sz w:val="18"/>
              </w:rPr>
              <w:t>Kiểm tra 2a</w:t>
            </w:r>
          </w:p>
        </w:tc>
      </w:tr>
    </w:tbl>
    <w:p>
      <w:pPr>
        <w:spacing w:after="0"/>
      </w:pPr>
    </w:p>
    <w:tbl>
      <w:tblPr>
        <w:tblW w:type="auto" w:w="0"/>
        <w:jc w:val="center"/>
        <w:tblLayout w:type="autofit"/>
        <w:tblLook w:firstColumn="1" w:firstRow="1" w:lastColumn="0" w:lastRow="0" w:noHBand="0" w:noVBand="1" w:val="04A0"/>
      </w:tblPr>
      <w:tblGrid>
        <w:gridCol w:w="9936"/>
      </w:tblGrid>
      <w:tr>
        <w:trPr>
          <w:cantSplit/>
        </w:trPr>
        <w:tc>
          <w:tcPr>
            <w:tcW w:type="dxa" w:w="9936"/>
            <w:shd w:fill="F3F6F8"/>
            <w:tcMar>
              <w:top w:w="100" w:type="dxa"/>
              <w:start w:w="140" w:type="dxa"/>
              <w:bottom w:w="100" w:type="dxa"/>
              <w:end w:w="140" w:type="dxa"/>
            </w:tcMar>
          </w:tcPr>
          <w:p>
            <w:pPr>
              <w:keepLines/>
              <w:jc w:val="center"/>
            </w:pPr>
            <w:r>
              <w:rPr>
                <w:rFonts w:ascii="Cambria Math" w:hAnsi="Cambria Math"/>
                <w:sz w:val="23"/>
              </w:rPr>
              <w:t>SMCI_NPT,i = NPT_benefit,i × MAI_norm,i × RAC_norm,i</w:t>
            </w:r>
          </w:p>
          <w:p>
            <w:pPr>
              <w:keepLines/>
              <w:jc w:val="right"/>
            </w:pPr>
            <w:r>
              <w:rPr>
                <w:rFonts w:ascii="Times New Roman" w:hAnsi="Times New Roman"/>
                <w:i/>
                <w:color w:val="5A5A5A"/>
                <w:sz w:val="18"/>
              </w:rPr>
              <w:t>Kiểm tra 2b</w:t>
            </w:r>
          </w:p>
        </w:tc>
      </w:tr>
    </w:tbl>
    <w:p>
      <w:pPr>
        <w:spacing w:after="0"/>
      </w:pPr>
    </w:p>
    <w:p>
      <w:pPr>
        <w:pStyle w:val="BodyText"/>
      </w:pPr>
      <w:r>
        <w:t>So sánh ranking, typology agreement và boundary discontinuity giữa SMCI primary và SMCI_NPT. Nếu kết quả chính vẫn ổn định, lập luận local proximity không đồng nghĩa với sustainable mobility capability sẽ mạnh hơn đáng kể.</w:t>
      </w:r>
    </w:p>
    <w:p>
      <w:pPr>
        <w:pStyle w:val="Heading1"/>
      </w:pPr>
      <w:r>
        <w:t>9. KỊCH BẢN CAN THIỆP POI — TÙY CHỌN</w:t>
      </w:r>
    </w:p>
    <w:p>
      <w:pPr>
        <w:pStyle w:val="BodyText"/>
      </w:pPr>
      <w:r>
        <w:t>Có thể học từ Bruno ở việc chuyển từ đo lường sang can thiệp, nhưng không nên tuyên bố “optimal” nếu chỉ dùng thuật toán greedy. Kịch bản phù hợp với bài hiện tại là chọn các vị trí dịch vụ mục tiêu để giảm population exposure trong zero-access built cells.</w:t>
      </w:r>
    </w:p>
    <w:tbl>
      <w:tblPr>
        <w:tblW w:type="auto" w:w="0"/>
        <w:jc w:val="center"/>
        <w:tblLayout w:type="autofit"/>
        <w:tblLook w:firstColumn="1" w:firstRow="1" w:lastColumn="0" w:lastRow="0" w:noHBand="0" w:noVBand="1" w:val="04A0"/>
      </w:tblPr>
      <w:tblGrid>
        <w:gridCol w:w="9936"/>
      </w:tblGrid>
      <w:tr>
        <w:trPr>
          <w:cantSplit/>
        </w:trPr>
        <w:tc>
          <w:tcPr>
            <w:tcW w:type="dxa" w:w="9936"/>
            <w:shd w:fill="F3F6F8"/>
            <w:tcMar>
              <w:top w:w="100" w:type="dxa"/>
              <w:start w:w="140" w:type="dxa"/>
              <w:bottom w:w="100" w:type="dxa"/>
              <w:end w:w="140" w:type="dxa"/>
            </w:tcMar>
          </w:tcPr>
          <w:p>
            <w:pPr>
              <w:keepLines/>
              <w:jc w:val="center"/>
            </w:pPr>
            <w:r>
              <w:rPr>
                <w:rFonts w:ascii="Cambria Math" w:hAnsi="Cambria Math"/>
                <w:sz w:val="23"/>
              </w:rPr>
              <w:t>x* = argmax_x Σ_i p_i × I(cell i được bao phủ nếu đặt dịch vụ tại x)</w:t>
            </w:r>
          </w:p>
          <w:p>
            <w:pPr>
              <w:keepLines/>
              <w:jc w:val="right"/>
            </w:pPr>
            <w:r>
              <w:rPr>
                <w:rFonts w:ascii="Times New Roman" w:hAnsi="Times New Roman"/>
                <w:i/>
                <w:color w:val="5A5A5A"/>
                <w:sz w:val="18"/>
              </w:rPr>
              <w:t>Đề xuất 5</w:t>
            </w:r>
          </w:p>
        </w:tc>
      </w:tr>
    </w:tbl>
    <w:p>
      <w:pPr>
        <w:spacing w:after="0"/>
      </w:pPr>
    </w:p>
    <w:p>
      <w:pPr>
        <w:pStyle w:val="ListNumber"/>
      </w:pPr>
      <w:r>
        <w:t>Xác định candidate sites trong built cells hoặc parcels có thể phát triển.</w:t>
      </w:r>
    </w:p>
    <w:p>
      <w:pPr>
        <w:pStyle w:val="ListNumber"/>
      </w:pPr>
      <w:r>
        <w:t>Tính dân số zero-access có thể được bao phủ trong 800 m từ mỗi candidate site.</w:t>
      </w:r>
    </w:p>
    <w:p>
      <w:pPr>
        <w:pStyle w:val="ListNumber"/>
      </w:pPr>
      <w:r>
        <w:t>Chọn vị trí có marginal population coverage lớn nhất.</w:t>
      </w:r>
    </w:p>
    <w:p>
      <w:pPr>
        <w:pStyle w:val="ListNumber"/>
      </w:pPr>
      <w:r>
        <w:t>Cập nhật trạng thái coverage và lặp lại với 5, 10 hoặc 20 vị trí.</w:t>
      </w:r>
    </w:p>
    <w:p>
      <w:pPr>
        <w:pStyle w:val="ListNumber"/>
      </w:pPr>
      <w:r>
        <w:t>Tính lại NAI, CCS, population coverage và SMCI.</w:t>
      </w:r>
    </w:p>
    <w:tbl>
      <w:tblPr>
        <w:tblW w:type="auto" w:w="0"/>
        <w:jc w:val="center"/>
        <w:tblLook w:firstColumn="1" w:firstRow="1" w:lastColumn="0" w:lastRow="0" w:noHBand="0" w:noVBand="1" w:val="04A0"/>
      </w:tblPr>
      <w:tblGrid>
        <w:gridCol w:w="9936"/>
      </w:tblGrid>
      <w:tr>
        <w:tc>
          <w:tcPr>
            <w:tcW w:type="dxa" w:w="9936"/>
            <w:shd w:fill="FFF2CC"/>
            <w:tcMar>
              <w:top w:w="110" w:type="dxa"/>
              <w:start w:w="140" w:type="dxa"/>
              <w:bottom w:w="110" w:type="dxa"/>
              <w:end w:w="140" w:type="dxa"/>
            </w:tcMar>
          </w:tcPr>
          <w:p>
            <w:r>
              <w:rPr>
                <w:rFonts w:ascii="Times New Roman" w:hAnsi="Times New Roman"/>
                <w:b/>
                <w:sz w:val="22"/>
              </w:rPr>
              <w:t xml:space="preserve">Cách gọi phù hợp: </w:t>
            </w:r>
            <w:r>
              <w:rPr>
                <w:rFonts w:ascii="Times New Roman" w:hAnsi="Times New Roman"/>
                <w:sz w:val="22"/>
              </w:rPr>
              <w:t>Targeted allocation scenario, greedy coverage scenario hoặc heuristic intervention. Không gọi là global optimum nếu chưa giải bài toán location-allocation có objective và constraints đầy đủ.</w:t>
            </w:r>
          </w:p>
        </w:tc>
      </w:tr>
    </w:tbl>
    <w:p>
      <w:pPr>
        <w:pStyle w:val="Heading1"/>
      </w:pPr>
      <w:r>
        <w:t>10. TÍCH HỢP VÀO CẤU TRÚC BÀI BÁO</w:t>
      </w:r>
    </w:p>
    <w:p>
      <w:pPr>
        <w:pStyle w:val="Heading2"/>
      </w:pPr>
      <w:r>
        <w:t>10.1. Phần nên đưa vào bài chính</w:t>
      </w:r>
    </w:p>
    <w:p>
      <w:pPr>
        <w:pStyle w:val="ListBullet"/>
      </w:pPr>
      <w:r>
        <w:t>Một đoạn giải thích NAI đo abundance, còn CCS và NPT dùng để kiểm tra completeness và proximity.</w:t>
      </w:r>
    </w:p>
    <w:p>
      <w:pPr>
        <w:pStyle w:val="ListBullet"/>
      </w:pPr>
      <w:r>
        <w:t>Bảng population coverage: zero access, locally complete, F10/F15 hoặc F_complete.</w:t>
      </w:r>
    </w:p>
    <w:p>
      <w:pPr>
        <w:pStyle w:val="ListBullet"/>
      </w:pPr>
      <w:r>
        <w:t>Một inequality statistic đi cùng mean/median và population exposure.</w:t>
      </w:r>
    </w:p>
    <w:p>
      <w:pPr>
        <w:pStyle w:val="ListBullet"/>
      </w:pPr>
      <w:r>
        <w:t>Một câu tóm tắt rằng kết quả chính không phụ thuộc hoàn toàn vào cách operationalize local access.</w:t>
      </w:r>
    </w:p>
    <w:p>
      <w:pPr>
        <w:pStyle w:val="Heading2"/>
      </w:pPr>
      <w:r>
        <w:t>10.2. Phần nên đưa vào Supplementary Information</w:t>
      </w:r>
    </w:p>
    <w:p>
      <w:pPr>
        <w:pStyle w:val="ListBullet"/>
      </w:pPr>
      <w:r>
        <w:t>Toàn bộ công thức NPT, quy tắc category thiếu POI và sensitivity K = 1, 3, 5.</w:t>
      </w:r>
    </w:p>
    <w:p>
      <w:pPr>
        <w:pStyle w:val="ListBullet"/>
      </w:pPr>
      <w:r>
        <w:t>Threshold-response curves 600–1.200 m.</w:t>
      </w:r>
    </w:p>
    <w:p>
      <w:pPr>
        <w:pStyle w:val="ListBullet"/>
      </w:pPr>
      <w:r>
        <w:t>SMCI_NPT robustness và typology agreement.</w:t>
      </w:r>
    </w:p>
    <w:p>
      <w:pPr>
        <w:pStyle w:val="ListBullet"/>
      </w:pPr>
      <w:r>
        <w:t>Bản đồ CCS và NPT.</w:t>
      </w:r>
    </w:p>
    <w:p>
      <w:pPr>
        <w:pStyle w:val="Heading2"/>
      </w:pPr>
      <w:r>
        <w:t>10.3. Phần nên để cho bài tiếp theo</w:t>
      </w:r>
    </w:p>
    <w:p>
      <w:pPr>
        <w:pStyle w:val="ListBullet"/>
      </w:pPr>
      <w:r>
        <w:t>POI relocation/allocation optimization đầy đủ.</w:t>
      </w:r>
    </w:p>
    <w:p>
      <w:pPr>
        <w:pStyle w:val="ListBullet"/>
      </w:pPr>
      <w:r>
        <w:t>Multiple green megaproject comparison.</w:t>
      </w:r>
    </w:p>
    <w:p>
      <w:pPr>
        <w:pStyle w:val="ListBullet"/>
      </w:pPr>
      <w:r>
        <w:t>Validation bằng travel diary, revealed behavior hoặc observed mode shares.</w:t>
      </w:r>
    </w:p>
    <w:p>
      <w:pPr>
        <w:pStyle w:val="Heading1"/>
      </w:pPr>
      <w:r>
        <w:t>11. BẢNG ĐẦU RA NÊN TẠO</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656"/>
            <w:shd w:fill="D9EAF0"/>
            <w:tcMar>
              <w:top w:w="80" w:type="dxa"/>
              <w:start w:w="90" w:type="dxa"/>
              <w:bottom w:w="80" w:type="dxa"/>
              <w:end w:w="90" w:type="dxa"/>
            </w:tcMar>
            <w:vAlign w:val="center"/>
          </w:tcPr>
          <w:p>
            <w:pPr>
              <w:jc w:val="center"/>
            </w:pPr>
            <w:r>
              <w:rPr>
                <w:rFonts w:ascii="Times New Roman" w:hAnsi="Times New Roman"/>
                <w:b/>
                <w:sz w:val="20"/>
              </w:rPr>
              <w:t>Đầu ra</w:t>
            </w:r>
          </w:p>
        </w:tc>
        <w:tc>
          <w:tcPr>
            <w:tcW w:type="dxa" w:w="4608"/>
            <w:shd w:fill="D9EAF0"/>
            <w:tcMar>
              <w:top w:w="80" w:type="dxa"/>
              <w:start w:w="90" w:type="dxa"/>
              <w:bottom w:w="80" w:type="dxa"/>
              <w:end w:w="90" w:type="dxa"/>
            </w:tcMar>
            <w:vAlign w:val="center"/>
          </w:tcPr>
          <w:p>
            <w:pPr>
              <w:jc w:val="center"/>
            </w:pPr>
            <w:r>
              <w:rPr>
                <w:rFonts w:ascii="Times New Roman" w:hAnsi="Times New Roman"/>
                <w:b/>
                <w:sz w:val="20"/>
              </w:rPr>
              <w:t>Nội dung</w:t>
            </w:r>
          </w:p>
        </w:tc>
        <w:tc>
          <w:tcPr>
            <w:tcW w:type="dxa" w:w="3168"/>
            <w:shd w:fill="D9EAF0"/>
            <w:tcMar>
              <w:top w:w="80" w:type="dxa"/>
              <w:start w:w="90" w:type="dxa"/>
              <w:bottom w:w="80" w:type="dxa"/>
              <w:end w:w="90" w:type="dxa"/>
            </w:tcMar>
            <w:vAlign w:val="center"/>
          </w:tcPr>
          <w:p>
            <w:pPr>
              <w:jc w:val="center"/>
            </w:pPr>
            <w:r>
              <w:rPr>
                <w:rFonts w:ascii="Times New Roman" w:hAnsi="Times New Roman"/>
                <w:b/>
                <w:sz w:val="20"/>
              </w:rPr>
              <w:t>Mục đích</w:t>
            </w:r>
          </w:p>
        </w:tc>
      </w:tr>
      <w:tr>
        <w:tc>
          <w:tcPr>
            <w:tcW w:type="dxa" w:w="1656"/>
            <w:tcMar>
              <w:top w:w="80" w:type="dxa"/>
              <w:start w:w="90" w:type="dxa"/>
              <w:bottom w:w="80" w:type="dxa"/>
              <w:end w:w="90" w:type="dxa"/>
            </w:tcMar>
            <w:vAlign w:val="center"/>
          </w:tcPr>
          <w:p>
            <w:pPr>
              <w:jc w:val="left"/>
            </w:pPr>
            <w:r>
              <w:rPr>
                <w:rFonts w:ascii="Times New Roman" w:hAnsi="Times New Roman"/>
                <w:sz w:val="20"/>
              </w:rPr>
              <w:t>Table A</w:t>
            </w:r>
          </w:p>
        </w:tc>
        <w:tc>
          <w:tcPr>
            <w:tcW w:type="dxa" w:w="4608"/>
            <w:tcMar>
              <w:top w:w="80" w:type="dxa"/>
              <w:start w:w="90" w:type="dxa"/>
              <w:bottom w:w="80" w:type="dxa"/>
              <w:end w:w="90" w:type="dxa"/>
            </w:tcMar>
            <w:vAlign w:val="center"/>
          </w:tcPr>
          <w:p>
            <w:pPr>
              <w:jc w:val="left"/>
            </w:pPr>
            <w:r>
              <w:rPr>
                <w:rFonts w:ascii="Times New Roman" w:hAnsi="Times New Roman"/>
                <w:sz w:val="20"/>
              </w:rPr>
              <w:t>NAI, CCS, NPT, zero share và population-weighted summaries</w:t>
            </w:r>
          </w:p>
        </w:tc>
        <w:tc>
          <w:tcPr>
            <w:tcW w:type="dxa" w:w="3168"/>
            <w:tcMar>
              <w:top w:w="80" w:type="dxa"/>
              <w:start w:w="90" w:type="dxa"/>
              <w:bottom w:w="80" w:type="dxa"/>
              <w:end w:w="90" w:type="dxa"/>
            </w:tcMar>
            <w:vAlign w:val="center"/>
          </w:tcPr>
          <w:p>
            <w:pPr>
              <w:jc w:val="left"/>
            </w:pPr>
            <w:r>
              <w:rPr>
                <w:rFonts w:ascii="Times New Roman" w:hAnsi="Times New Roman"/>
                <w:sz w:val="20"/>
              </w:rPr>
              <w:t>Tóm tắt local accessibility</w:t>
            </w:r>
          </w:p>
        </w:tc>
      </w:tr>
      <w:tr>
        <w:tc>
          <w:tcPr>
            <w:tcW w:type="dxa" w:w="1656"/>
            <w:tcMar>
              <w:top w:w="80" w:type="dxa"/>
              <w:start w:w="90" w:type="dxa"/>
              <w:bottom w:w="80" w:type="dxa"/>
              <w:end w:w="90" w:type="dxa"/>
            </w:tcMar>
            <w:vAlign w:val="center"/>
          </w:tcPr>
          <w:p>
            <w:pPr>
              <w:jc w:val="left"/>
            </w:pPr>
            <w:r>
              <w:rPr>
                <w:rFonts w:ascii="Times New Roman" w:hAnsi="Times New Roman"/>
                <w:sz w:val="20"/>
              </w:rPr>
              <w:t>Table B</w:t>
            </w:r>
          </w:p>
        </w:tc>
        <w:tc>
          <w:tcPr>
            <w:tcW w:type="dxa" w:w="4608"/>
            <w:tcMar>
              <w:top w:w="80" w:type="dxa"/>
              <w:start w:w="90" w:type="dxa"/>
              <w:bottom w:w="80" w:type="dxa"/>
              <w:end w:w="90" w:type="dxa"/>
            </w:tcMar>
            <w:vAlign w:val="center"/>
          </w:tcPr>
          <w:p>
            <w:pPr>
              <w:jc w:val="left"/>
            </w:pPr>
            <w:r>
              <w:rPr>
                <w:rFonts w:ascii="Times New Roman" w:hAnsi="Times New Roman"/>
                <w:sz w:val="20"/>
              </w:rPr>
              <w:t>F_complete theo T và q</w:t>
            </w:r>
          </w:p>
        </w:tc>
        <w:tc>
          <w:tcPr>
            <w:tcW w:type="dxa" w:w="3168"/>
            <w:tcMar>
              <w:top w:w="80" w:type="dxa"/>
              <w:start w:w="90" w:type="dxa"/>
              <w:bottom w:w="80" w:type="dxa"/>
              <w:end w:w="90" w:type="dxa"/>
            </w:tcMar>
            <w:vAlign w:val="center"/>
          </w:tcPr>
          <w:p>
            <w:pPr>
              <w:jc w:val="left"/>
            </w:pPr>
            <w:r>
              <w:rPr>
                <w:rFonts w:ascii="Times New Roman" w:hAnsi="Times New Roman"/>
                <w:sz w:val="20"/>
              </w:rPr>
              <w:t>Cho thấy độ nhạy coverage</w:t>
            </w:r>
          </w:p>
        </w:tc>
      </w:tr>
      <w:tr>
        <w:tc>
          <w:tcPr>
            <w:tcW w:type="dxa" w:w="1656"/>
            <w:tcMar>
              <w:top w:w="80" w:type="dxa"/>
              <w:start w:w="90" w:type="dxa"/>
              <w:bottom w:w="80" w:type="dxa"/>
              <w:end w:w="90" w:type="dxa"/>
            </w:tcMar>
            <w:vAlign w:val="center"/>
          </w:tcPr>
          <w:p>
            <w:pPr>
              <w:jc w:val="left"/>
            </w:pPr>
            <w:r>
              <w:rPr>
                <w:rFonts w:ascii="Times New Roman" w:hAnsi="Times New Roman"/>
                <w:sz w:val="20"/>
              </w:rPr>
              <w:t>Table C</w:t>
            </w:r>
          </w:p>
        </w:tc>
        <w:tc>
          <w:tcPr>
            <w:tcW w:type="dxa" w:w="4608"/>
            <w:tcMar>
              <w:top w:w="80" w:type="dxa"/>
              <w:start w:w="90" w:type="dxa"/>
              <w:bottom w:w="80" w:type="dxa"/>
              <w:end w:w="90" w:type="dxa"/>
            </w:tcMar>
            <w:vAlign w:val="center"/>
          </w:tcPr>
          <w:p>
            <w:pPr>
              <w:jc w:val="left"/>
            </w:pPr>
            <w:r>
              <w:rPr>
                <w:rFonts w:ascii="Times New Roman" w:hAnsi="Times New Roman"/>
                <w:sz w:val="20"/>
              </w:rPr>
              <w:t>G_NPT, mean, median và percentiles</w:t>
            </w:r>
          </w:p>
        </w:tc>
        <w:tc>
          <w:tcPr>
            <w:tcW w:type="dxa" w:w="3168"/>
            <w:tcMar>
              <w:top w:w="80" w:type="dxa"/>
              <w:start w:w="90" w:type="dxa"/>
              <w:bottom w:w="80" w:type="dxa"/>
              <w:end w:w="90" w:type="dxa"/>
            </w:tcMar>
            <w:vAlign w:val="center"/>
          </w:tcPr>
          <w:p>
            <w:pPr>
              <w:jc w:val="left"/>
            </w:pPr>
            <w:r>
              <w:rPr>
                <w:rFonts w:ascii="Times New Roman" w:hAnsi="Times New Roman"/>
                <w:sz w:val="20"/>
              </w:rPr>
              <w:t>Đánh giá inequality</w:t>
            </w:r>
          </w:p>
        </w:tc>
      </w:tr>
      <w:tr>
        <w:tc>
          <w:tcPr>
            <w:tcW w:type="dxa" w:w="1656"/>
            <w:tcMar>
              <w:top w:w="80" w:type="dxa"/>
              <w:start w:w="90" w:type="dxa"/>
              <w:bottom w:w="80" w:type="dxa"/>
              <w:end w:w="90" w:type="dxa"/>
            </w:tcMar>
            <w:vAlign w:val="center"/>
          </w:tcPr>
          <w:p>
            <w:pPr>
              <w:jc w:val="left"/>
            </w:pPr>
            <w:r>
              <w:rPr>
                <w:rFonts w:ascii="Times New Roman" w:hAnsi="Times New Roman"/>
                <w:sz w:val="20"/>
              </w:rPr>
              <w:t>Table D</w:t>
            </w:r>
          </w:p>
        </w:tc>
        <w:tc>
          <w:tcPr>
            <w:tcW w:type="dxa" w:w="4608"/>
            <w:tcMar>
              <w:top w:w="80" w:type="dxa"/>
              <w:start w:w="90" w:type="dxa"/>
              <w:bottom w:w="80" w:type="dxa"/>
              <w:end w:w="90" w:type="dxa"/>
            </w:tcMar>
            <w:vAlign w:val="center"/>
          </w:tcPr>
          <w:p>
            <w:pPr>
              <w:jc w:val="left"/>
            </w:pPr>
            <w:r>
              <w:rPr>
                <w:rFonts w:ascii="Times New Roman" w:hAnsi="Times New Roman"/>
                <w:sz w:val="20"/>
              </w:rPr>
              <w:t>Spearman correlations và typology kappa</w:t>
            </w:r>
          </w:p>
        </w:tc>
        <w:tc>
          <w:tcPr>
            <w:tcW w:type="dxa" w:w="3168"/>
            <w:tcMar>
              <w:top w:w="80" w:type="dxa"/>
              <w:start w:w="90" w:type="dxa"/>
              <w:bottom w:w="80" w:type="dxa"/>
              <w:end w:w="90" w:type="dxa"/>
            </w:tcMar>
            <w:vAlign w:val="center"/>
          </w:tcPr>
          <w:p>
            <w:pPr>
              <w:jc w:val="left"/>
            </w:pPr>
            <w:r>
              <w:rPr>
                <w:rFonts w:ascii="Times New Roman" w:hAnsi="Times New Roman"/>
                <w:sz w:val="20"/>
              </w:rPr>
              <w:t>Validation/robustness</w:t>
            </w:r>
          </w:p>
        </w:tc>
      </w:tr>
      <w:tr>
        <w:tc>
          <w:tcPr>
            <w:tcW w:type="dxa" w:w="1656"/>
            <w:tcMar>
              <w:top w:w="80" w:type="dxa"/>
              <w:start w:w="90" w:type="dxa"/>
              <w:bottom w:w="80" w:type="dxa"/>
              <w:end w:w="90" w:type="dxa"/>
            </w:tcMar>
            <w:vAlign w:val="center"/>
          </w:tcPr>
          <w:p>
            <w:pPr>
              <w:jc w:val="left"/>
            </w:pPr>
            <w:r>
              <w:rPr>
                <w:rFonts w:ascii="Times New Roman" w:hAnsi="Times New Roman"/>
                <w:sz w:val="20"/>
              </w:rPr>
              <w:t>Figure A</w:t>
            </w:r>
          </w:p>
        </w:tc>
        <w:tc>
          <w:tcPr>
            <w:tcW w:type="dxa" w:w="4608"/>
            <w:tcMar>
              <w:top w:w="80" w:type="dxa"/>
              <w:start w:w="90" w:type="dxa"/>
              <w:bottom w:w="80" w:type="dxa"/>
              <w:end w:w="90" w:type="dxa"/>
            </w:tcMar>
            <w:vAlign w:val="center"/>
          </w:tcPr>
          <w:p>
            <w:pPr>
              <w:jc w:val="left"/>
            </w:pPr>
            <w:r>
              <w:rPr>
                <w:rFonts w:ascii="Times New Roman" w:hAnsi="Times New Roman"/>
                <w:sz w:val="20"/>
              </w:rPr>
              <w:t>Bản đồ NAI–CCS–NPT đặt cạnh nhau</w:t>
            </w:r>
          </w:p>
        </w:tc>
        <w:tc>
          <w:tcPr>
            <w:tcW w:type="dxa" w:w="3168"/>
            <w:tcMar>
              <w:top w:w="80" w:type="dxa"/>
              <w:start w:w="90" w:type="dxa"/>
              <w:bottom w:w="80" w:type="dxa"/>
              <w:end w:w="90" w:type="dxa"/>
            </w:tcMar>
            <w:vAlign w:val="center"/>
          </w:tcPr>
          <w:p>
            <w:pPr>
              <w:jc w:val="left"/>
            </w:pPr>
            <w:r>
              <w:rPr>
                <w:rFonts w:ascii="Times New Roman" w:hAnsi="Times New Roman"/>
                <w:sz w:val="20"/>
              </w:rPr>
              <w:t>So sánh abundance, completeness và proximity</w:t>
            </w:r>
          </w:p>
        </w:tc>
      </w:tr>
      <w:tr>
        <w:tc>
          <w:tcPr>
            <w:tcW w:type="dxa" w:w="1656"/>
            <w:tcMar>
              <w:top w:w="80" w:type="dxa"/>
              <w:start w:w="90" w:type="dxa"/>
              <w:bottom w:w="80" w:type="dxa"/>
              <w:end w:w="90" w:type="dxa"/>
            </w:tcMar>
            <w:vAlign w:val="center"/>
          </w:tcPr>
          <w:p>
            <w:pPr>
              <w:jc w:val="left"/>
            </w:pPr>
            <w:r>
              <w:rPr>
                <w:rFonts w:ascii="Times New Roman" w:hAnsi="Times New Roman"/>
                <w:sz w:val="20"/>
              </w:rPr>
              <w:t>Figure B</w:t>
            </w:r>
          </w:p>
        </w:tc>
        <w:tc>
          <w:tcPr>
            <w:tcW w:type="dxa" w:w="4608"/>
            <w:tcMar>
              <w:top w:w="80" w:type="dxa"/>
              <w:start w:w="90" w:type="dxa"/>
              <w:bottom w:w="80" w:type="dxa"/>
              <w:end w:w="90" w:type="dxa"/>
            </w:tcMar>
            <w:vAlign w:val="center"/>
          </w:tcPr>
          <w:p>
            <w:pPr>
              <w:jc w:val="left"/>
            </w:pPr>
            <w:r>
              <w:rPr>
                <w:rFonts w:ascii="Times New Roman" w:hAnsi="Times New Roman"/>
                <w:sz w:val="20"/>
              </w:rPr>
              <w:t>Threshold-response curves</w:t>
            </w:r>
          </w:p>
        </w:tc>
        <w:tc>
          <w:tcPr>
            <w:tcW w:type="dxa" w:w="3168"/>
            <w:tcMar>
              <w:top w:w="80" w:type="dxa"/>
              <w:start w:w="90" w:type="dxa"/>
              <w:bottom w:w="80" w:type="dxa"/>
              <w:end w:w="90" w:type="dxa"/>
            </w:tcMar>
            <w:vAlign w:val="center"/>
          </w:tcPr>
          <w:p>
            <w:pPr>
              <w:jc w:val="left"/>
            </w:pPr>
            <w:r>
              <w:rPr>
                <w:rFonts w:ascii="Times New Roman" w:hAnsi="Times New Roman"/>
                <w:sz w:val="20"/>
              </w:rPr>
              <w:t>Cho thấy 600–1.200 m ảnh hưởng ra sao</w:t>
            </w:r>
          </w:p>
        </w:tc>
      </w:tr>
      <w:tr>
        <w:tc>
          <w:tcPr>
            <w:tcW w:type="dxa" w:w="1656"/>
            <w:tcMar>
              <w:top w:w="80" w:type="dxa"/>
              <w:start w:w="90" w:type="dxa"/>
              <w:bottom w:w="80" w:type="dxa"/>
              <w:end w:w="90" w:type="dxa"/>
            </w:tcMar>
            <w:vAlign w:val="center"/>
          </w:tcPr>
          <w:p>
            <w:pPr>
              <w:jc w:val="left"/>
            </w:pPr>
            <w:r>
              <w:rPr>
                <w:rFonts w:ascii="Times New Roman" w:hAnsi="Times New Roman"/>
                <w:sz w:val="20"/>
              </w:rPr>
              <w:t>Figure C</w:t>
            </w:r>
          </w:p>
        </w:tc>
        <w:tc>
          <w:tcPr>
            <w:tcW w:type="dxa" w:w="4608"/>
            <w:tcMar>
              <w:top w:w="80" w:type="dxa"/>
              <w:start w:w="90" w:type="dxa"/>
              <w:bottom w:w="80" w:type="dxa"/>
              <w:end w:w="90" w:type="dxa"/>
            </w:tcMar>
            <w:vAlign w:val="center"/>
          </w:tcPr>
          <w:p>
            <w:pPr>
              <w:jc w:val="left"/>
            </w:pPr>
            <w:r>
              <w:rPr>
                <w:rFonts w:ascii="Times New Roman" w:hAnsi="Times New Roman"/>
                <w:sz w:val="20"/>
              </w:rPr>
              <w:t>Boundary profiles theo NAI/CCS/NPT/SMCI</w:t>
            </w:r>
          </w:p>
        </w:tc>
        <w:tc>
          <w:tcPr>
            <w:tcW w:type="dxa" w:w="3168"/>
            <w:tcMar>
              <w:top w:w="80" w:type="dxa"/>
              <w:start w:w="90" w:type="dxa"/>
              <w:bottom w:w="80" w:type="dxa"/>
              <w:end w:w="90" w:type="dxa"/>
            </w:tcMar>
            <w:vAlign w:val="center"/>
          </w:tcPr>
          <w:p>
            <w:pPr>
              <w:jc w:val="left"/>
            </w:pPr>
            <w:r>
              <w:rPr>
                <w:rFonts w:ascii="Times New Roman" w:hAnsi="Times New Roman"/>
                <w:sz w:val="20"/>
              </w:rPr>
              <w:t>Kiểm tra discontinuity có nhất quán hay không</w:t>
            </w:r>
          </w:p>
        </w:tc>
      </w:tr>
    </w:tbl>
    <w:p/>
    <w:p>
      <w:pPr>
        <w:pStyle w:val="Heading1"/>
      </w:pPr>
      <w:r>
        <w:t>12. QUY TRÌNH TRIỂN KHAI KỸ THUẬT</w:t>
      </w:r>
    </w:p>
    <w:p>
      <w:pPr>
        <w:pStyle w:val="ListNumber"/>
      </w:pPr>
      <w:r>
        <w:t>Chuẩn hóa taxonomy của neighborhood POIs và gán mỗi POI vào một category chính.</w:t>
      </w:r>
    </w:p>
    <w:p>
      <w:pPr>
        <w:pStyle w:val="ListNumber"/>
      </w:pPr>
      <w:r>
        <w:t>Tạo origin–POI walking travel-time matrix cho toàn bộ 462 cells.</w:t>
      </w:r>
    </w:p>
    <w:p>
      <w:pPr>
        <w:pStyle w:val="ListNumber"/>
      </w:pPr>
      <w:r>
        <w:t>Tính NAI hiện tại tại 600/800/1.000/1.200 m.</w:t>
      </w:r>
    </w:p>
    <w:p>
      <w:pPr>
        <w:pStyle w:val="ListNumber"/>
      </w:pPr>
      <w:r>
        <w:t>Tính CCS tại cùng các threshold.</w:t>
      </w:r>
    </w:p>
    <w:p>
      <w:pPr>
        <w:pStyle w:val="ListNumber"/>
      </w:pPr>
      <w:r>
        <w:t>Tính NPT cho K = 1, 3, 5 và quy tắc cutoff thống nhất.</w:t>
      </w:r>
    </w:p>
    <w:p>
      <w:pPr>
        <w:pStyle w:val="ListNumber"/>
      </w:pPr>
      <w:r>
        <w:t>Kết hợp WorldPop tại origin để tính population coverage và Gini.</w:t>
      </w:r>
    </w:p>
    <w:p>
      <w:pPr>
        <w:pStyle w:val="ListNumber"/>
      </w:pPr>
      <w:r>
        <w:t>Chạy correlation/sensitivity và lập các bảng robustness.</w:t>
      </w:r>
    </w:p>
    <w:p>
      <w:pPr>
        <w:pStyle w:val="ListNumber"/>
      </w:pPr>
      <w:r>
        <w:t>Chạy SMCI_NPT supplementary specification.</w:t>
      </w:r>
    </w:p>
    <w:p>
      <w:pPr>
        <w:pStyle w:val="ListNumber"/>
      </w:pPr>
      <w:r>
        <w:t>Kiểm tra boundary discontinuity bằng NAI, CCS, NPT và SMCI.</w:t>
      </w:r>
    </w:p>
    <w:p>
      <w:pPr>
        <w:pStyle w:val="ListNumber"/>
      </w:pPr>
      <w:r>
        <w:t>Viết lại Methods, Results và Discussion theo nguyên tắc primary vs robustness rõ ràng.</w:t>
      </w:r>
    </w:p>
    <w:p>
      <w:pPr>
        <w:pStyle w:val="Heading1"/>
      </w:pPr>
      <w:r>
        <w:t>13. CÁC TUYÊN BỐ CÓ THỂ VÀ KHÔNG NÊN SỬ DỤNG</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752"/>
            <w:shd w:fill="D9EAF0"/>
            <w:tcMar>
              <w:top w:w="80" w:type="dxa"/>
              <w:start w:w="90" w:type="dxa"/>
              <w:bottom w:w="80" w:type="dxa"/>
              <w:end w:w="90" w:type="dxa"/>
            </w:tcMar>
            <w:vAlign w:val="center"/>
          </w:tcPr>
          <w:p>
            <w:pPr>
              <w:jc w:val="center"/>
            </w:pPr>
            <w:r>
              <w:rPr>
                <w:rFonts w:ascii="Times New Roman" w:hAnsi="Times New Roman"/>
                <w:b/>
                <w:sz w:val="20"/>
              </w:rPr>
              <w:t>Nên sử dụng</w:t>
            </w:r>
          </w:p>
        </w:tc>
        <w:tc>
          <w:tcPr>
            <w:tcW w:type="dxa" w:w="4752"/>
            <w:shd w:fill="D9EAF0"/>
            <w:tcMar>
              <w:top w:w="80" w:type="dxa"/>
              <w:start w:w="90" w:type="dxa"/>
              <w:bottom w:w="80" w:type="dxa"/>
              <w:end w:w="90" w:type="dxa"/>
            </w:tcMar>
            <w:vAlign w:val="center"/>
          </w:tcPr>
          <w:p>
            <w:pPr>
              <w:jc w:val="center"/>
            </w:pPr>
            <w:r>
              <w:rPr>
                <w:rFonts w:ascii="Times New Roman" w:hAnsi="Times New Roman"/>
                <w:b/>
                <w:sz w:val="20"/>
              </w:rPr>
              <w:t>Không nên sử dụng</w:t>
            </w:r>
          </w:p>
        </w:tc>
      </w:tr>
      <w:tr>
        <w:tc>
          <w:tcPr>
            <w:tcW w:type="dxa" w:w="4752"/>
            <w:tcMar>
              <w:top w:w="80" w:type="dxa"/>
              <w:start w:w="90" w:type="dxa"/>
              <w:bottom w:w="80" w:type="dxa"/>
              <w:end w:w="90" w:type="dxa"/>
            </w:tcMar>
            <w:vAlign w:val="center"/>
          </w:tcPr>
          <w:p>
            <w:pPr>
              <w:jc w:val="left"/>
            </w:pPr>
            <w:r>
              <w:rPr>
                <w:rFonts w:ascii="Times New Roman" w:hAnsi="Times New Roman"/>
                <w:sz w:val="20"/>
              </w:rPr>
              <w:t>“NAI is an established threshold-count measure of neighborhood opportunity access.”</w:t>
            </w:r>
          </w:p>
        </w:tc>
        <w:tc>
          <w:tcPr>
            <w:tcW w:type="dxa" w:w="4752"/>
            <w:tcMar>
              <w:top w:w="80" w:type="dxa"/>
              <w:start w:w="90" w:type="dxa"/>
              <w:bottom w:w="80" w:type="dxa"/>
              <w:end w:w="90" w:type="dxa"/>
            </w:tcMar>
            <w:vAlign w:val="center"/>
          </w:tcPr>
          <w:p>
            <w:pPr>
              <w:jc w:val="left"/>
            </w:pPr>
            <w:r>
              <w:rPr>
                <w:rFonts w:ascii="Times New Roman" w:hAnsi="Times New Roman"/>
                <w:sz w:val="20"/>
              </w:rPr>
              <w:t>“This study introduces a new measure of 15-minute accessibility.”</w:t>
            </w:r>
          </w:p>
        </w:tc>
      </w:tr>
      <w:tr>
        <w:tc>
          <w:tcPr>
            <w:tcW w:type="dxa" w:w="4752"/>
            <w:tcMar>
              <w:top w:w="80" w:type="dxa"/>
              <w:start w:w="90" w:type="dxa"/>
              <w:bottom w:w="80" w:type="dxa"/>
              <w:end w:w="90" w:type="dxa"/>
            </w:tcMar>
            <w:vAlign w:val="center"/>
          </w:tcPr>
          <w:p>
            <w:pPr>
              <w:jc w:val="left"/>
            </w:pPr>
            <w:r>
              <w:rPr>
                <w:rFonts w:ascii="Times New Roman" w:hAnsi="Times New Roman"/>
                <w:sz w:val="20"/>
              </w:rPr>
              <w:t>“CCS and NPT test whether the NAI result is robust to category completeness and continuous proximity.”</w:t>
            </w:r>
          </w:p>
        </w:tc>
        <w:tc>
          <w:tcPr>
            <w:tcW w:type="dxa" w:w="4752"/>
            <w:tcMar>
              <w:top w:w="80" w:type="dxa"/>
              <w:start w:w="90" w:type="dxa"/>
              <w:bottom w:w="80" w:type="dxa"/>
              <w:end w:w="90" w:type="dxa"/>
            </w:tcMar>
            <w:vAlign w:val="center"/>
          </w:tcPr>
          <w:p>
            <w:pPr>
              <w:jc w:val="left"/>
            </w:pPr>
            <w:r>
              <w:rPr>
                <w:rFonts w:ascii="Times New Roman" w:hAnsi="Times New Roman"/>
                <w:sz w:val="20"/>
              </w:rPr>
              <w:t>“All neighborhood services are equally valuable in practice.”</w:t>
            </w:r>
          </w:p>
        </w:tc>
      </w:tr>
      <w:tr>
        <w:tc>
          <w:tcPr>
            <w:tcW w:type="dxa" w:w="4752"/>
            <w:tcMar>
              <w:top w:w="80" w:type="dxa"/>
              <w:start w:w="90" w:type="dxa"/>
              <w:bottom w:w="80" w:type="dxa"/>
              <w:end w:w="90" w:type="dxa"/>
            </w:tcMar>
            <w:vAlign w:val="center"/>
          </w:tcPr>
          <w:p>
            <w:pPr>
              <w:jc w:val="left"/>
            </w:pPr>
            <w:r>
              <w:rPr>
                <w:rFonts w:ascii="Times New Roman" w:hAnsi="Times New Roman"/>
                <w:sz w:val="20"/>
              </w:rPr>
              <w:t>“Population coverage translates place-based accessibility into exposure, not observed individual behavior.”</w:t>
            </w:r>
          </w:p>
        </w:tc>
        <w:tc>
          <w:tcPr>
            <w:tcW w:type="dxa" w:w="4752"/>
            <w:tcMar>
              <w:top w:w="80" w:type="dxa"/>
              <w:start w:w="90" w:type="dxa"/>
              <w:bottom w:w="80" w:type="dxa"/>
              <w:end w:w="90" w:type="dxa"/>
            </w:tcMar>
            <w:vAlign w:val="center"/>
          </w:tcPr>
          <w:p>
            <w:pPr>
              <w:jc w:val="left"/>
            </w:pPr>
            <w:r>
              <w:rPr>
                <w:rFonts w:ascii="Times New Roman" w:hAnsi="Times New Roman"/>
                <w:sz w:val="20"/>
              </w:rPr>
              <w:t>“Residents will walk whenever services fall within the threshold.”</w:t>
            </w:r>
          </w:p>
        </w:tc>
      </w:tr>
      <w:tr>
        <w:tc>
          <w:tcPr>
            <w:tcW w:type="dxa" w:w="4752"/>
            <w:tcMar>
              <w:top w:w="80" w:type="dxa"/>
              <w:start w:w="90" w:type="dxa"/>
              <w:bottom w:w="80" w:type="dxa"/>
              <w:end w:w="90" w:type="dxa"/>
            </w:tcMar>
            <w:vAlign w:val="center"/>
          </w:tcPr>
          <w:p>
            <w:pPr>
              <w:jc w:val="left"/>
            </w:pPr>
            <w:r>
              <w:rPr>
                <w:rFonts w:ascii="Times New Roman" w:hAnsi="Times New Roman"/>
                <w:sz w:val="20"/>
              </w:rPr>
              <w:t>“Results remain stable across alternative operationalizations of local accessibility.”</w:t>
            </w:r>
          </w:p>
        </w:tc>
        <w:tc>
          <w:tcPr>
            <w:tcW w:type="dxa" w:w="4752"/>
            <w:tcMar>
              <w:top w:w="80" w:type="dxa"/>
              <w:start w:w="90" w:type="dxa"/>
              <w:bottom w:w="80" w:type="dxa"/>
              <w:end w:w="90" w:type="dxa"/>
            </w:tcMar>
            <w:vAlign w:val="center"/>
          </w:tcPr>
          <w:p>
            <w:pPr>
              <w:jc w:val="left"/>
            </w:pPr>
            <w:r>
              <w:rPr>
                <w:rFonts w:ascii="Times New Roman" w:hAnsi="Times New Roman"/>
                <w:sz w:val="20"/>
              </w:rPr>
              <w:t>“The index directly measures individual capability or mode choice.”</w:t>
            </w:r>
          </w:p>
        </w:tc>
      </w:tr>
      <w:tr>
        <w:tc>
          <w:tcPr>
            <w:tcW w:type="dxa" w:w="4752"/>
            <w:tcMar>
              <w:top w:w="80" w:type="dxa"/>
              <w:start w:w="90" w:type="dxa"/>
              <w:bottom w:w="80" w:type="dxa"/>
              <w:end w:w="90" w:type="dxa"/>
            </w:tcMar>
            <w:vAlign w:val="center"/>
          </w:tcPr>
          <w:p>
            <w:pPr>
              <w:jc w:val="left"/>
            </w:pPr>
            <w:r>
              <w:rPr>
                <w:rFonts w:ascii="Times New Roman" w:hAnsi="Times New Roman"/>
                <w:sz w:val="20"/>
              </w:rPr>
              <w:t>“The intervention is a heuristic allocation scenario.”</w:t>
            </w:r>
          </w:p>
        </w:tc>
        <w:tc>
          <w:tcPr>
            <w:tcW w:type="dxa" w:w="4752"/>
            <w:tcMar>
              <w:top w:w="80" w:type="dxa"/>
              <w:start w:w="90" w:type="dxa"/>
              <w:bottom w:w="80" w:type="dxa"/>
              <w:end w:w="90" w:type="dxa"/>
            </w:tcMar>
            <w:vAlign w:val="center"/>
          </w:tcPr>
          <w:p>
            <w:pPr>
              <w:jc w:val="left"/>
            </w:pPr>
            <w:r>
              <w:rPr>
                <w:rFonts w:ascii="Times New Roman" w:hAnsi="Times New Roman"/>
                <w:sz w:val="20"/>
              </w:rPr>
              <w:t>“The proposed POI locations are mathematically optimal.”</w:t>
            </w:r>
          </w:p>
        </w:tc>
      </w:tr>
    </w:tbl>
    <w:p/>
    <w:p>
      <w:pPr>
        <w:pStyle w:val="Heading1"/>
      </w:pPr>
      <w:r>
        <w:t>14. KHUYẾN NGHỊ CUỐI CÙNG</w:t>
      </w:r>
    </w:p>
    <w:tbl>
      <w:tblPr>
        <w:tblW w:type="auto" w:w="0"/>
        <w:jc w:val="center"/>
        <w:tblLook w:firstColumn="1" w:firstRow="1" w:lastColumn="0" w:lastRow="0" w:noHBand="0" w:noVBand="1" w:val="04A0"/>
      </w:tblPr>
      <w:tblGrid>
        <w:gridCol w:w="9936"/>
      </w:tblGrid>
      <w:tr>
        <w:tc>
          <w:tcPr>
            <w:tcW w:type="dxa" w:w="9936"/>
            <w:shd w:fill="E2F0D9"/>
            <w:tcMar>
              <w:top w:w="110" w:type="dxa"/>
              <w:start w:w="140" w:type="dxa"/>
              <w:bottom w:w="110" w:type="dxa"/>
              <w:end w:w="140" w:type="dxa"/>
            </w:tcMar>
          </w:tcPr>
          <w:p>
            <w:r>
              <w:rPr>
                <w:rFonts w:ascii="Times New Roman" w:hAnsi="Times New Roman"/>
                <w:b/>
                <w:sz w:val="22"/>
              </w:rPr>
              <w:t xml:space="preserve">Gói nâng cấp tối thiểu nên thực hiện ngay: </w:t>
            </w:r>
            <w:r>
              <w:rPr>
                <w:rFonts w:ascii="Times New Roman" w:hAnsi="Times New Roman"/>
                <w:sz w:val="22"/>
              </w:rPr>
              <w:t>CCS + population coverage + NPT(K=3) robustness + population-weighted Gini. Đây là tổ hợp tăng chất lượng rõ nhất nhưng không làm framework chính phình quá mức.</w:t>
            </w:r>
          </w:p>
        </w:tc>
      </w:tr>
    </w:tbl>
    <w:p>
      <w:pPr>
        <w:pStyle w:val="BodyText"/>
      </w:pPr>
      <w:r>
        <w:t>Không cần thay đổi contribution trung tâm của bài. Ngược lại, việc thêm các kiểm tra trên sẽ giúp chứng minh rằng kết luận về fragmented mobility capability không phải sản phẩm của một cách đếm POI duy nhất. Nếu NAI, CCS và NPT cùng cho thấy sự phân mảnh local access, trong khi MAI và RAC vẫn tạo khác biệt ở cấp metropolitan và mode competition, bài sẽ được bảo vệ tốt hơn trước câu hỏi về overlap với literature 15-minute city.</w:t>
      </w:r>
    </w:p>
    <w:p>
      <w:pPr>
        <w:pStyle w:val="Heading1"/>
      </w:pPr>
      <w:r>
        <w:t>TÀI LIỆU THAM KHẢO CHÍNH</w:t>
      </w:r>
    </w:p>
    <w:p>
      <w:pPr>
        <w:pStyle w:val="BodyText"/>
        <w:ind w:left="360" w:hanging="360"/>
      </w:pPr>
      <w:r>
        <w:t>Bruno, M., Monteiro Melo, H. P., Campanelli, B., &amp; Loreto, V. (2024). A universal framework for inclusive 15-minute cities. Nature Cities, 1(10), 633–641. https://doi.org/10.1038/s44284-024-00119-4</w:t>
      </w:r>
    </w:p>
    <w:p>
      <w:pPr>
        <w:pStyle w:val="BodyText"/>
        <w:ind w:left="360" w:hanging="360"/>
      </w:pPr>
      <w:r>
        <w:t>Bản thảo nghiên cứu hiện tại: Fragmented Mobility Capability in a Motorcycle-Dependent Green Megaproject: A Dual-Scale, Mode-Competitive Accessibility Framework from Vinhomes Ocean Park, Hanoi. Draft cập nhật tháng 7/2026.</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6464"/>
        <w:sz w:val="18"/>
      </w:rPr>
      <w:t>KẾ HOẠCH NÂNG CẤP PHƯƠNG PHÁP NAI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174A5B"/>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205E6C"/>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2B6F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jc w:val="both"/>
    </w:pPr>
    <w:rPr>
      <w:rFonts w:ascii="Times New Roman" w:hAnsi="Times New Roman" w:eastAsia="Times New Roman"/>
      <w:sz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sz w:val="23"/>
    </w:rPr>
  </w:style>
  <w:style w:type="paragraph" w:styleId="ListBullet2">
    <w:name w:val="List Bullet 2"/>
    <w:basedOn w:val="Normal"/>
    <w:uiPriority w:val="99"/>
    <w:unhideWhenUsed/>
    <w:rsid w:val="00326F90"/>
    <w:pPr>
      <w:numPr>
        <w:numId w:val="2"/>
      </w:numPr>
      <w:spacing w:after="60"/>
      <w:contextualSpacing/>
    </w:pPr>
    <w:rPr>
      <w:rFonts w:ascii="Times New Roman" w:hAnsi="Times New Roman" w:eastAsia="Times New Roman"/>
      <w:sz w:val="23"/>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sz w:val="23"/>
    </w:rPr>
  </w:style>
  <w:style w:type="paragraph" w:styleId="ListNumber2">
    <w:name w:val="List Number 2"/>
    <w:basedOn w:val="Normal"/>
    <w:uiPriority w:val="99"/>
    <w:unhideWhenUsed/>
    <w:rsid w:val="0029639D"/>
    <w:pPr>
      <w:numPr>
        <w:numId w:val="6"/>
      </w:numPr>
      <w:spacing w:after="60"/>
      <w:contextualSpacing/>
    </w:pPr>
    <w:rPr>
      <w:rFonts w:ascii="Times New Roman" w:hAnsi="Times New Roman" w:eastAsia="Times New Roman"/>
      <w:sz w:val="23"/>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nâng cấp phương pháp NAI theo Bruno et al.</dc:title>
  <dc:subject>Methodological upgrade plan for neighborhood accessibility</dc:subject>
  <dc:creator>OpenAI</dc:creator>
  <cp:keywords>NAI, Bruno, accessibility, CCS, NPT, SMCI, methodology</cp:keywords>
  <dc:description>generated by python-docx</dc:description>
  <cp:lastModifiedBy/>
  <cp:revision>1</cp:revision>
  <dcterms:created xsi:type="dcterms:W3CDTF">2013-12-23T23:15:00Z</dcterms:created>
  <dcterms:modified xsi:type="dcterms:W3CDTF">2013-12-23T23:15:00Z</dcterms:modified>
  <cp:category/>
</cp:coreProperties>
</file>