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400"/>
        <w:jc w:val="center"/>
      </w:pPr>
      <w:r>
        <w:rPr>
          <w:b/>
          <w:bCs/>
          <w:sz w:val="32"/>
          <w:szCs w:val="32"/>
        </w:rPr>
        <w:t xml:space="preserve">Fragmented Mobility Capability in Motorcycle-Dependent Green Megaprojects: A Mode-Competitive Accessibility Perspective from Vietnam</w:t>
      </w:r>
    </w:p>
    <w:p>
      <w:pPr>
        <w:spacing w:after="800"/>
        <w:jc w:val="center"/>
      </w:pPr>
      <w:r>
        <w:rPr>
          <w:i/>
          <w:iCs/>
          <w:sz w:val="26"/>
          <w:szCs w:val="26"/>
        </w:rPr>
        <w:t xml:space="preserve">Research Proposal — Version 3.0</w:t>
      </w:r>
    </w:p>
    <w:p>
      <w:pPr>
        <w:spacing w:after="120"/>
        <w:jc w:val="center"/>
      </w:pPr>
      <w:r>
        <w:rPr>
          <w:sz w:val="24"/>
          <w:szCs w:val="24"/>
        </w:rPr>
        <w:t xml:space="preserve">Author: [Tên của bạn]</w:t>
      </w:r>
    </w:p>
    <w:p>
      <w:pPr>
        <w:spacing w:after="120"/>
        <w:jc w:val="center"/>
      </w:pPr>
      <w:r>
        <w:rPr>
          <w:sz w:val="24"/>
          <w:szCs w:val="24"/>
        </w:rPr>
        <w:t xml:space="preserve">Affiliation: [Trường Đại học], Vietnam</w:t>
      </w:r>
    </w:p>
    <w:p>
      <w:pPr>
        <w:spacing w:after="600"/>
        <w:jc w:val="center"/>
      </w:pPr>
      <w:r>
        <w:rPr>
          <w:sz w:val="24"/>
          <w:szCs w:val="24"/>
        </w:rPr>
        <w:t xml:space="preserve">Supervisor: Dr. Nguyen Phuoc Quy Duy</w:t>
      </w:r>
    </w:p>
    <w:p>
      <w:r>
        <w:br w:type="page"/>
      </w:r>
    </w:p>
    <w:p>
      <w:pPr>
        <w:pStyle w:val="Heading1"/>
      </w:pPr>
      <w:r>
        <w:t xml:space="preserve">Note on This Version (v3.0)</w:t>
      </w:r>
    </w:p>
    <w:p>
      <w:pPr>
        <w:spacing w:after="200"/>
      </w:pPr>
      <w:r>
        <w:rPr>
          <w:b w:val="false"/>
          <w:bCs w:val="false"/>
          <w:i w:val="false"/>
          <w:iCs w:val="false"/>
        </w:rPr>
        <w:t xml:space="preserve">This version narrows the study scope to a single, in-depth case study to ensure feasibility as a single research output, and resolves four issues identified during internal review of earlier drafts:</w:t>
      </w:r>
    </w:p>
    <w:p>
      <w:pPr>
        <w:pStyle w:val="ListParagraph"/>
        <w:numPr>
          <w:ilvl w:val="0"/>
          <w:numId w:val="2"/>
        </w:numPr>
        <w:spacing w:after="100"/>
      </w:pPr>
      <w:r>
        <w:t xml:space="preserve">Scope: the study now examines one case (Vinhomes Ocean Park) rather than two; a second site is identified as future work rather than included here.</w:t>
      </w:r>
    </w:p>
    <w:p>
      <w:pPr>
        <w:pStyle w:val="ListParagraph"/>
        <w:numPr>
          <w:ilvl w:val="0"/>
          <w:numId w:val="2"/>
        </w:numPr>
        <w:spacing w:after="100"/>
      </w:pPr>
      <w:r>
        <w:t xml:space="preserve">Measurement: a new Relative Accessibility Competitiveness (RAC) index operationalizes the comparison between walking-and-transit accessibility and motorcycle accessibility, replacing the earlier, unquantified phrase "substantially weaker than motorcycle accessibility."</w:t>
      </w:r>
    </w:p>
    <w:p>
      <w:pPr>
        <w:pStyle w:val="ListParagraph"/>
        <w:numPr>
          <w:ilvl w:val="0"/>
          <w:numId w:val="2"/>
        </w:numPr>
        <w:spacing w:after="100"/>
      </w:pPr>
      <w:r>
        <w:t xml:space="preserve">Consistency: the central hypothesis and all four research questions now use RAC directly, rather than informal language the methodology does not measure.</w:t>
      </w:r>
    </w:p>
    <w:p>
      <w:pPr>
        <w:pStyle w:val="ListParagraph"/>
        <w:numPr>
          <w:ilvl w:val="0"/>
          <w:numId w:val="2"/>
        </w:numPr>
        <w:spacing w:after="100"/>
      </w:pPr>
      <w:r>
        <w:t xml:space="preserve">Positioning: the literature review explicitly differentiates this study from the spatial mismatch hypothesis (Kain, 1968) and from Kaufmann’s motility framework (Kaufmann et al., 2004), and states plainly which dimension of "capability" is and is not being measured.</w:t>
      </w:r>
    </w:p>
    <w:p>
      <w:pPr>
        <w:spacing w:after="200"/>
      </w:pPr>
      <w:r>
        <w:rPr>
          <w:b w:val="false"/>
          <w:bCs w:val="false"/>
          <w:i w:val="false"/>
          <w:iCs w:val="false"/>
        </w:rPr>
        <w:t xml:space="preserve">A validation and sensitivity-analysis protocol (Section 3.6, Steps 6–7) has also been added, consistent with current practice in accessibility modelling.</w:t>
      </w:r>
    </w:p>
    <w:p>
      <w:pPr>
        <w:pStyle w:val="Heading1"/>
      </w:pPr>
      <w:r>
        <w:t xml:space="preserve">Abstract</w:t>
      </w:r>
    </w:p>
    <w:p>
      <w:pPr>
        <w:spacing w:after="200"/>
      </w:pPr>
      <w:r>
        <w:rPr>
          <w:b w:val="false"/>
          <w:bCs w:val="false"/>
          <w:i w:val="false"/>
          <w:iCs w:val="false"/>
        </w:rPr>
        <w:t xml:space="preserve">Rapid urbanization in Southeast Asia has accelerated the development of large-scale green megaprojects and investments in green public transport systems. In Vietnam, privately developed urban megaprojects such as Vinhomes Ocean Park have increasingly incorporated electric bus services and mixed-use planning principles to promote sustainable urban living. However, whether these interventions create the spatial conditions necessary for sustainable mobility transitions remains poorly understood.</w:t>
      </w:r>
    </w:p>
    <w:p>
      <w:pPr>
        <w:spacing w:after="200"/>
      </w:pPr>
      <w:r>
        <w:rPr>
          <w:b w:val="false"/>
          <w:bCs w:val="false"/>
          <w:i w:val="false"/>
          <w:iCs w:val="false"/>
        </w:rPr>
        <w:t xml:space="preserve">This study proposes a dual-scale, mode-competitive accessibility framework to examine sustainable mobility capability in motorcycle-dependent cities. We argue that sustainable mobility capability depends not only on neighborhood accessibility to daily amenities and metropolitan accessibility to citywide opportunities, but also on how competitive walking-and-transit accessibility is relative to motorcycle accessibility at the metropolitan scale. We introduce a Relative Accessibility Competitiveness (RAC) index to operationalize this comparison directly, addressing a measurement gap in prior capability-based accessibility research.</w:t>
      </w:r>
    </w:p>
    <w:p>
      <w:pPr>
        <w:spacing w:after="200"/>
      </w:pPr>
      <w:r>
        <w:rPr>
          <w:b w:val="false"/>
          <w:bCs w:val="false"/>
          <w:i w:val="false"/>
          <w:iCs w:val="false"/>
        </w:rPr>
        <w:t xml:space="preserve">Using Vinhomes Ocean Park and its surrounding districts in Hanoi as a single, in-depth case study, this research employs open geospatial data, network analysis across three travel networks (walking, walking-plus-transit, and motorcycle), and a validated, sensitivity-tested accessibility model to quantify neighborhood accessibility, metropolitan accessibility, RAC, and a composite Sustainable Mobility Capability Index (SMCI). The study contributes to transportation geography by operationalizing the concept of fragmented mobility capability, explicitly distinguishing it from related constructs in the spatial-mismatch and motility literatures, and by providing a replicable single-case methodology for future extension to other motorcycle-dependent megaprojects.</w:t>
      </w:r>
    </w:p>
    <w:p>
      <w:pPr>
        <w:spacing w:after="200"/>
      </w:pPr>
      <w:r>
        <w:rPr>
          <w:b/>
          <w:bCs/>
          <w:i w:val="false"/>
          <w:iCs w:val="false"/>
        </w:rPr>
        <w:t xml:space="preserve">Keywords: </w:t>
      </w:r>
      <w:r>
        <w:rPr>
          <w:b w:val="false"/>
          <w:bCs w:val="false"/>
          <w:i w:val="false"/>
          <w:iCs w:val="false"/>
        </w:rPr>
        <w:t xml:space="preserve">Sustainable mobility capability; Relative accessibility competitiveness; Motorcycle-dependent cities; Green megaprojects; Electric buses; Geospatial data science.</w:t>
      </w:r>
    </w:p>
    <w:p>
      <w:pPr>
        <w:pStyle w:val="Heading1"/>
      </w:pPr>
      <w:r>
        <w:t xml:space="preserve">1. Introduction</w:t>
      </w:r>
    </w:p>
    <w:p>
      <w:pPr>
        <w:pStyle w:val="Heading2"/>
      </w:pPr>
      <w:r>
        <w:t xml:space="preserve">1.1 Background</w:t>
      </w:r>
    </w:p>
    <w:p>
      <w:pPr>
        <w:spacing w:after="200"/>
      </w:pPr>
      <w:r>
        <w:rPr>
          <w:b w:val="false"/>
          <w:bCs w:val="false"/>
          <w:i w:val="false"/>
          <w:iCs w:val="false"/>
        </w:rPr>
        <w:t xml:space="preserve">Cities across Asia are increasingly investing in green megaprojects and low-carbon transportation systems to address sustainability challenges. In Vietnam, large master-planned developments such as Vinhomes Ocean Park integrate extensive green spaces, mixed-use functions, and electric bus systems as part of their sustainable urban development strategies.</w:t>
      </w:r>
    </w:p>
    <w:p>
      <w:pPr>
        <w:spacing w:after="200"/>
      </w:pPr>
      <w:r>
        <w:rPr>
          <w:b w:val="false"/>
          <w:bCs w:val="false"/>
          <w:i w:val="false"/>
          <w:iCs w:val="false"/>
        </w:rPr>
        <w:t xml:space="preserve">Despite these investments, motorcycle dependency remains deeply embedded in Vietnamese cities. Motorcycles continue to dominate urban mobility due to their affordability, flexibility, and door-to-door accessibility. Consequently, the existence of green infrastructure and public transportation services does not necessarily imply that residents can transition toward more sustainable mobility patterns.</w:t>
      </w:r>
    </w:p>
    <w:p>
      <w:pPr>
        <w:spacing w:after="200"/>
      </w:pPr>
      <w:r>
        <w:rPr>
          <w:b w:val="false"/>
          <w:bCs w:val="false"/>
          <w:i w:val="false"/>
          <w:iCs w:val="false"/>
        </w:rPr>
        <w:t xml:space="preserve">This raises a central question: can green megaprojects and transit interventions create the spatial conditions necessary for sustainable mobility transitions in motorcycle-dependent cities, or do they primarily improve local walkability while leaving residents structurally dependent on motorcycles for metropolitan travel?</w:t>
      </w:r>
    </w:p>
    <w:p>
      <w:pPr>
        <w:pStyle w:val="Heading2"/>
      </w:pPr>
      <w:r>
        <w:t xml:space="preserve">1.2 Research Gap</w:t>
      </w:r>
    </w:p>
    <w:p>
      <w:pPr>
        <w:pStyle w:val="Heading3"/>
      </w:pPr>
      <w:r>
        <w:t xml:space="preserve">Gap 1: Contextual and Institutional Gap</w:t>
      </w:r>
    </w:p>
    <w:p>
      <w:pPr>
        <w:spacing w:after="200"/>
      </w:pPr>
      <w:r>
        <w:rPr>
          <w:b w:val="false"/>
          <w:bCs w:val="false"/>
          <w:i w:val="false"/>
          <w:iCs w:val="false"/>
        </w:rPr>
        <w:t xml:space="preserve">Most empirical evidence on green megaprojects and transit-accessibility interventions originates from automobile-oriented cities in North America or transit-oriented and cycling-oriented cities in Europe and China. Sustainable mobility outcomes in motorcycle-dependent cities — where door-to-door flexibility offers a uniquely competitive alternative to public transit — remain underexplored.</w:t>
      </w:r>
    </w:p>
    <w:p>
      <w:pPr>
        <w:spacing w:after="200"/>
      </w:pPr>
      <w:r>
        <w:rPr>
          <w:b w:val="false"/>
          <w:bCs w:val="false"/>
          <w:i w:val="false"/>
          <w:iCs w:val="false"/>
        </w:rPr>
        <w:t xml:space="preserve">Privately developed green megaprojects in motorcycle-dependent cities also differ institutionally from classical transit-oriented development (TOD). In TOD, metropolitan integration is typically embedded by design: development intensifies around a pre-existing transit corridor that already connects into the citywide public transport network. In megaprojects such as Vinhomes Ocean Park, transit service is instead introduced as a privately operated amenity layered onto an already-built environment, and its integration with citywide public transport networks evolves incrementally and uncertainly over time. This institutional distinction — rather than peripheral location alone — may help explain why strong neighborhood accessibility does not necessarily translate into strong metropolitan accessibility.</w:t>
      </w:r>
    </w:p>
    <w:p>
      <w:pPr>
        <w:pStyle w:val="Heading3"/>
      </w:pPr>
      <w:r>
        <w:t xml:space="preserve">Gap 2: Scale-Interaction Gap</w:t>
      </w:r>
    </w:p>
    <w:p>
      <w:pPr>
        <w:spacing w:after="200"/>
      </w:pPr>
      <w:r>
        <w:rPr>
          <w:b w:val="false"/>
          <w:bCs w:val="false"/>
          <w:i w:val="false"/>
          <w:iCs w:val="false"/>
        </w:rPr>
        <w:t xml:space="preserve">Existing accessibility research typically examines neighborhood-scale and metropolitan-scale accessibility separately, as parallel and independent indicators. Much less attention has been paid to how a mismatch between these two scales — particularly strong neighborhood accessibility combined with weak metropolitan accessibility relative to motorcycle accessibility — may produce a specific mode lock-in outcome, rather than each scale contributing separately and additively to sustainable mobility.</w:t>
      </w:r>
    </w:p>
    <w:p>
      <w:pPr>
        <w:pStyle w:val="Heading3"/>
      </w:pPr>
      <w:r>
        <w:t xml:space="preserve">Gap 3: Capability-Operationalization Gap</w:t>
      </w:r>
    </w:p>
    <w:p>
      <w:pPr>
        <w:spacing w:after="200"/>
      </w:pPr>
      <w:r>
        <w:rPr>
          <w:b w:val="false"/>
          <w:bCs w:val="false"/>
          <w:i w:val="false"/>
          <w:iCs w:val="false"/>
        </w:rPr>
        <w:t xml:space="preserve">The capability approach (Sen, 1999) and the motility framework (Kaufmann et al., 2004) recognize mobility as a multidimensional capacity to access opportunities, encompassing access, competence, and appropriation. However, no operational framework currently exists for measuring dual-scale, mode-competitive mobility capability in motorcycle-dependent green megaprojects using replicable open geospatial data. This study addresses the access dimension of this capacity specifically; it does not claim to operationalize competence or appropriation, which require survey or behavioral data beyond the scope of network analysis (see Section 1.5 and Section 2.4).</w:t>
      </w:r>
    </w:p>
    <w:p>
      <w:pPr>
        <w:pStyle w:val="Heading2"/>
      </w:pPr>
      <w:r>
        <w:t xml:space="preserve">1.3 Research Objectives</w:t>
      </w:r>
    </w:p>
    <w:p>
      <w:pPr>
        <w:pStyle w:val="ListParagraph"/>
        <w:numPr>
          <w:ilvl w:val="0"/>
          <w:numId w:val="3"/>
        </w:numPr>
        <w:spacing w:after="100"/>
      </w:pPr>
      <w:r>
        <w:t xml:space="preserve">Establish a baseline comparison of neighborhood accessibility (NAI), metropolitan accessibility (MAI), and Relative Accessibility Competitiveness (RAC) between Vinhomes Ocean Park and its surrounding urban districts.</w:t>
      </w:r>
    </w:p>
    <w:p>
      <w:pPr>
        <w:pStyle w:val="ListParagraph"/>
        <w:numPr>
          <w:ilvl w:val="0"/>
          <w:numId w:val="3"/>
        </w:numPr>
        <w:spacing w:after="100"/>
      </w:pPr>
      <w:r>
        <w:t xml:space="preserve">Quantify the accessibility and capability gains attributable to the electric bus intervention through scenario comparison.</w:t>
      </w:r>
    </w:p>
    <w:p>
      <w:pPr>
        <w:pStyle w:val="ListParagraph"/>
        <w:numPr>
          <w:ilvl w:val="0"/>
          <w:numId w:val="3"/>
        </w:numPr>
        <w:spacing w:after="100"/>
      </w:pPr>
      <w:r>
        <w:t xml:space="preserve">Identify the spatial extent and pattern of low RAC across the study area, and classify areas into mobility-capability typologies.</w:t>
      </w:r>
    </w:p>
    <w:p>
      <w:pPr>
        <w:pStyle w:val="ListParagraph"/>
        <w:numPr>
          <w:ilvl w:val="0"/>
          <w:numId w:val="3"/>
        </w:numPr>
        <w:spacing w:after="100"/>
      </w:pPr>
      <w:r>
        <w:t xml:space="preserve">Determine which urban-form and transit-service characteristics are associated with fragmented versus integrated mobility-capability outcomes.</w:t>
      </w:r>
    </w:p>
    <w:p>
      <w:pPr>
        <w:pStyle w:val="Heading2"/>
      </w:pPr>
      <w:r>
        <w:t xml:space="preserve">1.4 Research Questions</w:t>
      </w:r>
    </w:p>
    <w:p>
      <w:pPr>
        <w:spacing w:after="200"/>
      </w:pPr>
      <w:r>
        <w:rPr>
          <w:b/>
          <w:bCs/>
          <w:i w:val="false"/>
          <w:iCs w:val="false"/>
        </w:rPr>
        <w:t xml:space="preserve">Central Hypothesis: </w:t>
      </w:r>
    </w:p>
    <w:p>
      <w:pPr>
        <w:pBdr>
          <w:left w:val="single" w:color="7F7F7F" w:sz="12" w:space="8"/>
        </w:pBdr>
        <w:spacing w:after="200" w:before="120"/>
        <w:ind w:left="480"/>
      </w:pPr>
      <w:r>
        <w:rPr>
          <w:i/>
          <w:iCs/>
        </w:rPr>
        <w:t xml:space="preserve">High neighborhood accessibility alone is insufficient to generate integrated sustainable mobility capability when Relative Accessibility Competitiveness (RAC) — the competitiveness of walking-and-transit accessibility relative to motorcycle accessibility — remains low.</w:t>
      </w:r>
    </w:p>
    <w:p>
      <w:pPr>
        <w:spacing w:after="200"/>
      </w:pPr>
      <w:r>
        <w:rPr>
          <w:b/>
          <w:bCs/>
          <w:i w:val="false"/>
          <w:iCs w:val="false"/>
        </w:rPr>
        <w:t xml:space="preserve">RQ1 (Foundational). </w:t>
      </w:r>
      <w:r>
        <w:rPr>
          <w:b w:val="false"/>
          <w:bCs w:val="false"/>
          <w:i w:val="false"/>
          <w:iCs w:val="false"/>
        </w:rPr>
        <w:t xml:space="preserve">How do Vinhomes Ocean Park and its surrounding urban areas differ in terms of neighborhood accessibility (NAI) and metropolitan accessibility (MAI)?</w:t>
      </w:r>
    </w:p>
    <w:p>
      <w:pPr>
        <w:spacing w:after="300"/>
      </w:pPr>
      <w:r>
        <w:rPr>
          <w:b w:val="false"/>
          <w:bCs w:val="false"/>
          <w:i w:val="false"/>
          <w:iCs w:val="false"/>
        </w:rPr>
        <w:t xml:space="preserve">This establishes whether the asymmetric pattern assumed by the hypothesis — high NAI paired with low MAI — actually exists, before its consequences are tested.</w:t>
      </w:r>
    </w:p>
    <w:p>
      <w:pPr>
        <w:spacing w:after="200"/>
      </w:pPr>
      <w:r>
        <w:rPr>
          <w:b/>
          <w:bCs/>
          <w:i w:val="false"/>
          <w:iCs w:val="false"/>
        </w:rPr>
        <w:t xml:space="preserve">RQ2 (Intervention). </w:t>
      </w:r>
      <w:r>
        <w:rPr>
          <w:b w:val="false"/>
          <w:bCs w:val="false"/>
          <w:i w:val="false"/>
          <w:iCs w:val="false"/>
        </w:rPr>
        <w:t xml:space="preserve">To what extent does the electric bus intervention (Scenario B vs. Scenario A) change metropolitan accessibility and the resulting Sustainable Mobility Capability Index (SMCI)?</w:t>
      </w:r>
    </w:p>
    <w:p>
      <w:pPr>
        <w:spacing w:after="300"/>
      </w:pPr>
      <w:r>
        <w:rPr>
          <w:b w:val="false"/>
          <w:bCs w:val="false"/>
          <w:i w:val="false"/>
          <w:iCs w:val="false"/>
        </w:rPr>
        <w:t xml:space="preserve">This isolates the marginal contribution of the transit investment from underlying urban form, treating the intervention as a route-, stop-, and frequency-based accessibility improvement rather than an assessment of emissions or environmental impact.</w:t>
      </w:r>
    </w:p>
    <w:p>
      <w:pPr>
        <w:spacing w:after="200"/>
      </w:pPr>
      <w:r>
        <w:rPr>
          <w:b/>
          <w:bCs/>
          <w:i w:val="false"/>
          <w:iCs w:val="false"/>
        </w:rPr>
        <w:t xml:space="preserve">RQ3 (Diagnostic). </w:t>
      </w:r>
      <w:r>
        <w:rPr>
          <w:b w:val="false"/>
          <w:bCs w:val="false"/>
          <w:i w:val="false"/>
          <w:iCs w:val="false"/>
        </w:rPr>
        <w:t xml:space="preserve">What is the spatial extent and pattern of low Relative Accessibility Competitiveness (RAC) across the study area, and how does this pattern map onto the proposed mobility-capability typologies (integrated, fragmented, transit-dependent, motorcycle lock-in)?</w:t>
      </w:r>
    </w:p>
    <w:p>
      <w:pPr>
        <w:spacing w:after="200"/>
      </w:pPr>
      <w:r>
        <w:rPr>
          <w:b/>
          <w:bCs/>
          <w:i w:val="false"/>
          <w:iCs w:val="false"/>
        </w:rPr>
        <w:t xml:space="preserve">RQ4 (Explanatory). </w:t>
      </w:r>
      <w:r>
        <w:rPr>
          <w:b w:val="false"/>
          <w:bCs w:val="false"/>
          <w:i w:val="false"/>
          <w:iCs w:val="false"/>
        </w:rPr>
        <w:t xml:space="preserve">Which urban-form characteristics (e.g., street and intersection density, land-use mix, population density) and transit-service characteristics (e.g., route density, stop proximity) are significantly associated with areas classified as fragmented mobility capability, relative to the other typologies?</w:t>
      </w:r>
    </w:p>
    <w:p>
      <w:pPr>
        <w:pStyle w:val="Heading2"/>
      </w:pPr>
      <w:r>
        <w:t xml:space="preserve">1.5 Conceptual Proposition and Scope of "Capability"</w:t>
      </w:r>
    </w:p>
    <w:p>
      <w:pPr>
        <w:spacing w:after="200"/>
      </w:pPr>
      <w:r>
        <w:rPr>
          <w:b/>
          <w:bCs/>
          <w:i w:val="false"/>
          <w:iCs w:val="false"/>
        </w:rPr>
        <w:t xml:space="preserve">Core Proposition: </w:t>
      </w:r>
    </w:p>
    <w:p>
      <w:pPr>
        <w:pBdr>
          <w:left w:val="single" w:color="7F7F7F" w:sz="12" w:space="8"/>
        </w:pBdr>
        <w:spacing w:after="200" w:before="120"/>
        <w:ind w:left="480"/>
      </w:pPr>
      <w:r>
        <w:rPr>
          <w:i/>
          <w:iCs/>
        </w:rPr>
        <w:t xml:space="preserve">High neighborhood accessibility alone is insufficient to create integrated sustainable mobility capability when Relative Accessibility Competitiveness (RAC) remains low — that is, when walking-and-transit accessibility is substantially less competitive than motorcycle accessibility at the metropolitan scale.</w:t>
      </w:r>
    </w:p>
    <w:p>
      <w:pPr>
        <w:spacing w:after="200"/>
      </w:pPr>
      <w:r>
        <w:rPr>
          <w:b w:val="false"/>
          <w:bCs w:val="false"/>
          <w:i w:val="false"/>
          <w:iCs w:val="false"/>
        </w:rPr>
        <w:t xml:space="preserve">This study operationalizes "mobility capability" as potential accessibility — the spatial opportunity to reach employment, education, and services via walking or public transit, relative to the same opportunity via motorcycle, given network structure and service availability. This is a necessary but not sufficient condition for capability in the fuller sense developed by Sen (1999) and operationalized for transport by Vecchio and Martens (2021), which also depends on individual resources, preferences, and social constraints not captured by network analysis alone.</w:t>
      </w:r>
    </w:p>
    <w:p>
      <w:pPr>
        <w:spacing w:after="200"/>
      </w:pPr>
      <w:r>
        <w:rPr>
          <w:b w:val="false"/>
          <w:bCs w:val="false"/>
          <w:i w:val="false"/>
          <w:iCs w:val="false"/>
        </w:rPr>
        <w:t xml:space="preserve">Within this scope, low Relative Accessibility Competitiveness represents one possible structural explanation for persistent motorcycle dependence; however, observed dependence may equally reflect income, preference, affordability, or social norms that this geospatial analysis cannot capture. Distinguishing between these explanations would require complementary survey or behavioral data, which we identify as a direction for future research building on this geospatial baseline.</w:t>
      </w:r>
    </w:p>
    <w:p>
      <w:r>
        <w:br w:type="page"/>
      </w:r>
    </w:p>
    <w:p>
      <w:pPr>
        <w:pStyle w:val="Heading1"/>
      </w:pPr>
      <w:r>
        <w:t xml:space="preserve">2. Literature Review and Conceptual Framework</w:t>
      </w:r>
    </w:p>
    <w:p>
      <w:pPr>
        <w:pStyle w:val="Heading2"/>
      </w:pPr>
      <w:r>
        <w:t xml:space="preserve">2.1 Accessibility Theory</w:t>
      </w:r>
    </w:p>
    <w:p>
      <w:pPr>
        <w:spacing w:after="200"/>
      </w:pPr>
      <w:r>
        <w:rPr>
          <w:b w:val="false"/>
          <w:bCs w:val="false"/>
          <w:i w:val="false"/>
          <w:iCs w:val="false"/>
        </w:rPr>
        <w:t xml:space="preserve">Transportation should be understood as the ability to access opportunities rather than movement itself. Accessibility consists of opportunities to reach employment, education, healthcare, recreation, and daily services (Geurs &amp; van Wee, 2004; Levinson, 2012).</w:t>
      </w:r>
    </w:p>
    <w:p>
      <w:pPr>
        <w:pStyle w:val="Heading2"/>
      </w:pPr>
      <w:r>
        <w:t xml:space="preserve">2.2 Capability Approach</w:t>
      </w:r>
    </w:p>
    <w:p>
      <w:pPr>
        <w:spacing w:after="200"/>
      </w:pPr>
      <w:r>
        <w:rPr>
          <w:b w:val="false"/>
          <w:bCs w:val="false"/>
          <w:i w:val="false"/>
          <w:iCs w:val="false"/>
        </w:rPr>
        <w:t xml:space="preserve">Drawing upon Sen’s Capability Approach (Sen, 1999), sustainable mobility should be conceptualized as the capability to access opportunities through sustainable modes, rather than merely the observed choice to do so. Vecchio and Martens (2021) note that most transport applications of the capability approach in practice operationalize a "capability-as-accessibility" conceptualization — assessing the opportunities transport systems make available, rather than the full range of personal and social conversion factors that determine whether those opportunities are realized. This study follows that established convention explicitly, rather than implicitly, and states this scope limitation directly in Section 1.5.</w:t>
      </w:r>
    </w:p>
    <w:p>
      <w:pPr>
        <w:pStyle w:val="Heading2"/>
      </w:pPr>
      <w:r>
        <w:t xml:space="preserve">2.3 Spatial Mismatch and Accessibility Mismatch</w:t>
      </w:r>
    </w:p>
    <w:p>
      <w:pPr>
        <w:spacing w:after="200"/>
      </w:pPr>
      <w:r>
        <w:rPr>
          <w:b w:val="false"/>
          <w:bCs w:val="false"/>
          <w:i w:val="false"/>
          <w:iCs w:val="false"/>
        </w:rPr>
        <w:t xml:space="preserve">Classical spatial mismatch theory (Kain, 1968) examines the separation between residential location and employment opportunities and its consequences for labour-market disadvantage, principally in the context of racial segregation and suburban job growth in U.S. cities. Accessibility mismatch, in the broader sense used in later literature, extends this idea to any systematic divergence between where people live and what they can reach.</w:t>
      </w:r>
    </w:p>
    <w:p>
      <w:pPr>
        <w:spacing w:after="200"/>
      </w:pPr>
      <w:r>
        <w:rPr>
          <w:b w:val="false"/>
          <w:bCs w:val="false"/>
          <w:i w:val="false"/>
          <w:iCs w:val="false"/>
        </w:rPr>
        <w:t xml:space="preserve">This study differs from the spatial mismatch tradition in two respects. First, it is not centrally concerned with residence-employment distance as a fixed geographic fact, but with the relative competitiveness of different travel modes in closing that distance. Second, the mismatch of interest is not between people and jobs, but between two scales of accessibility — neighborhood and metropolitan — for the same population and the same physical location. The contribution is therefore a scale-interaction, mode-competitiveness concept, not a re-statement of spatial mismatch under a new name.</w:t>
      </w:r>
    </w:p>
    <w:p>
      <w:pPr>
        <w:pStyle w:val="Heading2"/>
      </w:pPr>
      <w:r>
        <w:t xml:space="preserve">2.4 Motility and Mobility Capability</w:t>
      </w:r>
    </w:p>
    <w:p>
      <w:pPr>
        <w:spacing w:after="200"/>
      </w:pPr>
      <w:r>
        <w:rPr>
          <w:b w:val="false"/>
          <w:bCs w:val="false"/>
          <w:i w:val="false"/>
          <w:iCs w:val="false"/>
        </w:rPr>
        <w:t xml:space="preserve">Kaufmann, Bergman, and Joye (2004) conceptualize motility — the capacity to be mobile — as comprising three dimensions: access (the range of mobility options available, given network and service structure), competence (the skills and abilities required to use them), and appropriation (the perceptions and choices that determine whether available options are used). This framework is among the closest existing constructs to "sustainable mobility capability" as used in this study, and is engaged with directly for that reason.</w:t>
      </w:r>
    </w:p>
    <w:p>
      <w:pPr>
        <w:spacing w:after="200"/>
      </w:pPr>
      <w:r>
        <w:rPr>
          <w:b w:val="false"/>
          <w:bCs w:val="false"/>
          <w:i w:val="false"/>
          <w:iCs w:val="false"/>
        </w:rPr>
        <w:t xml:space="preserve">This study explicitly operationalizes only the access dimension of motility, using open geospatial data. It does not measure competence or appropriation, both of which require survey or qualitative data on individual skills, perceptions, and choices. The contribution of this study is therefore a scalable, replicable geospatial method for measuring the access dimension of motility at dual spatial scales and in direct competition with the dominant private mode — a measurement that complements, rather than replaces, survey-based motility research, and that can be combined with future survey work to assess the other two dimensions.</w:t>
      </w:r>
    </w:p>
    <w:p>
      <w:pPr>
        <w:pStyle w:val="Heading2"/>
      </w:pPr>
      <w:r>
        <w:t xml:space="preserve">2.5 Dual-Scale and Mode-Competitive Accessibility Framework</w:t>
      </w:r>
    </w:p>
    <w:p>
      <w:pPr>
        <w:spacing w:after="200"/>
      </w:pPr>
      <w:r>
        <w:rPr>
          <w:b w:val="false"/>
          <w:bCs w:val="false"/>
          <w:i w:val="false"/>
          <w:iCs w:val="false"/>
        </w:rPr>
        <w:t xml:space="preserve">Sustainable mobility capability emerges from three interconnected dimensions: neighborhood accessibility, metropolitan accessibility, and the relative competitiveness of sustainable modes against the dominant private mode.</w:t>
      </w:r>
    </w:p>
    <w:p>
      <w:pPr>
        <w:pStyle w:val="Heading3"/>
      </w:pPr>
      <w:r>
        <w:t xml:space="preserve">Neighborhood Accessibility (NAI)</w:t>
      </w:r>
    </w:p>
    <w:p>
      <w:pPr>
        <w:spacing w:after="200"/>
      </w:pPr>
      <w:r>
        <w:rPr>
          <w:b w:val="false"/>
          <w:bCs w:val="false"/>
          <w:i w:val="false"/>
          <w:iCs w:val="false"/>
        </w:rPr>
        <w:t xml:space="preserve">Accessibility to schools, parks, retail, and daily services within walking distance.</w:t>
      </w:r>
    </w:p>
    <w:p>
      <w:pPr>
        <w:pStyle w:val="Heading3"/>
      </w:pPr>
      <w:r>
        <w:t xml:space="preserve">Metropolitan Accessibility (MAI)</w:t>
      </w:r>
    </w:p>
    <w:p>
      <w:pPr>
        <w:spacing w:after="200"/>
      </w:pPr>
      <w:r>
        <w:rPr>
          <w:b w:val="false"/>
          <w:bCs w:val="false"/>
          <w:i w:val="false"/>
          <w:iCs w:val="false"/>
        </w:rPr>
        <w:t xml:space="preserve">Accessibility to employment centers, universities, CBDs, and major urban services through public transportation networks.</w:t>
      </w:r>
    </w:p>
    <w:p>
      <w:pPr>
        <w:pStyle w:val="Heading3"/>
      </w:pPr>
      <w:r>
        <w:t xml:space="preserve">Relative Accessibility Competitiveness (RAC)</w:t>
      </w:r>
    </w:p>
    <w:p>
      <w:pPr>
        <w:spacing w:after="200"/>
      </w:pPr>
      <w:r>
        <w:rPr>
          <w:b w:val="false"/>
          <w:bCs w:val="false"/>
          <w:i w:val="false"/>
          <w:iCs w:val="false"/>
        </w:rPr>
        <w:t xml:space="preserve">Neighborhood and metropolitan accessibility describe what walking and transit can reach in absolute terms. They do not, by themselves, indicate whether walking and transit are realistic alternatives to the motorcycle — the mode that dominates daily travel in Vietnamese cities. RAC addresses this directly by comparing walking-and-transit accessibility to motorcycle accessibility at the same origin–destination pairs. The formal definition is given in Section 3.6, Step 2.</w:t>
      </w:r>
    </w:p>
    <w:p>
      <w:pPr>
        <w:pStyle w:val="Heading2"/>
      </w:pPr>
      <w:r>
        <w:t xml:space="preserve">2.6 Fragmented Mobility Capability</w:t>
      </w:r>
    </w:p>
    <w:p>
      <w:pPr>
        <w:spacing w:after="200"/>
      </w:pPr>
      <w:r>
        <w:rPr>
          <w:b w:val="false"/>
          <w:bCs w:val="false"/>
          <w:i w:val="false"/>
          <w:iCs w:val="false"/>
        </w:rPr>
        <w:t xml:space="preserve">Green megaprojects may exhibit excellent local accessibility, weak metropolitan accessibility, and low RAC relative to the motorcycle. Consequently, residents may walk for local activities while continuing to rely on motorcycles for metropolitan activities. This study conceptualizes this outcome as Fragmented Mobility Capability — distinct from spatial mismatch (Section 2.3) in its dual-scale structure, and distinct from motility (Section 2.4) in being an aggregate spatial-environment classification rather than an individual-level capacity.</w:t>
      </w:r>
    </w:p>
    <w:p>
      <w:r>
        <w:br w:type="page"/>
      </w:r>
    </w:p>
    <w:p>
      <w:pPr>
        <w:pStyle w:val="Heading1"/>
      </w:pPr>
      <w:r>
        <w:t xml:space="preserve">3. Methodology</w:t>
      </w:r>
    </w:p>
    <w:p>
      <w:pPr>
        <w:pStyle w:val="Heading2"/>
      </w:pPr>
      <w:r>
        <w:t xml:space="preserve">3.1 Study Area</w:t>
      </w:r>
    </w:p>
    <w:p>
      <w:pPr>
        <w:spacing w:after="200"/>
      </w:pPr>
      <w:r>
        <w:rPr>
          <w:b/>
          <w:bCs/>
          <w:i w:val="false"/>
          <w:iCs w:val="false"/>
        </w:rPr>
        <w:t xml:space="preserve">Case study: </w:t>
      </w:r>
      <w:r>
        <w:rPr>
          <w:b w:val="false"/>
          <w:bCs w:val="false"/>
          <w:i w:val="false"/>
          <w:iCs w:val="false"/>
        </w:rPr>
        <w:t xml:space="preserve">Vinhomes Ocean Park, with Gia Lam District and Long Bien District (Hanoi) as comparative surrounding areas.</w:t>
      </w:r>
    </w:p>
    <w:p>
      <w:pPr>
        <w:spacing w:after="200"/>
      </w:pPr>
      <w:r>
        <w:rPr>
          <w:b w:val="false"/>
          <w:bCs w:val="false"/>
          <w:i w:val="false"/>
          <w:iCs w:val="false"/>
        </w:rPr>
        <w:t xml:space="preserve">This study deliberately limits its empirical scope to a single, in-depth case study to ensure methodological rigor — including full network validation, sensitivity analysis, and robustness-checked clustering — within the scope of a single research output. Extending the framework to additional megaprojects (e.g., Vinhomes Smart City) to test cross-site reproducibility is identified explicitly as a direction for follow-up research and is not included in this study.</w:t>
      </w:r>
    </w:p>
    <w:p>
      <w:pPr>
        <w:pStyle w:val="Heading2"/>
      </w:pPr>
      <w:r>
        <w:t xml:space="preserve">3.2 Research Design</w:t>
      </w:r>
    </w:p>
    <w:p>
      <w:pPr>
        <w:spacing w:after="200"/>
      </w:pPr>
      <w:r>
        <w:rPr>
          <w:b w:val="false"/>
          <w:bCs w:val="false"/>
          <w:i w:val="false"/>
          <w:iCs w:val="false"/>
        </w:rPr>
        <w:t xml:space="preserve">A geospatial accessibility assessment is conducted under two scenarios.</w:t>
      </w:r>
    </w:p>
    <w:p>
      <w:pPr>
        <w:spacing w:after="200"/>
      </w:pPr>
      <w:r>
        <w:rPr>
          <w:b/>
          <w:bCs/>
          <w:i w:val="false"/>
          <w:iCs w:val="false"/>
        </w:rPr>
        <w:t xml:space="preserve">Scenario A: </w:t>
      </w:r>
      <w:r>
        <w:rPr>
          <w:b w:val="false"/>
          <w:bCs w:val="false"/>
          <w:i w:val="false"/>
          <w:iCs w:val="false"/>
        </w:rPr>
        <w:t xml:space="preserve">Walking and the existing Hanoi public transport network, without the megaproject-specific electric bus service.</w:t>
      </w:r>
    </w:p>
    <w:p>
      <w:pPr>
        <w:spacing w:after="200"/>
      </w:pPr>
      <w:r>
        <w:rPr>
          <w:b/>
          <w:bCs/>
          <w:i w:val="false"/>
          <w:iCs w:val="false"/>
        </w:rPr>
        <w:t xml:space="preserve">Scenario B: </w:t>
      </w:r>
      <w:r>
        <w:rPr>
          <w:b w:val="false"/>
          <w:bCs w:val="false"/>
          <w:i w:val="false"/>
          <w:iCs w:val="false"/>
        </w:rPr>
        <w:t xml:space="preserve">Scenario A plus the VinBus electric bus network.</w:t>
      </w:r>
    </w:p>
    <w:p>
      <w:pPr>
        <w:spacing w:after="200"/>
      </w:pPr>
      <w:r>
        <w:rPr>
          <w:b w:val="false"/>
          <w:bCs w:val="false"/>
          <w:i/>
          <w:iCs/>
        </w:rPr>
        <w:t xml:space="preserve">ΔSMCI = SMCI_B − SMCI_A</w:t>
      </w:r>
    </w:p>
    <w:p>
      <w:pPr>
        <w:pStyle w:val="Heading2"/>
      </w:pPr>
      <w:r>
        <w:t xml:space="preserve">3.3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Dataset</w:t>
            </w:r>
          </w:p>
        </w:tc>
        <w:tc>
          <w:tcPr>
            <w:tcW w:type="dxa" w:w="468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Source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Road and pedestrian network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OpenStreetMap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Points of interest (POIs)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OpenStreetMap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Green space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Sentinel-2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Population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WorldPop</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Administrative boundaries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GADM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Electric bus routes and stops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VinBus / GTFS / digitized routes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Employment proxy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Commercial POIs and nighttime lights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Travel-time validation benchmark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Google Maps motorcycle mode (where available) and sampled OD pairs</w:t>
            </w:r>
          </w:p>
        </w:tc>
      </w:tr>
    </w:tbl>
    <w:p>
      <w:pPr>
        <w:spacing w:after="100"/>
      </w:pPr>
      <w:r>
        <w:rPr>
          <w:b w:val="false"/>
          <w:bCs w:val="false"/>
          <w:i w:val="false"/>
          <w:iCs w:val="false"/>
        </w:rPr>
        <w:t xml:space="preserve"/>
      </w:r>
    </w:p>
    <w:p>
      <w:pPr>
        <w:pStyle w:val="Heading2"/>
      </w:pPr>
      <w:r>
        <w:t xml:space="preserve">3.4 Unit of Analysis</w:t>
      </w:r>
    </w:p>
    <w:p>
      <w:pPr>
        <w:spacing w:after="200"/>
      </w:pPr>
      <w:r>
        <w:rPr>
          <w:b w:val="false"/>
          <w:bCs w:val="false"/>
          <w:i w:val="false"/>
          <w:iCs w:val="false"/>
        </w:rPr>
        <w:t xml:space="preserve">Spatial grid: 250m × 250m cells. Each grid cell represents a potential residential location. The sensitivity of results to this choice of grid size is tested explicitly in Section 3.6, Step 7.</w:t>
      </w:r>
    </w:p>
    <w:p>
      <w:pPr>
        <w:pStyle w:val="Heading2"/>
      </w:pPr>
      <w:r>
        <w:t xml:space="preserve">3.5 Variables</w:t>
      </w:r>
    </w:p>
    <w:p>
      <w:pPr>
        <w:pStyle w:val="Heading3"/>
      </w:pPr>
      <w:r>
        <w:t xml:space="preserve">Independent Variables — Urban Form</w:t>
      </w:r>
    </w:p>
    <w:p>
      <w:pPr>
        <w:pStyle w:val="ListParagraph"/>
        <w:numPr>
          <w:ilvl w:val="0"/>
          <w:numId w:val="2"/>
        </w:numPr>
        <w:spacing w:after="100"/>
      </w:pPr>
      <w:r>
        <w:t xml:space="preserve">NDVI</w:t>
      </w:r>
    </w:p>
    <w:p>
      <w:pPr>
        <w:pStyle w:val="ListParagraph"/>
        <w:numPr>
          <w:ilvl w:val="0"/>
          <w:numId w:val="2"/>
        </w:numPr>
        <w:spacing w:after="100"/>
      </w:pPr>
      <w:r>
        <w:t xml:space="preserve">Land-use mix</w:t>
      </w:r>
    </w:p>
    <w:p>
      <w:pPr>
        <w:pStyle w:val="ListParagraph"/>
        <w:numPr>
          <w:ilvl w:val="0"/>
          <w:numId w:val="2"/>
        </w:numPr>
        <w:spacing w:after="100"/>
      </w:pPr>
      <w:r>
        <w:t xml:space="preserve">Street density</w:t>
      </w:r>
    </w:p>
    <w:p>
      <w:pPr>
        <w:pStyle w:val="ListParagraph"/>
        <w:numPr>
          <w:ilvl w:val="0"/>
          <w:numId w:val="2"/>
        </w:numPr>
        <w:spacing w:after="100"/>
      </w:pPr>
      <w:r>
        <w:t xml:space="preserve">Intersection density</w:t>
      </w:r>
    </w:p>
    <w:p>
      <w:pPr>
        <w:pStyle w:val="ListParagraph"/>
        <w:numPr>
          <w:ilvl w:val="0"/>
          <w:numId w:val="2"/>
        </w:numPr>
        <w:spacing w:after="100"/>
      </w:pPr>
      <w:r>
        <w:t xml:space="preserve">Population density</w:t>
      </w:r>
    </w:p>
    <w:p>
      <w:pPr>
        <w:pStyle w:val="Heading3"/>
      </w:pPr>
      <w:r>
        <w:t xml:space="preserve">Independent Variables — Transit Intervention</w:t>
      </w:r>
    </w:p>
    <w:p>
      <w:pPr>
        <w:pStyle w:val="ListParagraph"/>
        <w:numPr>
          <w:ilvl w:val="0"/>
          <w:numId w:val="2"/>
        </w:numPr>
        <w:spacing w:after="100"/>
      </w:pPr>
      <w:r>
        <w:t xml:space="preserve">Distance to nearest bus stop</w:t>
      </w:r>
    </w:p>
    <w:p>
      <w:pPr>
        <w:pStyle w:val="ListParagraph"/>
        <w:numPr>
          <w:ilvl w:val="0"/>
          <w:numId w:val="2"/>
        </w:numPr>
        <w:spacing w:after="100"/>
      </w:pPr>
      <w:r>
        <w:t xml:space="preserve">Number of accessible routes</w:t>
      </w:r>
    </w:p>
    <w:p>
      <w:pPr>
        <w:pStyle w:val="ListParagraph"/>
        <w:numPr>
          <w:ilvl w:val="0"/>
          <w:numId w:val="2"/>
        </w:numPr>
        <w:spacing w:after="100"/>
      </w:pPr>
      <w:r>
        <w:t xml:space="preserve">Transit service frequency</w:t>
      </w:r>
    </w:p>
    <w:p>
      <w:pPr>
        <w:pStyle w:val="Heading3"/>
      </w:pPr>
      <w:r>
        <w:t xml:space="preserve">Mediating Variables</w:t>
      </w:r>
    </w:p>
    <w:p>
      <w:pPr>
        <w:spacing w:after="200"/>
      </w:pPr>
      <w:r>
        <w:rPr>
          <w:b/>
          <w:bCs/>
          <w:i w:val="false"/>
          <w:iCs w:val="false"/>
        </w:rPr>
        <w:t xml:space="preserve">Neighborhood Accessibility Index (NAI): </w:t>
      </w:r>
      <w:r>
        <w:rPr>
          <w:b w:val="false"/>
          <w:bCs w:val="false"/>
          <w:i w:val="false"/>
          <w:iCs w:val="false"/>
        </w:rPr>
        <w:t xml:space="preserve">schools, retail, parks, and healthcare reachable within the walking threshold.</w:t>
      </w:r>
    </w:p>
    <w:p>
      <w:pPr>
        <w:spacing w:after="200"/>
      </w:pPr>
      <w:r>
        <w:rPr>
          <w:b/>
          <w:bCs/>
          <w:i w:val="false"/>
          <w:iCs w:val="false"/>
        </w:rPr>
        <w:t xml:space="preserve">Metropolitan Accessibility Index (MAI): </w:t>
      </w:r>
      <w:r>
        <w:rPr>
          <w:b w:val="false"/>
          <w:bCs w:val="false"/>
          <w:i w:val="false"/>
          <w:iCs w:val="false"/>
        </w:rPr>
        <w:t xml:space="preserve">employment, CBD, university, and major service accessibility reachable within the transit threshold.</w:t>
      </w:r>
    </w:p>
    <w:p>
      <w:pPr>
        <w:spacing w:after="200"/>
      </w:pPr>
      <w:r>
        <w:rPr>
          <w:b/>
          <w:bCs/>
          <w:i w:val="false"/>
          <w:iCs w:val="false"/>
        </w:rPr>
        <w:t xml:space="preserve">Relative Accessibility Competitiveness (RAC): </w:t>
      </w:r>
      <w:r>
        <w:rPr>
          <w:b w:val="false"/>
          <w:bCs w:val="false"/>
          <w:i w:val="false"/>
          <w:iCs w:val="false"/>
        </w:rPr>
        <w:t xml:space="preserve">RAC_time and RAC_opp, defined formally in Section 3.6, Step 2.</w:t>
      </w:r>
    </w:p>
    <w:p>
      <w:pPr>
        <w:pStyle w:val="Heading3"/>
      </w:pPr>
      <w:r>
        <w:t xml:space="preserve">Outcome Variable</w:t>
      </w:r>
    </w:p>
    <w:p>
      <w:pPr>
        <w:spacing w:after="200"/>
      </w:pPr>
      <w:r>
        <w:rPr>
          <w:b/>
          <w:bCs/>
          <w:i w:val="false"/>
          <w:iCs w:val="false"/>
        </w:rPr>
        <w:t xml:space="preserve">Sustainable Mobility Capability Index (SMCI): </w:t>
      </w:r>
      <w:r>
        <w:rPr>
          <w:b w:val="false"/>
          <w:bCs w:val="false"/>
          <w:i w:val="false"/>
          <w:iCs w:val="false"/>
        </w:rPr>
        <w:t xml:space="preserve">a composite measure representing the capability to access opportunities through walking and public transportation, relative to motorcycle accessibility.</w:t>
      </w:r>
    </w:p>
    <w:p>
      <w:pPr>
        <w:pStyle w:val="Heading2"/>
      </w:pPr>
      <w:r>
        <w:t xml:space="preserve">3.6 Analytical Methods</w:t>
      </w:r>
    </w:p>
    <w:p>
      <w:pPr>
        <w:pStyle w:val="Heading3"/>
      </w:pPr>
      <w:r>
        <w:t xml:space="preserve">Step 1 — Build three transportation networks</w:t>
      </w:r>
    </w:p>
    <w:p>
      <w:pPr>
        <w:pStyle w:val="ListParagraph"/>
        <w:numPr>
          <w:ilvl w:val="0"/>
          <w:numId w:val="2"/>
        </w:numPr>
        <w:spacing w:after="100"/>
      </w:pPr>
      <w:r>
        <w:t xml:space="preserve">Network A: Walking (OSMnx pedestrian network).</w:t>
      </w:r>
    </w:p>
    <w:p>
      <w:pPr>
        <w:pStyle w:val="ListParagraph"/>
        <w:numPr>
          <w:ilvl w:val="0"/>
          <w:numId w:val="2"/>
        </w:numPr>
        <w:spacing w:after="100"/>
      </w:pPr>
      <w:r>
        <w:t xml:space="preserve">Network B: Walking + Public Transit (GTFS / digitized VinBus and Hanoi public bus routes).</w:t>
      </w:r>
    </w:p>
    <w:p>
      <w:pPr>
        <w:pStyle w:val="ListParagraph"/>
        <w:numPr>
          <w:ilvl w:val="0"/>
          <w:numId w:val="2"/>
        </w:numPr>
        <w:spacing w:after="100"/>
      </w:pPr>
      <w:r>
        <w:t xml:space="preserve">Network C: Motorcycle (OSM road network, with speed calibration).</w:t>
      </w:r>
    </w:p>
    <w:p>
      <w:pPr>
        <w:spacing w:after="200"/>
      </w:pPr>
      <w:r>
        <w:rPr>
          <w:b/>
          <w:bCs/>
          <w:i w:val="false"/>
          <w:iCs w:val="false"/>
        </w:rPr>
        <w:t xml:space="preserve">Calibration note: </w:t>
      </w:r>
      <w:r>
        <w:rPr>
          <w:b w:val="false"/>
          <w:bCs w:val="false"/>
          <w:i w:val="false"/>
          <w:iCs w:val="false"/>
        </w:rPr>
        <w:t xml:space="preserve">Standard OSM driving-speed profiles are calibrated for car traffic and do not reflect motorcycle behavior in dense Vietnamese traffic, where lane-splitting often makes motorcycles faster than cars under congestion. Motorcycle travel times will therefore be calibrated using Google Maps motorcycle-mode estimates where available, or empirically derived speed-adjustment factors from published studies of urban motorcycle speeds in Hanoi, rather than assumed equal to standard driving speeds.</w:t>
      </w:r>
    </w:p>
    <w:p>
      <w:pPr>
        <w:pStyle w:val="Heading3"/>
      </w:pPr>
      <w:r>
        <w:t xml:space="preserve">Step 2 — Calculate accessibility indicators</w:t>
      </w:r>
    </w:p>
    <w:p>
      <w:pPr>
        <w:spacing w:after="200"/>
      </w:pPr>
      <w:r>
        <w:rPr>
          <w:b/>
          <w:bCs/>
          <w:i w:val="false"/>
          <w:iCs w:val="false"/>
        </w:rPr>
        <w:t xml:space="preserve">NAI: </w:t>
      </w:r>
      <w:r>
        <w:rPr>
          <w:b w:val="false"/>
          <w:bCs w:val="false"/>
          <w:i w:val="false"/>
          <w:iCs w:val="false"/>
        </w:rPr>
        <w:t xml:space="preserve">opportunities reachable within a 15-minute walk (tested at 10/15/20 minutes; see Step 7).</w:t>
      </w:r>
    </w:p>
    <w:p>
      <w:pPr>
        <w:spacing w:after="200"/>
      </w:pPr>
      <w:r>
        <w:rPr>
          <w:b/>
          <w:bCs/>
          <w:i w:val="false"/>
          <w:iCs w:val="false"/>
        </w:rPr>
        <w:t xml:space="preserve">MAI: </w:t>
      </w:r>
      <w:r>
        <w:rPr>
          <w:b w:val="false"/>
          <w:bCs w:val="false"/>
          <w:i w:val="false"/>
          <w:iCs w:val="false"/>
        </w:rPr>
        <w:t xml:space="preserve">opportunities reachable within a 45-minute walk-plus-transit trip (tested at 30/45/60 minutes; see Step 7).</w:t>
      </w:r>
    </w:p>
    <w:p>
      <w:pPr>
        <w:spacing w:after="200"/>
      </w:pPr>
      <w:r>
        <w:rPr>
          <w:b/>
          <w:bCs/>
          <w:i w:val="false"/>
          <w:iCs w:val="false"/>
        </w:rPr>
        <w:t xml:space="preserve">RAC: </w:t>
      </w:r>
      <w:r>
        <w:rPr>
          <w:b w:val="false"/>
          <w:bCs w:val="false"/>
          <w:i w:val="false"/>
          <w:iCs w:val="false"/>
        </w:rPr>
        <w:t xml:space="preserve">defined using two sub-indices, both oriented so that a higher value indicates greater competitiveness of walking-and-transit relative to motorcycle:</w:t>
      </w:r>
    </w:p>
    <w:p>
      <w:pPr>
        <w:pBdr>
          <w:left w:val="single" w:color="7F7F7F" w:sz="12" w:space="8"/>
        </w:pBdr>
        <w:spacing w:after="200" w:before="120"/>
        <w:ind w:left="480"/>
      </w:pPr>
      <w:r>
        <w:rPr>
          <w:i/>
          <w:iCs/>
        </w:rPr>
        <w:t xml:space="preserve">RAC_time = Motorcycle travel time / Walking-and-transit travel time</w:t>
      </w:r>
    </w:p>
    <w:p>
      <w:pPr>
        <w:pBdr>
          <w:left w:val="single" w:color="7F7F7F" w:sz="12" w:space="8"/>
        </w:pBdr>
        <w:spacing w:after="200" w:before="120"/>
        <w:ind w:left="480"/>
      </w:pPr>
      <w:r>
        <w:rPr>
          <w:i/>
          <w:iCs/>
        </w:rPr>
        <w:t xml:space="preserve">RAC_opp = Opportunities reachable (walking + transit) / Opportunities reachable (motorcycle)</w:t>
      </w:r>
    </w:p>
    <w:p>
      <w:pPr>
        <w:spacing w:after="200"/>
      </w:pPr>
      <w:r>
        <w:rPr>
          <w:b w:val="false"/>
          <w:bCs w:val="false"/>
          <w:i w:val="false"/>
          <w:iCs w:val="false"/>
        </w:rPr>
        <w:t xml:space="preserve">Both sub-indices are min–max normalized to [0,1] across the study area, then combined as a geometric mean:</w:t>
      </w:r>
    </w:p>
    <w:p>
      <w:pPr>
        <w:pBdr>
          <w:left w:val="single" w:color="7F7F7F" w:sz="12" w:space="8"/>
        </w:pBdr>
        <w:spacing w:after="200" w:before="120"/>
        <w:ind w:left="480"/>
      </w:pPr>
      <w:r>
        <w:rPr>
          <w:i/>
          <w:iCs/>
        </w:rPr>
        <w:t xml:space="preserve">RAC = √(RAC_time_norm × RAC_opp_norm)</w:t>
      </w:r>
    </w:p>
    <w:p>
      <w:pPr>
        <w:spacing w:after="200"/>
      </w:pPr>
      <w:r>
        <w:rPr>
          <w:b w:val="false"/>
          <w:bCs w:val="false"/>
          <w:i w:val="false"/>
          <w:iCs w:val="false"/>
        </w:rPr>
        <w:t xml:space="preserve">The geometric mean is used rather than an arithmetic average so that a very low value on either sub-index (e.g., transit reaching almost no opportunities, even if relatively fast) appropriately pulls down the composite RAC score, rather than being offset by a high score on the other sub-index.</w:t>
      </w:r>
    </w:p>
    <w:p>
      <w:pPr>
        <w:pStyle w:val="Heading3"/>
      </w:pPr>
      <w:r>
        <w:t xml:space="preserve">Step 3 — Sustainable Mobility Capability Index</w:t>
      </w:r>
    </w:p>
    <w:p>
      <w:pPr>
        <w:spacing w:after="200"/>
      </w:pPr>
      <w:r>
        <w:rPr>
          <w:b w:val="false"/>
          <w:bCs w:val="false"/>
          <w:i w:val="false"/>
          <w:iCs w:val="false"/>
        </w:rPr>
        <w:t xml:space="preserve">NAI, MAI, and RAC are each min–max normalized to [0,1] across the study area, then combined multiplicatively:</w:t>
      </w:r>
    </w:p>
    <w:p>
      <w:pPr>
        <w:pBdr>
          <w:left w:val="single" w:color="7F7F7F" w:sz="12" w:space="8"/>
        </w:pBdr>
        <w:spacing w:after="200" w:before="120"/>
        <w:ind w:left="480"/>
      </w:pPr>
      <w:r>
        <w:rPr>
          <w:i/>
          <w:iCs/>
        </w:rPr>
        <w:t xml:space="preserve">SMCI = NAI_norm × MAI_norm × RAC_norm</w:t>
      </w:r>
    </w:p>
    <w:p>
      <w:pPr>
        <w:spacing w:after="200"/>
      </w:pPr>
      <w:r>
        <w:rPr>
          <w:b w:val="false"/>
          <w:bCs w:val="false"/>
          <w:i w:val="false"/>
          <w:iCs w:val="false"/>
        </w:rPr>
        <w:t xml:space="preserve">This multiplicative form formalizes the central hypothesis directly: if either metropolitan accessibility or relative competitiveness against the motorcycle is very low, SMCI is low regardless of how high neighborhood accessibility is. Alternative normalization schemes (z-score) and weighting schemes (equal weights vs. PCA-derived weights) are tested as part of the sensitivity analysis (Step 7), with min–max normalization and the geometric/multiplicative form reported as the primary specification.</w:t>
      </w:r>
    </w:p>
    <w:p>
      <w:pPr>
        <w:pStyle w:val="Heading3"/>
      </w:pPr>
      <w:r>
        <w:t xml:space="preserve">Step 4 — Scenario analysis</w:t>
      </w:r>
    </w:p>
    <w:p>
      <w:pPr>
        <w:spacing w:after="200"/>
      </w:pPr>
      <w:r>
        <w:rPr>
          <w:b w:val="false"/>
          <w:bCs w:val="false"/>
          <w:i w:val="false"/>
          <w:iCs w:val="false"/>
        </w:rPr>
        <w:t xml:space="preserve">SMCI is computed separately under Scenario A and Scenario B (Section 3.2), and the accessibility gain attributable to the electric bus intervention is reported as ΔSMCI = SMCI_B − SMCI_A for each grid cell.</w:t>
      </w:r>
    </w:p>
    <w:p>
      <w:pPr>
        <w:pStyle w:val="Heading3"/>
      </w:pPr>
      <w:r>
        <w:t xml:space="preserve">Step 5 — Environment classification</w:t>
      </w:r>
    </w:p>
    <w:p>
      <w:pPr>
        <w:spacing w:after="200"/>
      </w:pPr>
      <w:r>
        <w:rPr>
          <w:b w:val="false"/>
          <w:bCs w:val="false"/>
          <w:i w:val="false"/>
          <w:iCs w:val="false"/>
        </w:rPr>
        <w:t xml:space="preserve">Grid cells are classified using k-means clustering on the vector [NAI, MAI, RAC], with the number of clusters selected via the elbow method and silhouette score, and cluster stability assessed via bootstrap resampling. A Gaussian Mixture Model is not used in the primary analysis, in order to keep the analytical scope manageable for a single-paper study; it may be reported as a supplementary robustness check if time allows, but is not a required deliverable.</w:t>
      </w:r>
    </w:p>
    <w:p>
      <w:pPr>
        <w:spacing w:after="200"/>
      </w:pPr>
      <w:r>
        <w:rPr>
          <w:b w:val="false"/>
          <w:bCs w:val="false"/>
          <w:i w:val="false"/>
          <w:iCs w:val="false"/>
        </w:rPr>
        <w:t xml:space="preserve">Expected typologies: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Typology</w:t>
            </w:r>
          </w:p>
        </w:tc>
        <w:tc>
          <w:tcPr>
            <w:tcW w:type="dxa" w:w="6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b/>
                <w:bCs/>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Integrated Capability Environment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 NAI, high MAI, high RAC — walking and transit are genuinely competitive with the motorcycle at both scales.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Fragmented Capability Environment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High NAI, but low MAI and/or low RAC — the pattern of central theoretical interest.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Transit-Dependent Environment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 NAI, high MAI and RAC — metropolitan connectivity exists but local walkability is weak.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Motorcycle Lock-in Environment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rPr>
              <w:t xml:space="preserve">Low NAI, low MAI, low RAC — motorcycle dependence at both scales.</w:t>
            </w:r>
          </w:p>
        </w:tc>
      </w:tr>
    </w:tbl>
    <w:p>
      <w:pPr>
        <w:spacing w:after="100"/>
      </w:pPr>
      <w:r>
        <w:rPr>
          <w:b w:val="false"/>
          <w:bCs w:val="false"/>
          <w:i w:val="false"/>
          <w:iCs w:val="false"/>
        </w:rPr>
        <w:t xml:space="preserve"/>
      </w:r>
    </w:p>
    <w:p>
      <w:pPr>
        <w:pStyle w:val="Heading3"/>
      </w:pPr>
      <w:r>
        <w:t xml:space="preserve">Step 6 — Validation</w:t>
      </w:r>
    </w:p>
    <w:p>
      <w:pPr>
        <w:spacing w:after="200"/>
      </w:pPr>
      <w:r>
        <w:rPr>
          <w:b/>
          <w:bCs/>
          <w:i w:val="false"/>
          <w:iCs w:val="false"/>
        </w:rPr>
        <w:t xml:space="preserve">Network validation: </w:t>
      </w:r>
      <w:r>
        <w:rPr>
          <w:b w:val="false"/>
          <w:bCs w:val="false"/>
          <w:i w:val="false"/>
          <w:iCs w:val="false"/>
        </w:rPr>
        <w:t xml:space="preserve">modeled travel times are compared against Google Maps motorcycle-mode estimates and a sample of origin–destination pairs. Large-sample, automated validation requires programmatic (API-level) access to two-wheeler routing; this will be confirmed for Vietnam before data collection. If API-level access is unavailable at the time of analysis, a smaller, manually sampled benchmark set will be used instead and reported explicitly as a limitation.</w:t>
      </w:r>
    </w:p>
    <w:p>
      <w:pPr>
        <w:spacing w:after="200"/>
      </w:pPr>
      <w:r>
        <w:rPr>
          <w:b/>
          <w:bCs/>
          <w:i w:val="false"/>
          <w:iCs w:val="false"/>
        </w:rPr>
        <w:t xml:space="preserve">Transit validation: </w:t>
      </w:r>
      <w:r>
        <w:rPr>
          <w:b w:val="false"/>
          <w:bCs w:val="false"/>
          <w:i w:val="false"/>
          <w:iCs w:val="false"/>
        </w:rPr>
        <w:t xml:space="preserve">modeled transit travel times are compared against VinBus and Hanoi public bus app schedules.</w:t>
      </w:r>
    </w:p>
    <w:p>
      <w:pPr>
        <w:spacing w:after="200"/>
      </w:pPr>
      <w:r>
        <w:rPr>
          <w:b/>
          <w:bCs/>
          <w:i w:val="false"/>
          <w:iCs w:val="false"/>
        </w:rPr>
        <w:t xml:space="preserve">Typology validation: </w:t>
      </w:r>
      <w:r>
        <w:rPr>
          <w:b w:val="false"/>
          <w:bCs w:val="false"/>
          <w:i w:val="false"/>
          <w:iCs w:val="false"/>
        </w:rPr>
        <w:t xml:space="preserve">silhouette score and bootstrap cluster stability, as noted in Step 5.</w:t>
      </w:r>
    </w:p>
    <w:p>
      <w:pPr>
        <w:pStyle w:val="Heading3"/>
      </w:pPr>
      <w:r>
        <w:t xml:space="preserve">Step 7 — Sensitivity analysis</w:t>
      </w:r>
    </w:p>
    <w:p>
      <w:pPr>
        <w:pStyle w:val="ListParagraph"/>
        <w:numPr>
          <w:ilvl w:val="0"/>
          <w:numId w:val="2"/>
        </w:numPr>
        <w:spacing w:after="100"/>
      </w:pPr>
      <w:r>
        <w:t xml:space="preserve">Walking threshold: 10 / 15 / 20 minutes.</w:t>
      </w:r>
    </w:p>
    <w:p>
      <w:pPr>
        <w:pStyle w:val="ListParagraph"/>
        <w:numPr>
          <w:ilvl w:val="0"/>
          <w:numId w:val="2"/>
        </w:numPr>
        <w:spacing w:after="100"/>
      </w:pPr>
      <w:r>
        <w:t xml:space="preserve">Transit threshold: 30 / 45 / 60 minutes.</w:t>
      </w:r>
    </w:p>
    <w:p>
      <w:pPr>
        <w:pStyle w:val="ListParagraph"/>
        <w:numPr>
          <w:ilvl w:val="0"/>
          <w:numId w:val="2"/>
        </w:numPr>
        <w:spacing w:after="100"/>
      </w:pPr>
      <w:r>
        <w:t xml:space="preserve">Grid size: 250m vs. 500m.</w:t>
      </w:r>
    </w:p>
    <w:p>
      <w:pPr>
        <w:pStyle w:val="ListParagraph"/>
        <w:numPr>
          <w:ilvl w:val="0"/>
          <w:numId w:val="2"/>
        </w:numPr>
        <w:spacing w:after="100"/>
      </w:pPr>
      <w:r>
        <w:t xml:space="preserve">Index weighting: equal weights vs. PCA-derived weights.</w:t>
      </w:r>
    </w:p>
    <w:p>
      <w:pPr>
        <w:pStyle w:val="ListParagraph"/>
        <w:numPr>
          <w:ilvl w:val="0"/>
          <w:numId w:val="2"/>
        </w:numPr>
        <w:spacing w:after="100"/>
      </w:pPr>
      <w:r>
        <w:t xml:space="preserve">Normalization: min–max vs. z-score.</w:t>
      </w:r>
    </w:p>
    <w:p>
      <w:pPr>
        <w:spacing w:after="200"/>
      </w:pPr>
      <w:r>
        <w:rPr>
          <w:b w:val="false"/>
          <w:bCs w:val="false"/>
          <w:i w:val="false"/>
          <w:iCs w:val="false"/>
        </w:rPr>
        <w:t xml:space="preserve">Results are reported as robust if the spatial pattern of typologies (Step 5) and the sign and approximate magnitude of ΔSMCI (Step 4) are stable across this parameter range; substantively different conclusions arising from particular parameter choices will be reported and discussed rather than masked by the primary specification.</w:t>
      </w:r>
    </w:p>
    <w:p>
      <w:r>
        <w:br w:type="page"/>
      </w:r>
    </w:p>
    <w:p>
      <w:pPr>
        <w:pStyle w:val="Heading1"/>
      </w:pPr>
      <w:r>
        <w:t xml:space="preserve">4. Expected Results</w:t>
      </w:r>
    </w:p>
    <w:p>
      <w:pPr>
        <w:spacing w:after="200"/>
      </w:pPr>
      <w:r>
        <w:rPr>
          <w:b w:val="false"/>
          <w:bCs w:val="false"/>
          <w:i w:val="false"/>
          <w:iCs w:val="false"/>
        </w:rPr>
        <w:t xml:space="preserve">The study expects to identify:</w:t>
      </w:r>
    </w:p>
    <w:p>
      <w:pPr>
        <w:pStyle w:val="ListParagraph"/>
        <w:numPr>
          <w:ilvl w:val="0"/>
          <w:numId w:val="3"/>
        </w:numPr>
        <w:spacing w:after="100"/>
      </w:pPr>
      <w:r>
        <w:t xml:space="preserve">Significant heterogeneity in neighborhood and metropolitan accessibility between Vinhomes Ocean Park and its surrounding districts.</w:t>
      </w:r>
    </w:p>
    <w:p>
      <w:pPr>
        <w:pStyle w:val="ListParagraph"/>
        <w:numPr>
          <w:ilvl w:val="0"/>
          <w:numId w:val="3"/>
        </w:numPr>
        <w:spacing w:after="100"/>
      </w:pPr>
      <w:r>
        <w:t xml:space="preserve">A measurable but spatially uneven accessibility gain (ΔSMCI) generated by the electric bus intervention.</w:t>
      </w:r>
    </w:p>
    <w:p>
      <w:pPr>
        <w:pStyle w:val="ListParagraph"/>
        <w:numPr>
          <w:ilvl w:val="0"/>
          <w:numId w:val="3"/>
        </w:numPr>
        <w:spacing w:after="100"/>
      </w:pPr>
      <w:r>
        <w:t xml:space="preserve">A spatial concentration of low Relative Accessibility Competitiveness (RAC) in areas with otherwise strong neighborhood accessibility — the signature of fragmented mobility capability.</w:t>
      </w:r>
    </w:p>
    <w:p>
      <w:pPr>
        <w:pStyle w:val="ListParagraph"/>
        <w:numPr>
          <w:ilvl w:val="0"/>
          <w:numId w:val="3"/>
        </w:numPr>
        <w:spacing w:after="100"/>
      </w:pPr>
      <w:r>
        <w:t xml:space="preserve">Urban-form and transit-service characteristics (e.g., low route density, high distance to stops) that significantly predict classification as a fragmented capability environment.</w:t>
      </w:r>
    </w:p>
    <w:p>
      <w:pPr>
        <w:spacing w:after="200"/>
      </w:pPr>
      <w:r>
        <w:rPr>
          <w:b/>
          <w:bCs/>
          <w:i w:val="false"/>
          <w:iCs w:val="false"/>
        </w:rPr>
        <w:t xml:space="preserve">Expected core finding: </w:t>
      </w:r>
      <w:r>
        <w:rPr>
          <w:b w:val="false"/>
          <w:bCs w:val="false"/>
          <w:i w:val="false"/>
          <w:iCs w:val="false"/>
        </w:rPr>
        <w:t xml:space="preserve">Vinhomes Ocean Park may provide a highly walkable local environment while remaining insufficiently competitive with the motorcycle at the metropolitan scale — a pattern this study terms fragmented mobility capability.</w:t>
      </w:r>
    </w:p>
    <w:p>
      <w:pPr>
        <w:pStyle w:val="Heading1"/>
      </w:pPr>
      <w:r>
        <w:t xml:space="preserve">5. Discussion</w:t>
      </w:r>
    </w:p>
    <w:p>
      <w:pPr>
        <w:spacing w:after="200"/>
      </w:pPr>
      <w:r>
        <w:rPr>
          <w:b w:val="false"/>
          <w:bCs w:val="false"/>
          <w:i w:val="false"/>
          <w:iCs w:val="false"/>
        </w:rPr>
        <w:t xml:space="preserve">The study is expected to challenge the assumption that green urban design combined with public transportation investment is sufficient to produce a sustainable mobility transition. Instead, findings may indicate that sustainable mobility capability is multi-scalar and mode-relative: neighborhood accessibility alone is insufficient, and motorcycle dependency may persist at the metropolitan scale despite substantial green investment at the neighborhood scale.</w:t>
      </w:r>
    </w:p>
    <w:p>
      <w:pPr>
        <w:spacing w:after="200"/>
      </w:pPr>
      <w:r>
        <w:rPr>
          <w:b w:val="false"/>
          <w:bCs w:val="false"/>
          <w:i w:val="false"/>
          <w:iCs w:val="false"/>
        </w:rPr>
        <w:t xml:space="preserve">The proposed framework — and specifically the RAC index — offers a replicable way of stating precisely how much more competitive walking-and-transit accessibility would need to become, relative to the motorcycle, before a megaproject’s metropolitan accessibility could be considered integrated rather than fragmented. This operational precision is what distinguishes the contribution from a purely descriptive observation that "motorcycles remain dominant despite green investment."</w:t>
      </w:r>
    </w:p>
    <w:p>
      <w:pPr>
        <w:pStyle w:val="Heading1"/>
      </w:pPr>
      <w:r>
        <w:t xml:space="preserve">6. Conclusion</w:t>
      </w:r>
    </w:p>
    <w:p>
      <w:pPr>
        <w:spacing w:after="200"/>
      </w:pPr>
      <w:r>
        <w:rPr>
          <w:b w:val="false"/>
          <w:bCs w:val="false"/>
          <w:i w:val="false"/>
          <w:iCs w:val="false"/>
        </w:rPr>
        <w:t xml:space="preserve">This study develops a dual-scale, mode-competitive accessibility framework to explain why a privately developed green megaproject in a motorcycle-dependent city may achieve a highly walkable local environment yet remain unable to generate integrated sustainable mobility capability at the metropolitan scale. By integrating neighborhood accessibility, metropolitan accessibility, and an explicit Relative Accessibility Competitiveness index, the study operationalizes the concept of fragmented mobility capability, positions it explicitly against the spatial mismatch and motility literatures, and demonstrates how green megaprojects may simultaneously promote local sustainability while preserving metropolitan-scale motorcycle dependency.</w:t>
      </w:r>
    </w:p>
    <w:p>
      <w:pPr>
        <w:spacing w:after="200"/>
      </w:pPr>
      <w:r>
        <w:rPr>
          <w:b w:val="false"/>
          <w:bCs w:val="false"/>
          <w:i w:val="false"/>
          <w:iCs w:val="false"/>
        </w:rPr>
        <w:t xml:space="preserve">The framework contributes theoretically to transportation geography and provides a validated, sensitivity-tested, single-case methodology that can be extended to other motorcycle-dependent megaprojects in future research.</w:t>
      </w:r>
    </w:p>
    <w:p>
      <w:r>
        <w:br w:type="page"/>
      </w:r>
    </w:p>
    <w:p>
      <w:pPr>
        <w:pStyle w:val="Heading1"/>
      </w:pPr>
      <w:r>
        <w:t xml:space="preserve">References (Preliminary)</w:t>
      </w:r>
    </w:p>
    <w:p>
      <w:pPr>
        <w:spacing w:after="150"/>
      </w:pPr>
      <w:r>
        <w:rPr>
          <w:b w:val="false"/>
          <w:bCs w:val="false"/>
          <w:i w:val="false"/>
          <w:iCs w:val="false"/>
        </w:rPr>
        <w:t xml:space="preserve">Cervero, R., &amp; Kockelman, K. (1997). Travel demand and the 3Ds: Density, diversity, and design. Transportation Research Part D, 2(3), 199–219.</w:t>
      </w:r>
    </w:p>
    <w:p>
      <w:pPr>
        <w:spacing w:after="150"/>
      </w:pPr>
      <w:r>
        <w:rPr>
          <w:b w:val="false"/>
          <w:bCs w:val="false"/>
          <w:i w:val="false"/>
          <w:iCs w:val="false"/>
        </w:rPr>
        <w:t xml:space="preserve">Geurs, K. T., &amp; van Wee, B. (2004). Accessibility evaluation of land-use and transport strategies: Review and research directions. Journal of Transport Geography, 12(2), 127–140.</w:t>
      </w:r>
    </w:p>
    <w:p>
      <w:pPr>
        <w:spacing w:after="150"/>
      </w:pPr>
      <w:r>
        <w:rPr>
          <w:b w:val="false"/>
          <w:bCs w:val="false"/>
          <w:i w:val="false"/>
          <w:iCs w:val="false"/>
        </w:rPr>
        <w:t xml:space="preserve">Kain, J. F. (1968). Housing segregation, negro employment, and metropolitan decentralization. The Quarterly Journal of Economics, 82(2), 175–197.</w:t>
      </w:r>
    </w:p>
    <w:p>
      <w:pPr>
        <w:spacing w:after="150"/>
      </w:pPr>
      <w:r>
        <w:rPr>
          <w:b w:val="false"/>
          <w:bCs w:val="false"/>
          <w:i w:val="false"/>
          <w:iCs w:val="false"/>
        </w:rPr>
        <w:t xml:space="preserve">Kaufmann, V., Bergman, M. M., &amp; Joye, D. (2004). Motility: Mobility as capital. International Journal of Urban and Regional Research, 28(4), 745–756.</w:t>
      </w:r>
    </w:p>
    <w:p>
      <w:pPr>
        <w:spacing w:after="150"/>
      </w:pPr>
      <w:r>
        <w:rPr>
          <w:b w:val="false"/>
          <w:bCs w:val="false"/>
          <w:i w:val="false"/>
          <w:iCs w:val="false"/>
        </w:rPr>
        <w:t xml:space="preserve">Levinson, D. M. (2012). Accessibility and transport planning. [Working paper / book chapter — verify full citation].</w:t>
      </w:r>
    </w:p>
    <w:p>
      <w:pPr>
        <w:spacing w:after="150"/>
      </w:pPr>
      <w:r>
        <w:rPr>
          <w:b w:val="false"/>
          <w:bCs w:val="false"/>
          <w:i w:val="false"/>
          <w:iCs w:val="false"/>
        </w:rPr>
        <w:t xml:space="preserve">Nguyen, N. P. Q. D., et al. Various studies on travel behavior and public transportation in Vietnam. [Specific citations to be added.]</w:t>
      </w:r>
    </w:p>
    <w:p>
      <w:pPr>
        <w:spacing w:after="150"/>
      </w:pPr>
      <w:r>
        <w:rPr>
          <w:b w:val="false"/>
          <w:bCs w:val="false"/>
          <w:i w:val="false"/>
          <w:iCs w:val="false"/>
        </w:rPr>
        <w:t xml:space="preserve">Pojani, D., &amp; Stead, D. (2015). Sustainable urban transport in the developing world: Beyond megacities. Sustainability, 7(6), 7784–7805.</w:t>
      </w:r>
    </w:p>
    <w:p>
      <w:pPr>
        <w:spacing w:after="150"/>
      </w:pPr>
      <w:r>
        <w:rPr>
          <w:b w:val="false"/>
          <w:bCs w:val="false"/>
          <w:i w:val="false"/>
          <w:iCs w:val="false"/>
        </w:rPr>
        <w:t xml:space="preserve">Sen, A. (1999). Development as Freedom. Oxford University Press.</w:t>
      </w:r>
    </w:p>
    <w:p>
      <w:pPr>
        <w:spacing w:after="150"/>
      </w:pPr>
      <w:r>
        <w:rPr>
          <w:b w:val="false"/>
          <w:bCs w:val="false"/>
          <w:i w:val="false"/>
          <w:iCs w:val="false"/>
        </w:rPr>
        <w:t xml:space="preserve">Vecchio, G., &amp; Martens, K. (2021). Accessibility and the capabilities approach: A review of the literature and proposal for conceptual advancements. Transport Reviews, 41(6), 833–854.</w:t>
      </w:r>
    </w:p>
    <w:p>
      <w:pPr>
        <w:spacing w:before="100"/>
      </w:pPr>
      <w:r>
        <w:rPr>
          <w:b w:val="false"/>
          <w:bCs w:val="false"/>
          <w:i w:val="false"/>
          <w:iCs w:val="false"/>
        </w:rPr>
        <w:t xml:space="preserve">Note: all newly added references (Kain, 1968; Kaufmann et al., 2004; Vecchio &amp; Martens, 2021) have been verified against publisher/library records during the preparation of this version. The Levinson (2012) and Nguyen et al. entries inherited from the original draft should be checked and completed with full citation details before submission.</w:t>
      </w:r>
    </w:p>
    <w:p>
      <w:pPr>
        <w:pStyle w:val="Heading1"/>
      </w:pPr>
      <w:r>
        <w:t xml:space="preserve">Appendices (Proposed)</w:t>
      </w:r>
    </w:p>
    <w:p>
      <w:pPr>
        <w:pStyle w:val="ListParagraph"/>
        <w:numPr>
          <w:ilvl w:val="0"/>
          <w:numId w:val="2"/>
        </w:numPr>
        <w:spacing w:after="100"/>
      </w:pPr>
      <w:r>
        <w:t xml:space="preserve">Appendix A: Accessibility indicators and formulas, including the full RAC and SMCI specifications.</w:t>
      </w:r>
    </w:p>
    <w:p>
      <w:pPr>
        <w:pStyle w:val="ListParagraph"/>
        <w:numPr>
          <w:ilvl w:val="0"/>
          <w:numId w:val="2"/>
        </w:numPr>
        <w:spacing w:after="100"/>
      </w:pPr>
      <w:r>
        <w:t xml:space="preserve">Appendix B: Data preprocessing workflow.</w:t>
      </w:r>
    </w:p>
    <w:p>
      <w:pPr>
        <w:pStyle w:val="ListParagraph"/>
        <w:numPr>
          <w:ilvl w:val="0"/>
          <w:numId w:val="2"/>
        </w:numPr>
        <w:spacing w:after="100"/>
      </w:pPr>
      <w:r>
        <w:t xml:space="preserve">Appendix C: Network analysis procedures, including the motorcycle speed-calibration protocol.</w:t>
      </w:r>
    </w:p>
    <w:p>
      <w:pPr>
        <w:pStyle w:val="ListParagraph"/>
        <w:numPr>
          <w:ilvl w:val="0"/>
          <w:numId w:val="2"/>
        </w:numPr>
        <w:spacing w:after="100"/>
      </w:pPr>
      <w:r>
        <w:t xml:space="preserve">Appendix D: Variable definitions and formulas.</w:t>
      </w:r>
    </w:p>
    <w:p>
      <w:pPr>
        <w:pStyle w:val="ListParagraph"/>
        <w:numPr>
          <w:ilvl w:val="0"/>
          <w:numId w:val="2"/>
        </w:numPr>
        <w:spacing w:after="100"/>
      </w:pPr>
      <w:r>
        <w:t xml:space="preserve">Appendix E: Full sensitivity analysis specification and results tables.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Proposal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60"/>
      <w:outlineLvl w:val="1"/>
    </w:pPr>
    <w:rPr>
      <w:rFonts w:ascii="Arial" w:cs="Arial" w:eastAsia="Arial" w:hAnsi="Arial"/>
      <w:b/>
      <w:bCs/>
      <w:color w:val="2E5496"/>
      <w:sz w:val="26"/>
      <w:szCs w:val="26"/>
    </w:rPr>
  </w:style>
  <w:style w:type="paragraph" w:styleId="Heading3">
    <w:name w:val="Heading 3"/>
    <w:basedOn w:val="Normal"/>
    <w:next w:val="Normal"/>
    <w:qFormat/>
    <w:pPr>
      <w:spacing w:after="120" w:before="200"/>
      <w:outlineLvl w:val="2"/>
    </w:pPr>
    <w:rPr>
      <w:rFonts w:ascii="Arial" w:cs="Arial" w:eastAsia="Arial" w:hAnsi="Arial"/>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2026-06-21T09:46:34.656Z</dcterms:created>
  <dcterms:modified xsi:type="dcterms:W3CDTF">2026-06-21T09:46:34.656Z</dcterms:modified>
</cp:coreProperties>
</file>

<file path=docProps/custom.xml><?xml version="1.0" encoding="utf-8"?>
<Properties xmlns="http://schemas.openxmlformats.org/officeDocument/2006/custom-properties" xmlns:vt="http://schemas.openxmlformats.org/officeDocument/2006/docPropsVTypes"/>
</file>