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sz w:val="34"/>
          <w:szCs w:val="34"/>
        </w:rPr>
        <w:t xml:space="preserve">Fragmented Mobility Capability in Motorcycle-Dependent Green Megaprojects</w:t>
      </w:r>
    </w:p>
    <w:p>
      <w:pPr>
        <w:spacing w:after="500"/>
        <w:jc w:val="center"/>
      </w:pPr>
      <w:r>
        <w:rPr>
          <w:i/>
          <w:iCs/>
          <w:sz w:val="28"/>
          <w:szCs w:val="28"/>
        </w:rPr>
        <w:t xml:space="preserve">A Dual-Scale and Mode-Competitive Accessibility Framework from Vietnam</w:t>
      </w:r>
    </w:p>
    <w:p>
      <w:pPr>
        <w:spacing w:after="700"/>
        <w:jc w:val="center"/>
      </w:pPr>
      <w:r>
        <w:rPr>
          <w:sz w:val="24"/>
          <w:szCs w:val="24"/>
        </w:rPr>
        <w:t xml:space="preserve">Research Proposal — Version 6.0</w:t>
      </w:r>
    </w:p>
    <w:p>
      <w:pPr>
        <w:spacing w:after="120"/>
        <w:jc w:val="center"/>
      </w:pPr>
      <w:r>
        <w:rPr>
          <w:sz w:val="24"/>
          <w:szCs w:val="24"/>
        </w:rPr>
        <w:t xml:space="preserve">Author: [Tên của bạn]</w:t>
      </w:r>
    </w:p>
    <w:p>
      <w:pPr>
        <w:spacing w:after="120"/>
        <w:jc w:val="center"/>
      </w:pPr>
      <w:r>
        <w:rPr>
          <w:sz w:val="24"/>
          <w:szCs w:val="24"/>
        </w:rPr>
        <w:t xml:space="preserve">Affiliation: [Trường Đại học], Vietnam</w:t>
      </w:r>
    </w:p>
    <w:p>
      <w:pPr>
        <w:spacing w:after="600"/>
        <w:jc w:val="center"/>
      </w:pPr>
      <w:r>
        <w:rPr>
          <w:sz w:val="24"/>
          <w:szCs w:val="24"/>
        </w:rPr>
        <w:t xml:space="preserve">Supervisor: Dr. Nguyen Phuoc Quy Duy</w:t>
      </w:r>
    </w:p>
    <w:p>
      <w:r>
        <w:br w:type="page"/>
      </w:r>
    </w:p>
    <w:p>
      <w:pPr>
        <w:pStyle w:val="Heading1"/>
      </w:pPr>
      <w:r>
        <w:t xml:space="preserve">Note on This Version (v6.0)</w:t>
      </w:r>
    </w:p>
    <w:p>
      <w:pPr>
        <w:spacing w:after="200"/>
      </w:pPr>
      <w:r>
        <w:rPr>
          <w:b w:val="false"/>
          <w:bCs w:val="false"/>
          <w:i w:val="false"/>
          <w:iCs w:val="false"/>
        </w:rPr>
        <w:t xml:space="preserve">This version addresses six measurement-validity concerns raised in review of v5.0, all internal to the Methodology rather than to scope or structure:</w:t>
      </w:r>
    </w:p>
    <w:p>
      <w:pPr>
        <w:pStyle w:val="ListParagraph"/>
        <w:numPr>
          <w:ilvl w:val="0"/>
          <w:numId w:val="2"/>
        </w:numPr>
        <w:spacing w:after="100"/>
      </w:pPr>
      <w:r>
        <w:t xml:space="preserve">Opportunities vs. locations (Section 3.4): NAI is now explicitly count-based (presence/proximity of a reachable facility), while MAI is explicitly magnitude-weighted (employment, enrollment, and density proxies), rather than treating every OpenStreetMap point of interest as equivalent.</w:t>
      </w:r>
    </w:p>
    <w:p>
      <w:pPr>
        <w:pStyle w:val="ListParagraph"/>
        <w:numPr>
          <w:ilvl w:val="0"/>
          <w:numId w:val="2"/>
        </w:numPr>
        <w:spacing w:after="100"/>
      </w:pPr>
      <w:r>
        <w:t xml:space="preserve">SMCI distribution (Section 3.8): a concrete, falsifiable commitment is added — reporting SMCI’s skewness and histogram, and its Spearman correlation with a geometric-mean alternative — rather than an unspecified promise to "inspect" it.</w:t>
      </w:r>
    </w:p>
    <w:p>
      <w:pPr>
        <w:pStyle w:val="ListParagraph"/>
        <w:numPr>
          <w:ilvl w:val="0"/>
          <w:numId w:val="2"/>
        </w:numPr>
        <w:spacing w:after="100"/>
      </w:pPr>
      <w:r>
        <w:t xml:space="preserve">Theory-first classification (Section 3.10): the primary typology is now derived from a median split on NAI and a combined Metropolitan Competitiveness Score (MAI and RAC), yielding exactly the four named typologies by construction; k-means is retained only as a robustness cross-check, not as the primary method that determines how many typologies exist.</w:t>
      </w:r>
    </w:p>
    <w:p>
      <w:pPr>
        <w:pStyle w:val="ListParagraph"/>
        <w:numPr>
          <w:ilvl w:val="0"/>
          <w:numId w:val="2"/>
        </w:numPr>
        <w:spacing w:after="100"/>
      </w:pPr>
      <w:r>
        <w:t xml:space="preserve">RAC–MAI collinearity (Section 3.9, new): a correlation/VIF check is added before classification, with an explicit structural reason given for expecting collinearity, and a stated contingency (reporting RAC_time alone) if it is severe.</w:t>
      </w:r>
    </w:p>
    <w:p>
      <w:pPr>
        <w:pStyle w:val="ListParagraph"/>
        <w:numPr>
          <w:ilvl w:val="0"/>
          <w:numId w:val="2"/>
        </w:numPr>
        <w:spacing w:after="100"/>
      </w:pPr>
      <w:r>
        <w:t xml:space="preserve">Validation hierarchy (Section 3.11): literature-calibrated motorcycle speeds are now the primary basis for Network D travel times; Google Maps motorcycle-mode estimates are repositioned as a secondary benchmark, not a foundation the model depends on.</w:t>
      </w:r>
    </w:p>
    <w:p>
      <w:pPr>
        <w:pStyle w:val="ListParagraph"/>
        <w:numPr>
          <w:ilvl w:val="0"/>
          <w:numId w:val="2"/>
        </w:numPr>
        <w:spacing w:after="100"/>
      </w:pPr>
      <w:r>
        <w:t xml:space="preserve">The green dimension (Sections 3.5, 5): the urban-form variable list — including NDVI — has been restored after being inadvertently dropped in v5.0, green-space accessibility is named explicitly within NAI, and the Discussion now states directly that this study tests, rather than assumes, whether the megaproject’s green-space dimension is substantively related to its mobility outcomes.</w:t>
      </w:r>
    </w:p>
    <w:p>
      <w:pPr>
        <w:pStyle w:val="Heading1"/>
      </w:pPr>
      <w:r>
        <w:t xml:space="preserve">Abstract</w:t>
      </w:r>
    </w:p>
    <w:p>
      <w:pPr>
        <w:spacing w:after="200"/>
      </w:pPr>
      <w:r>
        <w:rPr>
          <w:b w:val="false"/>
          <w:bCs w:val="false"/>
          <w:i w:val="false"/>
          <w:iCs w:val="false"/>
        </w:rPr>
        <w:t xml:space="preserve">Large-scale green megaprojects and electric bus systems are increasingly promoted as pathways toward sustainable urban development in rapidly urbanizing Asian cities. However, little is known about whether these interventions create integrated sustainable mobility capability in motorcycle-dependent contexts.</w:t>
      </w:r>
    </w:p>
    <w:p>
      <w:pPr>
        <w:spacing w:after="200"/>
      </w:pPr>
      <w:r>
        <w:rPr>
          <w:b w:val="false"/>
          <w:bCs w:val="false"/>
          <w:i w:val="false"/>
          <w:iCs w:val="false"/>
        </w:rPr>
        <w:t xml:space="preserve">This study develops a dual-scale, mode-competitive accessibility framework to examine sustainable mobility capability in a privately developed green megaproject. We argue that sustainable mobility capability emerges not merely from local walkability, but from the interaction between neighborhood accessibility, metropolitan accessibility, and the relative competitiveness of walking and public transport compared with motorcycles — operationalized here through a Relative Accessibility Competitiveness (RAC) index.</w:t>
      </w:r>
    </w:p>
    <w:p>
      <w:pPr>
        <w:spacing w:after="200"/>
      </w:pPr>
      <w:r>
        <w:rPr>
          <w:b w:val="false"/>
          <w:bCs w:val="false"/>
          <w:i w:val="false"/>
          <w:iCs w:val="false"/>
        </w:rPr>
        <w:t xml:space="preserve">Using Vinhomes Ocean Park in Hanoi as a single, in-depth case study, we construct open-data accessibility indicators from pedestrian, public-transport, and motorcycle networks. We measure a Neighborhood Accessibility Index (NAI), a Metropolitan Accessibility Index (MAI), and RAC, and integrate them into a composite Sustainable Mobility Capability Index (SMCI), validated against independent travel-time and urban-form benchmarks. We then identify and explain spatial patterns of fragmented mobility capability, in which high local accessibility coexists with weak, motorcycle-dominated metropolitan accessibility.</w:t>
      </w:r>
    </w:p>
    <w:p>
      <w:pPr>
        <w:spacing w:after="200"/>
      </w:pPr>
      <w:r>
        <w:rPr>
          <w:b w:val="false"/>
          <w:bCs w:val="false"/>
          <w:i w:val="false"/>
          <w:iCs w:val="false"/>
        </w:rPr>
        <w:t xml:space="preserve">The study contributes to transport geography by positioning fragmented mobility capability explicitly against the spatial mismatch hypothesis and the motility framework, and by providing a validated, replicable single-case methodology for future extension to other motorcycle-dependent megaprojects.</w:t>
      </w:r>
    </w:p>
    <w:p>
      <w:pPr>
        <w:spacing w:after="200"/>
      </w:pPr>
      <w:r>
        <w:rPr>
          <w:b/>
          <w:bCs/>
          <w:i w:val="false"/>
          <w:iCs w:val="false"/>
        </w:rPr>
        <w:t xml:space="preserve">Keywords: </w:t>
      </w:r>
      <w:r>
        <w:rPr>
          <w:b w:val="false"/>
          <w:bCs w:val="false"/>
          <w:i w:val="false"/>
          <w:iCs w:val="false"/>
        </w:rPr>
        <w:t xml:space="preserve">Sustainable mobility capability; Relative accessibility competitiveness; Motorcycle-dependent cities; Green megaprojects; Electric buses; Transport geography.</w:t>
      </w:r>
    </w:p>
    <w:p>
      <w:pPr>
        <w:pStyle w:val="Heading1"/>
      </w:pPr>
      <w:r>
        <w:t xml:space="preserve">1. Introduction</w:t>
      </w:r>
    </w:p>
    <w:p>
      <w:pPr>
        <w:pStyle w:val="Heading2"/>
      </w:pPr>
      <w:r>
        <w:t xml:space="preserve">1.1 Background</w:t>
      </w:r>
    </w:p>
    <w:p>
      <w:pPr>
        <w:spacing w:after="200"/>
      </w:pPr>
      <w:r>
        <w:rPr>
          <w:b w:val="false"/>
          <w:bCs w:val="false"/>
          <w:i w:val="false"/>
          <w:iCs w:val="false"/>
        </w:rPr>
        <w:t xml:space="preserve">Cities across Asia are increasingly investing in green megaprojects and low-carbon transportation systems to address sustainability challenges. In Vietnam, large master-planned developments such as Vinhomes Ocean Park integrate extensive green spaces, mixed-use functions, and electric bus systems as part of their sustainable urban development strategies.</w:t>
      </w:r>
    </w:p>
    <w:p>
      <w:pPr>
        <w:spacing w:after="200"/>
      </w:pPr>
      <w:r>
        <w:rPr>
          <w:b w:val="false"/>
          <w:bCs w:val="false"/>
          <w:i w:val="false"/>
          <w:iCs w:val="false"/>
        </w:rPr>
        <w:t xml:space="preserve">Despite these investments, motorcycle dependency remains deeply embedded in Vietnamese cities. Motorcycles continue to dominate urban mobility due to their affordability, flexibility, and door-to-door accessibility. Consequently, the existence of green infrastructure and public transportation services does not necessarily imply that residents can transition toward more sustainable mobility patterns.</w:t>
      </w:r>
    </w:p>
    <w:p>
      <w:pPr>
        <w:spacing w:after="200"/>
      </w:pPr>
      <w:r>
        <w:rPr>
          <w:b w:val="false"/>
          <w:bCs w:val="false"/>
          <w:i w:val="false"/>
          <w:iCs w:val="false"/>
        </w:rPr>
        <w:t xml:space="preserve">This raises a central question: can green megaprojects and transit interventions create the spatial conditions necessary for sustainable mobility transitions in motorcycle-dependent cities, or do they primarily improve local walkability while leaving residents structurally dependent on motorcycles for metropolitan travel?</w:t>
      </w:r>
    </w:p>
    <w:p>
      <w:pPr>
        <w:pStyle w:val="Heading2"/>
      </w:pPr>
      <w:r>
        <w:t xml:space="preserve">1.2 Research Gap</w:t>
      </w:r>
    </w:p>
    <w:p>
      <w:pPr>
        <w:pStyle w:val="Heading3"/>
      </w:pPr>
      <w:r>
        <w:t xml:space="preserve">Gap 1: Contextual and Institutional Gap</w:t>
      </w:r>
    </w:p>
    <w:p>
      <w:pPr>
        <w:spacing w:after="200"/>
      </w:pPr>
      <w:r>
        <w:rPr>
          <w:b w:val="false"/>
          <w:bCs w:val="false"/>
          <w:i w:val="false"/>
          <w:iCs w:val="false"/>
        </w:rPr>
        <w:t xml:space="preserve">Most empirical evidence on accessibility interventions originates from automobile-oriented or transit-oriented cities. Privately developed green megaprojects in motorcycle-dependent cities differ fundamentally from classical Transit-Oriented Development (TOD). In TOD, metropolitan integration is embedded by design around pre-existing public transport corridors. In contrast, green megaprojects often introduce transit services as private amenities layered onto already-built environments, with integration into citywide public transport networks evolving incrementally and uncertainly.</w:t>
      </w:r>
    </w:p>
    <w:p>
      <w:pPr>
        <w:pStyle w:val="Heading3"/>
      </w:pPr>
      <w:r>
        <w:t xml:space="preserve">Gap 2: Scale-Interaction Gap</w:t>
      </w:r>
    </w:p>
    <w:p>
      <w:pPr>
        <w:spacing w:after="200"/>
      </w:pPr>
      <w:r>
        <w:rPr>
          <w:b w:val="false"/>
          <w:bCs w:val="false"/>
          <w:i w:val="false"/>
          <w:iCs w:val="false"/>
        </w:rPr>
        <w:t xml:space="preserve">Accessibility research generally examines neighborhood accessibility and metropolitan accessibility separately. Much less attention has been paid to situations where strong neighborhood accessibility coexists with weak metropolitan accessibility relative to motorcycle accessibility, and how this mismatch may generate fragmented mobility capability rather than integrated sustainable mobility.</w:t>
      </w:r>
    </w:p>
    <w:p>
      <w:pPr>
        <w:pStyle w:val="Heading3"/>
      </w:pPr>
      <w:r>
        <w:t xml:space="preserve">Gap 3: Capability-Operationalization Gap</w:t>
      </w:r>
    </w:p>
    <w:p>
      <w:pPr>
        <w:spacing w:after="200"/>
      </w:pPr>
      <w:r>
        <w:rPr>
          <w:b w:val="false"/>
          <w:bCs w:val="false"/>
          <w:i w:val="false"/>
          <w:iCs w:val="false"/>
        </w:rPr>
        <w:t xml:space="preserve">The capability approach (Sen, 1999) and the motility literature (Kaufmann et al., 2004) conceptualize mobility as a multidimensional capacity involving access, competence, and appropriation. However, no operational framework currently exists for measuring the access dimension of dual-scale, mode-competitive mobility capability in motorcycle-dependent green megaprojects using reproducible open geospatial data.</w:t>
      </w:r>
    </w:p>
    <w:p>
      <w:pPr>
        <w:pStyle w:val="Heading2"/>
      </w:pPr>
      <w:r>
        <w:t xml:space="preserve">1.3 Research Objectives</w:t>
      </w:r>
    </w:p>
    <w:p>
      <w:pPr>
        <w:pStyle w:val="ListParagraph"/>
        <w:numPr>
          <w:ilvl w:val="0"/>
          <w:numId w:val="3"/>
        </w:numPr>
        <w:spacing w:after="100"/>
      </w:pPr>
      <w:r>
        <w:t xml:space="preserve">RO1. Compare neighborhood accessibility (NAI) and metropolitan accessibility (MAI) between Vinhomes Ocean Park and its surrounding urban districts.</w:t>
      </w:r>
    </w:p>
    <w:p>
      <w:pPr>
        <w:pStyle w:val="ListParagraph"/>
        <w:numPr>
          <w:ilvl w:val="0"/>
          <w:numId w:val="3"/>
        </w:numPr>
        <w:spacing w:after="100"/>
      </w:pPr>
      <w:r>
        <w:t xml:space="preserve">RO2. Quantify the accessibility and capability gains attributable to the electric bus intervention.</w:t>
      </w:r>
    </w:p>
    <w:p>
      <w:pPr>
        <w:pStyle w:val="ListParagraph"/>
        <w:numPr>
          <w:ilvl w:val="0"/>
          <w:numId w:val="3"/>
        </w:numPr>
        <w:spacing w:after="100"/>
      </w:pPr>
      <w:r>
        <w:t xml:space="preserve">RO3. Identify the extent and spatial configuration of low Relative Accessibility Competitiveness (RAC).</w:t>
      </w:r>
    </w:p>
    <w:p>
      <w:pPr>
        <w:pStyle w:val="ListParagraph"/>
        <w:numPr>
          <w:ilvl w:val="0"/>
          <w:numId w:val="3"/>
        </w:numPr>
        <w:spacing w:after="100"/>
      </w:pPr>
      <w:r>
        <w:t xml:space="preserve">RO4. Determine which urban-form and transit-service characteristics are associated with fragmented mobility capability.</w:t>
      </w:r>
    </w:p>
    <w:p>
      <w:pPr>
        <w:pStyle w:val="Heading2"/>
      </w:pPr>
      <w:r>
        <w:t xml:space="preserve">1.4 Research Questions</w:t>
      </w:r>
    </w:p>
    <w:p>
      <w:pPr>
        <w:spacing w:after="200"/>
      </w:pPr>
      <w:r>
        <w:rPr>
          <w:b/>
          <w:bCs/>
          <w:i w:val="false"/>
          <w:iCs w:val="false"/>
        </w:rPr>
        <w:t xml:space="preserve">Central Hypothesis: </w:t>
      </w:r>
    </w:p>
    <w:p>
      <w:pPr>
        <w:pBdr>
          <w:left w:val="single" w:color="7F7F7F" w:sz="12" w:space="8"/>
        </w:pBdr>
        <w:spacing w:after="200" w:before="120"/>
        <w:ind w:left="480"/>
      </w:pPr>
      <w:r>
        <w:rPr>
          <w:i/>
          <w:iCs/>
        </w:rPr>
        <w:t xml:space="preserve">High neighborhood accessibility alone is insufficient to generate integrated sustainable mobility capability when Relative Accessibility Competitiveness (RAC) — the competitiveness of walking-and-transit accessibility relative to motorcycle accessibility — remains low.</w:t>
      </w:r>
    </w:p>
    <w:p>
      <w:pPr>
        <w:spacing w:after="200"/>
      </w:pPr>
      <w:r>
        <w:rPr>
          <w:b/>
          <w:bCs/>
          <w:i w:val="false"/>
          <w:iCs w:val="false"/>
        </w:rPr>
        <w:t xml:space="preserve">RQ1 (Foundational). </w:t>
      </w:r>
      <w:r>
        <w:rPr>
          <w:b w:val="false"/>
          <w:bCs w:val="false"/>
          <w:i w:val="false"/>
          <w:iCs w:val="false"/>
        </w:rPr>
        <w:t xml:space="preserve">How do Vinhomes Ocean Park and its surrounding urban areas differ in terms of neighborhood accessibility (NAI) and metropolitan accessibility (MAI)?</w:t>
      </w:r>
    </w:p>
    <w:p>
      <w:pPr>
        <w:spacing w:after="200"/>
      </w:pPr>
      <w:r>
        <w:rPr>
          <w:b/>
          <w:bCs/>
          <w:i w:val="false"/>
          <w:iCs w:val="false"/>
        </w:rPr>
        <w:t xml:space="preserve">RQ2 (Intervention). </w:t>
      </w:r>
      <w:r>
        <w:rPr>
          <w:b w:val="false"/>
          <w:bCs w:val="false"/>
          <w:i w:val="false"/>
          <w:iCs w:val="false"/>
        </w:rPr>
        <w:t xml:space="preserve">To what extent does the electric bus intervention alter metropolitan accessibility and the resulting Sustainable Mobility Capability Index (SMCI)? This is assessed through the intervention’s accessibility effects — route coverage, stop accessibility, and network connectivity — rather than through vehicle propulsion technology or emissions.</w:t>
      </w:r>
    </w:p>
    <w:p>
      <w:pPr>
        <w:spacing w:after="200"/>
      </w:pPr>
      <w:r>
        <w:rPr>
          <w:b/>
          <w:bCs/>
          <w:i w:val="false"/>
          <w:iCs w:val="false"/>
        </w:rPr>
        <w:t xml:space="preserve">RQ3 (Diagnostic). </w:t>
      </w:r>
      <w:r>
        <w:rPr>
          <w:b w:val="false"/>
          <w:bCs w:val="false"/>
          <w:i w:val="false"/>
          <w:iCs w:val="false"/>
        </w:rPr>
        <w:t xml:space="preserve">What is the spatial extent and pattern of low Relative Accessibility Competitiveness (RAC) across the study area, and how does this pattern map onto the proposed mobility-capability typologies (integrated, fragmented, transit-dependent, motorcycle lock-in)?</w:t>
      </w:r>
    </w:p>
    <w:p>
      <w:pPr>
        <w:spacing w:after="200"/>
      </w:pPr>
      <w:r>
        <w:rPr>
          <w:b/>
          <w:bCs/>
          <w:i w:val="false"/>
          <w:iCs w:val="false"/>
        </w:rPr>
        <w:t xml:space="preserve">RQ4 (Explanatory). </w:t>
      </w:r>
      <w:r>
        <w:rPr>
          <w:b w:val="false"/>
          <w:bCs w:val="false"/>
          <w:i w:val="false"/>
          <w:iCs w:val="false"/>
        </w:rPr>
        <w:t xml:space="preserve">Which urban-form characteristics (e.g., street and intersection density, land-use mix, population density) and transit-service characteristics (e.g., route density, stop proximity) are significantly associated with areas classified as fragmented mobility capability, relative to the other typologies?</w:t>
      </w:r>
    </w:p>
    <w:p>
      <w:pPr>
        <w:pStyle w:val="Heading2"/>
      </w:pPr>
      <w:r>
        <w:t xml:space="preserve">1.5 Conceptual Proposition and Scope of "Capability"</w:t>
      </w:r>
    </w:p>
    <w:p>
      <w:pPr>
        <w:spacing w:after="200"/>
      </w:pPr>
      <w:r>
        <w:rPr>
          <w:b/>
          <w:bCs/>
          <w:i w:val="false"/>
          <w:iCs w:val="false"/>
        </w:rPr>
        <w:t xml:space="preserve">Core Proposition: </w:t>
      </w:r>
    </w:p>
    <w:p>
      <w:pPr>
        <w:pBdr>
          <w:left w:val="single" w:color="7F7F7F" w:sz="12" w:space="8"/>
        </w:pBdr>
        <w:spacing w:after="200" w:before="120"/>
        <w:ind w:left="480"/>
      </w:pPr>
      <w:r>
        <w:rPr>
          <w:i/>
          <w:iCs/>
        </w:rPr>
        <w:t xml:space="preserve">High neighborhood accessibility alone is insufficient to create integrated sustainable mobility capability when Relative Accessibility Competitiveness (RAC) remains low — that is, when walking-and-transit accessibility is substantially less competitive than motorcycle accessibility at the metropolitan scale.</w:t>
      </w:r>
    </w:p>
    <w:p>
      <w:pPr>
        <w:spacing w:after="200"/>
      </w:pPr>
      <w:r>
        <w:rPr>
          <w:b w:val="false"/>
          <w:bCs w:val="false"/>
          <w:i w:val="false"/>
          <w:iCs w:val="false"/>
        </w:rPr>
        <w:t xml:space="preserve">This study operationalizes "mobility capability" as potential accessibility — the spatial opportunity to reach employment, education, and services via walking or public transit, relative to the same opportunity via motorcycle, given network structure and service availability. This is a necessary but not sufficient condition for capability in the fuller sense developed by Sen (1999) and operationalized for transport by Vecchio and Martens (2021), which also depends on individual resources, preferences, and social constraints not captured by network analysis alone.</w:t>
      </w:r>
    </w:p>
    <w:p>
      <w:pPr>
        <w:spacing w:after="200"/>
      </w:pPr>
      <w:r>
        <w:rPr>
          <w:b w:val="false"/>
          <w:bCs w:val="false"/>
          <w:i w:val="false"/>
          <w:iCs w:val="false"/>
        </w:rPr>
        <w:t xml:space="preserve">Within this scope, low Relative Accessibility Competitiveness represents one possible structural explanation for persistent motorcycle dependence; however, observed dependence may equally reflect capability deprivation, affordability constraints, individual preferences, social norms, or other personal resources and constraints that this geospatial analysis cannot capture. Distinguishing between these explanations would require complementary survey or behavioral data, which we identify as a direction for future research building on this geospatial baseline.</w:t>
      </w:r>
    </w:p>
    <w:p>
      <w:r>
        <w:br w:type="page"/>
      </w:r>
    </w:p>
    <w:p>
      <w:pPr>
        <w:pStyle w:val="Heading1"/>
      </w:pPr>
      <w:r>
        <w:t xml:space="preserve">2. Literature Review and Conceptual Framework</w:t>
      </w:r>
    </w:p>
    <w:p>
      <w:pPr>
        <w:pStyle w:val="Heading2"/>
      </w:pPr>
      <w:r>
        <w:t xml:space="preserve">2.1 Accessibility Theory</w:t>
      </w:r>
    </w:p>
    <w:p>
      <w:pPr>
        <w:spacing w:after="200"/>
      </w:pPr>
      <w:r>
        <w:rPr>
          <w:b w:val="false"/>
          <w:bCs w:val="false"/>
          <w:i w:val="false"/>
          <w:iCs w:val="false"/>
        </w:rPr>
        <w:t xml:space="preserve">Transportation should be understood as the ability to access opportunities rather than movement itself. Accessibility consists of opportunities to reach employment, education, healthcare, recreation, and daily services (Geurs &amp; van Wee, 2004; Levinson, 2012).</w:t>
      </w:r>
    </w:p>
    <w:p>
      <w:pPr>
        <w:pStyle w:val="Heading2"/>
      </w:pPr>
      <w:r>
        <w:t xml:space="preserve">2.2 Capability Approach</w:t>
      </w:r>
    </w:p>
    <w:p>
      <w:pPr>
        <w:spacing w:after="200"/>
      </w:pPr>
      <w:r>
        <w:rPr>
          <w:b w:val="false"/>
          <w:bCs w:val="false"/>
          <w:i w:val="false"/>
          <w:iCs w:val="false"/>
        </w:rPr>
        <w:t xml:space="preserve">Drawing upon Sen’s Capability Approach (Sen, 1999), sustainable mobility should be conceptualized as the capability to access opportunities through sustainable modes, rather than merely the observed choice to do so. Vecchio and Martens (2021) note that most transport applications of the capability approach in practice operationalize a "capability-as-accessibility" conceptualization — assessing the opportunities transport systems make available, rather than the full range of personal and social conversion factors that determine whether those opportunities are realized. This study follows that established convention explicitly, rather than implicitly, and states this scope limitation directly in Section 1.5.</w:t>
      </w:r>
    </w:p>
    <w:p>
      <w:pPr>
        <w:pStyle w:val="Heading2"/>
      </w:pPr>
      <w:r>
        <w:t xml:space="preserve">2.3 Spatial Mismatch and Accessibility Mismatch</w:t>
      </w:r>
    </w:p>
    <w:p>
      <w:pPr>
        <w:spacing w:after="200"/>
      </w:pPr>
      <w:r>
        <w:rPr>
          <w:b w:val="false"/>
          <w:bCs w:val="false"/>
          <w:i w:val="false"/>
          <w:iCs w:val="false"/>
        </w:rPr>
        <w:t xml:space="preserve">Classical spatial mismatch theory (Kain, 1968) examines the separation between residential location and employment opportunities and its consequences for labour-market disadvantage, principally in the context of racial segregation and suburban job growth in U.S. cities. Accessibility mismatch, in the broader sense used in later literature, extends this idea to any systematic divergence between where people live and what they can reach.</w:t>
      </w:r>
    </w:p>
    <w:p>
      <w:pPr>
        <w:spacing w:after="200"/>
      </w:pPr>
      <w:r>
        <w:rPr>
          <w:b w:val="false"/>
          <w:bCs w:val="false"/>
          <w:i w:val="false"/>
          <w:iCs w:val="false"/>
        </w:rPr>
        <w:t xml:space="preserve">This study differs from the spatial mismatch tradition in two respects. First, it is not centrally concerned with residence–employment distance as a fixed geographic fact, but with the relative competitiveness of different travel modes in closing that distance. Second, the mismatch of interest is not between people and jobs, but between two scales of accessibility — neighborhood and metropolitan — for the same population and the same physical location. The contribution is therefore a scale-interaction, mode-competitiveness concept, not a re-statement of spatial mismatch under a new name.</w:t>
      </w:r>
    </w:p>
    <w:p>
      <w:pPr>
        <w:pStyle w:val="Heading2"/>
      </w:pPr>
      <w:r>
        <w:t xml:space="preserve">2.4 Motility and Mobility Capability</w:t>
      </w:r>
    </w:p>
    <w:p>
      <w:pPr>
        <w:spacing w:after="200"/>
      </w:pPr>
      <w:r>
        <w:rPr>
          <w:b w:val="false"/>
          <w:bCs w:val="false"/>
          <w:i w:val="false"/>
          <w:iCs w:val="false"/>
        </w:rPr>
        <w:t xml:space="preserve">Kaufmann, Bergman, and Joye (2004) conceptualize motility — the capacity to be mobile — as comprising three dimensions: access (the range of mobility options available, given network and service structure), competence (the skills and abilities required to use them), and appropriation (the perceptions and choices that determine whether available options are used). This framework is among the closest existing constructs to "sustainable mobility capability" as used in this study, and is engaged with directly for that reason.</w:t>
      </w:r>
    </w:p>
    <w:p>
      <w:pPr>
        <w:spacing w:after="200"/>
      </w:pPr>
      <w:r>
        <w:rPr>
          <w:b w:val="false"/>
          <w:bCs w:val="false"/>
          <w:i w:val="false"/>
          <w:iCs w:val="false"/>
        </w:rPr>
        <w:t xml:space="preserve">This study explicitly operationalizes only the access dimension of motility, using open geospatial data. It does not measure competence or appropriation, both of which require survey or qualitative data on individual skills, perceptions, and choices. The contribution of this study is therefore a scalable, replicable geospatial method for measuring the access dimension of motility at dual spatial scales and in direct competition with the dominant private mode — a measurement that complements, rather than replaces, survey-based motility research.</w:t>
      </w:r>
    </w:p>
    <w:p>
      <w:pPr>
        <w:pStyle w:val="Heading2"/>
      </w:pPr>
      <w:r>
        <w:t xml:space="preserve">2.5 Dual-Scale and Mode-Competitive Accessibility Framework</w:t>
      </w:r>
    </w:p>
    <w:p>
      <w:pPr>
        <w:spacing w:after="200"/>
      </w:pPr>
      <w:r>
        <w:rPr>
          <w:b w:val="false"/>
          <w:bCs w:val="false"/>
          <w:i w:val="false"/>
          <w:iCs w:val="false"/>
        </w:rPr>
        <w:t xml:space="preserve">Sustainable mobility capability emerges from three interconnected dimensions: neighborhood accessibility, metropolitan accessibility, and the relative competitiveness of sustainable modes against the dominant private mode.</w:t>
      </w:r>
    </w:p>
    <w:p>
      <w:pPr>
        <w:pStyle w:val="Heading3"/>
      </w:pPr>
      <w:r>
        <w:t xml:space="preserve">Neighborhood Accessibility (NAI)</w:t>
      </w:r>
    </w:p>
    <w:p>
      <w:pPr>
        <w:spacing w:after="200"/>
      </w:pPr>
      <w:r>
        <w:rPr>
          <w:b w:val="false"/>
          <w:bCs w:val="false"/>
          <w:i w:val="false"/>
          <w:iCs w:val="false"/>
        </w:rPr>
        <w:t xml:space="preserve">Accessibility to schools, parks, retail, and daily services within walking distance. Green-space accessibility — the reachability of parks and green amenities, weighted where relevant by NDVI — is treated as a named component of NAI, since it is the dimension through which this megaproject’s "green" branding most directly intersects with the accessibility framework (see Section 3.5 and Section 5).</w:t>
      </w:r>
    </w:p>
    <w:p>
      <w:pPr>
        <w:pStyle w:val="Heading3"/>
      </w:pPr>
      <w:r>
        <w:t xml:space="preserve">Metropolitan Accessibility (MAI)</w:t>
      </w:r>
    </w:p>
    <w:p>
      <w:pPr>
        <w:spacing w:after="200"/>
      </w:pPr>
      <w:r>
        <w:rPr>
          <w:b w:val="false"/>
          <w:bCs w:val="false"/>
          <w:i w:val="false"/>
          <w:iCs w:val="false"/>
        </w:rPr>
        <w:t xml:space="preserve">Accessibility to employment centers, universities, CBDs, and major urban services through public transportation networks.</w:t>
      </w:r>
    </w:p>
    <w:p>
      <w:pPr>
        <w:pStyle w:val="Heading3"/>
      </w:pPr>
      <w:r>
        <w:t xml:space="preserve">Relative Accessibility Competitiveness (RAC)</w:t>
      </w:r>
    </w:p>
    <w:p>
      <w:pPr>
        <w:spacing w:after="200"/>
      </w:pPr>
      <w:r>
        <w:rPr>
          <w:b w:val="false"/>
          <w:bCs w:val="false"/>
          <w:i w:val="false"/>
          <w:iCs w:val="false"/>
        </w:rPr>
        <w:t xml:space="preserve">Neighborhood and metropolitan accessibility describe what walking and transit can reach in absolute terms. They do not, by themselves, indicate whether walking and transit are realistic alternatives to the motorcycle — the mode that dominates daily travel in Vietnamese cities. RAC addresses this directly by comparing walking-and-transit accessibility to motorcycle accessibility at the same origin–destination pairs. The formal definition is given in Section 3.7.</w:t>
      </w:r>
    </w:p>
    <w:p>
      <w:pPr>
        <w:pStyle w:val="Heading2"/>
      </w:pPr>
      <w:r>
        <w:t xml:space="preserve">2.6 Fragmented Mobility Capability</w:t>
      </w:r>
    </w:p>
    <w:p>
      <w:pPr>
        <w:spacing w:after="200"/>
      </w:pPr>
      <w:r>
        <w:rPr>
          <w:b w:val="false"/>
          <w:bCs w:val="false"/>
          <w:i w:val="false"/>
          <w:iCs w:val="false"/>
        </w:rPr>
        <w:t xml:space="preserve">Green megaprojects may exhibit excellent local accessibility, weak metropolitan accessibility, and low RAC relative to the motorcycle. Consequently, residents may walk for local activities while continuing to rely on motorcycles for metropolitan activities. This study conceptualizes this outcome as Fragmented Mobility Capability — distinct from spatial mismatch (Section 2.3) in its dual-scale structure, and distinct from motility (Section 2.4) in being an aggregate spatial-environment classification rather than an individual-level capacity.</w:t>
      </w:r>
    </w:p>
    <w:p>
      <w:pPr>
        <w:pStyle w:val="Heading2"/>
      </w:pPr>
      <w:r>
        <w:t xml:space="preserve">2.7 Conceptual Framework (Diagram)</w:t>
      </w:r>
    </w:p>
    <w:p>
      <w:pPr>
        <w:spacing w:after="200"/>
      </w:pPr>
      <w:r>
        <w:rPr>
          <w:b w:val="false"/>
          <w:bCs w:val="false"/>
          <w:i w:val="false"/>
          <w:iCs w:val="false"/>
        </w:rPr>
        <w:t xml:space="preserve">The diagram below shows that RAC is fed jointly by the walking-and-transit network and the motorcycle network, since it is defined as a ratio between the two — not by the motorcycle network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F2F2F2" w:val="clear"/>
            <w:tcMar>
              <w:top w:type="dxa" w:w="200"/>
              <w:left w:type="dxa" w:w="200"/>
              <w:bottom w:type="dxa" w:w="200"/>
              <w:right w:type="dxa" w:w="200"/>
            </w:tcMar>
          </w:tcPr>
          <w:p>
            <w:pPr>
              <w:keepNext/>
              <w:keepLines/>
              <w:spacing w:after="60"/>
              <w:jc w:val="center"/>
            </w:pPr>
            <w:r>
              <w:rPr>
                <w:rFonts w:ascii="Consolas" w:cs="Consolas" w:eastAsia="Consolas" w:hAnsi="Consolas"/>
                <w:sz w:val="19"/>
                <w:szCs w:val="19"/>
              </w:rPr>
              <w:t xml:space="preserve">Green Urban Form (NDVI, land-use mix, connectivity, density)</w:t>
            </w:r>
          </w:p>
          <w:p>
            <w:pPr>
              <w:keepNext/>
              <w:keepLines/>
              <w:spacing w:after="60"/>
              <w:jc w:val="center"/>
            </w:pPr>
            <w:r>
              <w:rPr>
                <w:rFonts w:ascii="Consolas" w:cs="Consolas" w:eastAsia="Consolas" w:hAnsi="Consolas"/>
                <w:sz w:val="19"/>
                <w:szCs w:val="19"/>
              </w:rPr>
              <w:t xml:space="preserve">↓</w:t>
            </w:r>
          </w:p>
          <w:p>
            <w:pPr>
              <w:keepNext/>
              <w:keepLines/>
              <w:spacing w:after="60"/>
              <w:jc w:val="center"/>
            </w:pPr>
            <w:r>
              <w:rPr>
                <w:rFonts w:ascii="Consolas" w:cs="Consolas" w:eastAsia="Consolas" w:hAnsi="Consolas"/>
                <w:sz w:val="19"/>
                <w:szCs w:val="19"/>
              </w:rPr>
              <w:t xml:space="preserve">Neighborhood Accessibility (NAI)</w:t>
            </w:r>
          </w:p>
          <w:p>
            <w:pPr>
              <w:keepNext/>
              <w:keepLines/>
              <w:spacing w:after="60"/>
              <w:jc w:val="center"/>
            </w:pPr>
            <w:r>
              <w:rPr>
                <w:rFonts w:ascii="Consolas" w:cs="Consolas" w:eastAsia="Consolas" w:hAnsi="Consolas"/>
                <w:sz w:val="19"/>
                <w:szCs w:val="19"/>
              </w:rPr>
              <w:t xml:space="preserve"> </w:t>
            </w:r>
          </w:p>
          <w:p>
            <w:pPr>
              <w:keepNext/>
              <w:keepLines/>
              <w:spacing w:after="60"/>
              <w:jc w:val="center"/>
            </w:pPr>
            <w:r>
              <w:rPr>
                <w:rFonts w:ascii="Consolas" w:cs="Consolas" w:eastAsia="Consolas" w:hAnsi="Consolas"/>
                <w:sz w:val="19"/>
                <w:szCs w:val="19"/>
              </w:rPr>
              <w:t xml:space="preserve">Walking + Transit Networks (Hanoi bus + VinBus)</w:t>
            </w:r>
          </w:p>
          <w:p>
            <w:pPr>
              <w:keepNext/>
              <w:keepLines/>
              <w:spacing w:after="60"/>
              <w:jc w:val="center"/>
            </w:pPr>
            <w:r>
              <w:rPr>
                <w:rFonts w:ascii="Consolas" w:cs="Consolas" w:eastAsia="Consolas" w:hAnsi="Consolas"/>
                <w:sz w:val="19"/>
                <w:szCs w:val="19"/>
              </w:rPr>
              <w:t xml:space="preserve">↓</w:t>
            </w:r>
          </w:p>
          <w:p>
            <w:pPr>
              <w:keepNext/>
              <w:keepLines/>
              <w:spacing w:after="60"/>
              <w:jc w:val="center"/>
            </w:pPr>
            <w:r>
              <w:rPr>
                <w:rFonts w:ascii="Consolas" w:cs="Consolas" w:eastAsia="Consolas" w:hAnsi="Consolas"/>
                <w:sz w:val="19"/>
                <w:szCs w:val="19"/>
              </w:rPr>
              <w:t xml:space="preserve">Metropolitan Accessibility (MAI)</w:t>
            </w:r>
          </w:p>
          <w:p>
            <w:pPr>
              <w:keepNext/>
              <w:keepLines/>
              <w:spacing w:after="60"/>
              <w:jc w:val="center"/>
            </w:pPr>
            <w:r>
              <w:rPr>
                <w:rFonts w:ascii="Consolas" w:cs="Consolas" w:eastAsia="Consolas" w:hAnsi="Consolas"/>
                <w:sz w:val="19"/>
                <w:szCs w:val="19"/>
              </w:rPr>
              <w:t xml:space="preserve"> </w:t>
            </w:r>
          </w:p>
          <w:p>
            <w:pPr>
              <w:keepNext/>
              <w:keepLines/>
              <w:spacing w:after="60"/>
              <w:jc w:val="center"/>
            </w:pPr>
            <w:r>
              <w:rPr>
                <w:rFonts w:ascii="Consolas" w:cs="Consolas" w:eastAsia="Consolas" w:hAnsi="Consolas"/>
                <w:sz w:val="19"/>
                <w:szCs w:val="19"/>
              </w:rPr>
              <w:t xml:space="preserve">Walking + Transit Networks    +    Motorcycle Network</w:t>
            </w:r>
          </w:p>
          <w:p>
            <w:pPr>
              <w:keepNext/>
              <w:keepLines/>
              <w:spacing w:after="60"/>
              <w:jc w:val="center"/>
            </w:pPr>
            <w:r>
              <w:rPr>
                <w:rFonts w:ascii="Consolas" w:cs="Consolas" w:eastAsia="Consolas" w:hAnsi="Consolas"/>
                <w:sz w:val="19"/>
                <w:szCs w:val="19"/>
              </w:rPr>
              <w:t xml:space="preserve">↓</w:t>
            </w:r>
          </w:p>
          <w:p>
            <w:pPr>
              <w:keepNext/>
              <w:keepLines/>
              <w:spacing w:after="60"/>
              <w:jc w:val="center"/>
            </w:pPr>
            <w:r>
              <w:rPr>
                <w:rFonts w:ascii="Consolas" w:cs="Consolas" w:eastAsia="Consolas" w:hAnsi="Consolas"/>
                <w:sz w:val="19"/>
                <w:szCs w:val="19"/>
              </w:rPr>
              <w:t xml:space="preserve">Relative Accessibility Competitiveness (RAC)</w:t>
            </w:r>
          </w:p>
          <w:p>
            <w:pPr>
              <w:keepNext/>
              <w:keepLines/>
              <w:spacing w:after="60"/>
              <w:jc w:val="center"/>
            </w:pPr>
            <w:r>
              <w:rPr>
                <w:rFonts w:ascii="Consolas" w:cs="Consolas" w:eastAsia="Consolas" w:hAnsi="Consolas"/>
                <w:sz w:val="19"/>
                <w:szCs w:val="19"/>
              </w:rPr>
              <w:t xml:space="preserve"> </w:t>
            </w:r>
          </w:p>
          <w:p>
            <w:pPr>
              <w:keepNext/>
              <w:keepLines/>
              <w:spacing w:after="60"/>
              <w:jc w:val="center"/>
            </w:pPr>
            <w:r>
              <w:rPr>
                <w:rFonts w:ascii="Consolas" w:cs="Consolas" w:eastAsia="Consolas" w:hAnsi="Consolas"/>
                <w:sz w:val="19"/>
                <w:szCs w:val="19"/>
              </w:rPr>
              <w:t xml:space="preserve">NAI   +   MAI   +   RAC</w:t>
            </w:r>
          </w:p>
          <w:p>
            <w:pPr>
              <w:keepNext/>
              <w:keepLines/>
              <w:spacing w:after="60"/>
              <w:jc w:val="center"/>
            </w:pPr>
            <w:r>
              <w:rPr>
                <w:rFonts w:ascii="Consolas" w:cs="Consolas" w:eastAsia="Consolas" w:hAnsi="Consolas"/>
                <w:sz w:val="19"/>
                <w:szCs w:val="19"/>
              </w:rPr>
              <w:t xml:space="preserve">↓</w:t>
            </w:r>
          </w:p>
          <w:p>
            <w:pPr>
              <w:keepNext/>
              <w:keepLines/>
              <w:spacing w:after="60"/>
              <w:jc w:val="center"/>
            </w:pPr>
            <w:r>
              <w:rPr>
                <w:rFonts w:ascii="Consolas" w:cs="Consolas" w:eastAsia="Consolas" w:hAnsi="Consolas"/>
                <w:sz w:val="19"/>
                <w:szCs w:val="19"/>
              </w:rPr>
              <w:t xml:space="preserve">Sustainable Mobility Capability (SMCI)</w:t>
            </w:r>
          </w:p>
          <w:p>
            <w:pPr>
              <w:keepNext/>
              <w:keepLines/>
              <w:spacing w:after="60"/>
              <w:jc w:val="center"/>
            </w:pPr>
            <w:r>
              <w:rPr>
                <w:rFonts w:ascii="Consolas" w:cs="Consolas" w:eastAsia="Consolas" w:hAnsi="Consolas"/>
                <w:sz w:val="19"/>
                <w:szCs w:val="19"/>
              </w:rPr>
              <w:t xml:space="preserve">↓</w:t>
            </w:r>
          </w:p>
          <w:p>
            <w:pPr>
              <w:keepNext/>
              <w:keepLines/>
              <w:spacing w:after="60"/>
              <w:jc w:val="center"/>
            </w:pPr>
            <w:r>
              <w:rPr>
                <w:rFonts w:ascii="Consolas" w:cs="Consolas" w:eastAsia="Consolas" w:hAnsi="Consolas"/>
                <w:sz w:val="19"/>
                <w:szCs w:val="19"/>
              </w:rPr>
              <w:t xml:space="preserve">Integrated Capability     or     Fragmented Capability</w:t>
            </w:r>
          </w:p>
        </w:tc>
      </w:tr>
    </w:tbl>
    <w:p>
      <w:pPr>
        <w:spacing w:after="100"/>
      </w:pPr>
      <w:r>
        <w:rPr>
          <w:b w:val="false"/>
          <w:bCs w:val="false"/>
          <w:i w:val="false"/>
          <w:iCs w:val="false"/>
        </w:rPr>
        <w:t xml:space="preserve"/>
      </w:r>
    </w:p>
    <w:p>
      <w:r>
        <w:br w:type="page"/>
      </w:r>
    </w:p>
    <w:p>
      <w:pPr>
        <w:pStyle w:val="Heading1"/>
      </w:pPr>
      <w:r>
        <w:t xml:space="preserve">3. Methodology</w:t>
      </w:r>
    </w:p>
    <w:p>
      <w:pPr>
        <w:pStyle w:val="Heading2"/>
      </w:pPr>
      <w:r>
        <w:t xml:space="preserve">3.1 Study Area</w:t>
      </w:r>
    </w:p>
    <w:p>
      <w:pPr>
        <w:spacing w:after="200"/>
      </w:pPr>
      <w:r>
        <w:rPr>
          <w:b/>
          <w:bCs/>
          <w:i w:val="false"/>
          <w:iCs w:val="false"/>
        </w:rPr>
        <w:t xml:space="preserve">Case study: </w:t>
      </w:r>
      <w:r>
        <w:rPr>
          <w:b w:val="false"/>
          <w:bCs w:val="false"/>
          <w:i w:val="false"/>
          <w:iCs w:val="false"/>
        </w:rPr>
        <w:t xml:space="preserve">Vinhomes Ocean Park, with Gia Lam District and Long Bien District (Hanoi) as comparative surrounding areas.</w:t>
      </w:r>
    </w:p>
    <w:p>
      <w:pPr>
        <w:spacing w:after="200"/>
      </w:pPr>
      <w:r>
        <w:rPr>
          <w:b w:val="false"/>
          <w:bCs w:val="false"/>
          <w:i w:val="false"/>
          <w:iCs w:val="false"/>
        </w:rPr>
        <w:t xml:space="preserve">This study deliberately limits its empirical scope to a single, in-depth case study to ensure methodological rigor — including full network validation, sensitivity analysis, and robustness-checked clustering — within the scope of a single research output. Extending the framework to additional megaprojects (e.g., Vinhomes Smart City) to test cross-site reproducibility is identified explicitly as a direction for follow-up research and is not included in this study.</w:t>
      </w:r>
    </w:p>
    <w:p>
      <w:pPr>
        <w:pStyle w:val="Heading2"/>
      </w:pPr>
      <w:r>
        <w:t xml:space="preserve">3.2 Transportation Networks</w:t>
      </w:r>
    </w:p>
    <w:p>
      <w:pPr>
        <w:spacing w:after="200"/>
      </w:pPr>
      <w:r>
        <w:rPr>
          <w:b w:val="false"/>
          <w:bCs w:val="false"/>
          <w:i w:val="false"/>
          <w:iCs w:val="false"/>
        </w:rPr>
        <w:t xml:space="preserve">Four networks are constructed; together they define both the dual-scale accessibility indicators and the two intervention scenarios.</w:t>
      </w:r>
    </w:p>
    <w:p>
      <w:pPr>
        <w:pStyle w:val="ListParagraph"/>
        <w:numPr>
          <w:ilvl w:val="0"/>
          <w:numId w:val="2"/>
        </w:numPr>
        <w:spacing w:after="100"/>
      </w:pPr>
      <w:r>
        <w:t xml:space="preserve">Network A: Pedestrian network (OSMnx).</w:t>
      </w:r>
    </w:p>
    <w:p>
      <w:pPr>
        <w:pStyle w:val="ListParagraph"/>
        <w:numPr>
          <w:ilvl w:val="0"/>
          <w:numId w:val="2"/>
        </w:numPr>
        <w:spacing w:after="100"/>
      </w:pPr>
      <w:r>
        <w:t xml:space="preserve">Network B: Walking + existing Hanoi public transport network (no VinBus). Networks A+B together define Scenario A.</w:t>
      </w:r>
    </w:p>
    <w:p>
      <w:pPr>
        <w:pStyle w:val="ListParagraph"/>
        <w:numPr>
          <w:ilvl w:val="0"/>
          <w:numId w:val="2"/>
        </w:numPr>
        <w:spacing w:after="100"/>
      </w:pPr>
      <w:r>
        <w:t xml:space="preserve">Network C: Walking + existing Hanoi public transport network + VinBus routes and services. Networks A+C together define Scenario B.</w:t>
      </w:r>
    </w:p>
    <w:p>
      <w:pPr>
        <w:pStyle w:val="ListParagraph"/>
        <w:numPr>
          <w:ilvl w:val="0"/>
          <w:numId w:val="2"/>
        </w:numPr>
        <w:spacing w:after="100"/>
      </w:pPr>
      <w:r>
        <w:t xml:space="preserve">Network D: Motorcycle network (OSM road network, with speed calibration).</w:t>
      </w:r>
    </w:p>
    <w:p>
      <w:pPr>
        <w:spacing w:after="200"/>
      </w:pPr>
      <w:r>
        <w:rPr>
          <w:b/>
          <w:bCs/>
          <w:i w:val="false"/>
          <w:iCs w:val="false"/>
        </w:rPr>
        <w:t xml:space="preserve">Calibration note: </w:t>
      </w:r>
      <w:r>
        <w:rPr>
          <w:b w:val="false"/>
          <w:bCs w:val="false"/>
          <w:i w:val="false"/>
          <w:iCs w:val="false"/>
        </w:rPr>
        <w:t xml:space="preserve">Standard OSM driving-speed profiles are calibrated for car traffic and do not reflect motorcycle behavior in dense Vietnamese traffic, where lane-splitting often makes motorcycles faster than cars under congestion. Motorcycle travel times (Network D) are therefore calibrated primarily using empirically derived speed-adjustment factors from published studies of urban motorcycle speeds in Hanoi, not assumed equal to standard driving speeds; Google Maps motorcycle-mode estimates serve only as an independent secondary benchmark (Section 3.11), so that the model does not depend on the availability of a third-party routing API.</w:t>
      </w:r>
    </w:p>
    <w:p>
      <w:pPr>
        <w:spacing w:after="200"/>
      </w:pPr>
      <w:r>
        <w:rPr>
          <w:b/>
          <w:bCs/>
          <w:i w:val="false"/>
          <w:iCs w:val="false"/>
        </w:rPr>
        <w:t xml:space="preserve">Accessibility gain: </w:t>
      </w:r>
    </w:p>
    <w:p>
      <w:pPr>
        <w:pBdr>
          <w:left w:val="single" w:color="7F7F7F" w:sz="12" w:space="8"/>
        </w:pBdr>
        <w:spacing w:after="200" w:before="120"/>
        <w:ind w:left="480"/>
      </w:pPr>
      <w:r>
        <w:rPr>
          <w:i/>
          <w:iCs/>
        </w:rPr>
        <w:t xml:space="preserve">ΔSMCI = SMCI(Networks A+C) − SMCI(Networks A+B)</w:t>
      </w:r>
    </w:p>
    <w:p>
      <w:pPr>
        <w:pStyle w:val="Heading2"/>
      </w:pPr>
      <w:r>
        <w:t xml:space="preserve">3.3 Accessibility Paradigm</w:t>
      </w:r>
    </w:p>
    <w:p>
      <w:pPr>
        <w:spacing w:after="200"/>
      </w:pPr>
      <w:r>
        <w:rPr>
          <w:b w:val="false"/>
          <w:bCs w:val="false"/>
          <w:i w:val="false"/>
          <w:iCs w:val="false"/>
        </w:rPr>
        <w:t xml:space="preserve">Three families of accessibility measures are common in this literature: cumulative-opportunity (contour) measures, gravity-based measures, and two-step floating catchment area (2SFCA) measures, the latter most common in healthcare-accessibility research. This study adopts cumulative-opportunity accessibility as its sole specification.</w:t>
      </w:r>
    </w:p>
    <w:p>
      <w:pPr>
        <w:spacing w:after="200"/>
      </w:pPr>
      <w:r>
        <w:rPr>
          <w:b w:val="false"/>
          <w:bCs w:val="false"/>
          <w:i w:val="false"/>
          <w:iCs w:val="false"/>
        </w:rPr>
        <w:t xml:space="preserve">2SFCA is not used because it requires service-capacity and demand data for every opportunity type, which are not available at this study’s data resolution. A parallel gravity-based specification is also not computed, in order to keep the analytical pipeline feasible within the scope of a single study; the choice of a threshold-based, distance-decay-free measure is therefore reported as a stated limitation rather than tested against a second full accessibility paradigm. This trade-off is made explicitly, rather than left implicit.</w:t>
      </w:r>
    </w:p>
    <w:p>
      <w:pPr>
        <w:pStyle w:val="Heading2"/>
      </w:pPr>
      <w:r>
        <w:t xml:space="preserve">3.4 Opportunity Datasets and Magnitude Weighting</w:t>
      </w:r>
    </w:p>
    <w:p>
      <w:pPr>
        <w:spacing w:after="200"/>
      </w:pPr>
      <w:r>
        <w:rPr>
          <w:b w:val="false"/>
          <w:bCs w:val="false"/>
          <w:i w:val="false"/>
          <w:iCs w:val="false"/>
        </w:rPr>
        <w:t xml:space="preserve">Accessibility to locations is not the same as accessibility to opportunities (Geurs &amp; van Wee, 2004; Section 2.1). A single point of interest in OpenStreetMap may represent an office tower employing over a thousand workers or a small kiosk employing one; treating both as equivalent would measure accessibility to places rather than to opportunities. This study treats the two spatial scales differently, reflecting their different theoretical roles.</w:t>
      </w:r>
    </w:p>
    <w:p>
      <w:pPr>
        <w:spacing w:after="200"/>
      </w:pPr>
      <w:r>
        <w:rPr>
          <w:b/>
          <w:bCs/>
          <w:i w:val="false"/>
          <w:iCs w:val="false"/>
        </w:rPr>
        <w:t xml:space="preserve">Neighborhood opportunities (NAI) are count-based. </w:t>
      </w:r>
      <w:r>
        <w:rPr>
          <w:b w:val="false"/>
          <w:bCs w:val="false"/>
          <w:i w:val="false"/>
          <w:iCs w:val="false"/>
        </w:rPr>
        <w:t xml:space="preserve">For daily activities such as schooling, retail, and healthcare, the presence and proximity of a reachable facility matters more than its size — a resident does not need the largest school, only a reachable one. NAI therefore counts the number of distinct facilities of each type reachable within the walking threshold.</w:t>
      </w:r>
    </w:p>
    <w:p>
      <w:pPr>
        <w:spacing w:after="200"/>
      </w:pPr>
      <w:r>
        <w:rPr>
          <w:b/>
          <w:bCs/>
          <w:i w:val="false"/>
          <w:iCs w:val="false"/>
        </w:rPr>
        <w:t xml:space="preserve">Metropolitan opportunities (MAI) are magnitude-weighted. </w:t>
      </w:r>
      <w:r>
        <w:rPr>
          <w:b w:val="false"/>
          <w:bCs w:val="false"/>
          <w:i w:val="false"/>
          <w:iCs w:val="false"/>
        </w:rPr>
        <w:t xml:space="preserve">Employment and tertiary-service accessibility are conventionally defined by the volume of opportunity available, not merely its location:</w:t>
      </w:r>
    </w:p>
    <w:p>
      <w:pPr>
        <w:pStyle w:val="ListParagraph"/>
        <w:numPr>
          <w:ilvl w:val="0"/>
          <w:numId w:val="2"/>
        </w:numPr>
        <w:spacing w:after="100"/>
      </w:pPr>
      <w:r>
        <w:t xml:space="preserve">Jobs = employment proxy score, derived from commercial/office floor-area proxies and nighttime-light intensity at each location.</w:t>
      </w:r>
    </w:p>
    <w:p>
      <w:pPr>
        <w:pStyle w:val="ListParagraph"/>
        <w:numPr>
          <w:ilvl w:val="0"/>
          <w:numId w:val="2"/>
        </w:numPr>
        <w:spacing w:after="100"/>
      </w:pPr>
      <w:r>
        <w:t xml:space="preserve">Universities = enrollment proxy, derived from published institutional enrollment figures where available, or building footprint area as a fallback.</w:t>
      </w:r>
    </w:p>
    <w:p>
      <w:pPr>
        <w:pStyle w:val="ListParagraph"/>
        <w:numPr>
          <w:ilvl w:val="0"/>
          <w:numId w:val="2"/>
        </w:numPr>
        <w:spacing w:after="100"/>
      </w:pPr>
      <w:r>
        <w:t xml:space="preserve">CBD / major commercial centers = employment density score, derived from commercial POI density combined with nighttime-light intensity.</w:t>
      </w:r>
    </w:p>
    <w:p>
      <w:pPr>
        <w:spacing w:after="200"/>
      </w:pPr>
      <w:r>
        <w:rPr>
          <w:b w:val="false"/>
          <w:bCs w:val="false"/>
          <w:i w:val="false"/>
          <w:iCs w:val="false"/>
        </w:rPr>
        <w:t xml:space="preserve">Opportunity magnitudes draw on OpenStreetMap, commercial and office POIs, WorldPop, the Global Human Settlement Layer (GHSL), nighttime lights, and district-level statistics where available, and are applied multiplicatively to each location’s contribution to MAI.</w:t>
      </w:r>
    </w:p>
    <w:p>
      <w:pPr>
        <w:pStyle w:val="Heading2"/>
      </w:pPr>
      <w:r>
        <w:t xml:space="preserve">3.5 Variables</w:t>
      </w:r>
    </w:p>
    <w:p>
      <w:pPr>
        <w:spacing w:after="200"/>
      </w:pPr>
      <w:r>
        <w:rPr>
          <w:b/>
          <w:bCs/>
          <w:i w:val="false"/>
          <w:iCs w:val="false"/>
        </w:rPr>
        <w:t xml:space="preserve">Independent variables — urban form: </w:t>
      </w:r>
      <w:r>
        <w:rPr>
          <w:b w:val="false"/>
          <w:bCs w:val="false"/>
          <w:i w:val="false"/>
          <w:iCs w:val="false"/>
        </w:rPr>
        <w:t xml:space="preserve">NDVI (green-space density and vegetation cover), land-use mix, street density, intersection density, population density.</w:t>
      </w:r>
    </w:p>
    <w:p>
      <w:pPr>
        <w:spacing w:after="200"/>
      </w:pPr>
      <w:r>
        <w:rPr>
          <w:b/>
          <w:bCs/>
          <w:i w:val="false"/>
          <w:iCs w:val="false"/>
        </w:rPr>
        <w:t xml:space="preserve">Independent variables — transit intervention: </w:t>
      </w:r>
      <w:r>
        <w:rPr>
          <w:b w:val="false"/>
          <w:bCs w:val="false"/>
          <w:i w:val="false"/>
          <w:iCs w:val="false"/>
        </w:rPr>
        <w:t xml:space="preserve">distance to nearest bus stop, number of accessible routes, transit service frequency.</w:t>
      </w:r>
    </w:p>
    <w:p>
      <w:pPr>
        <w:spacing w:after="200"/>
      </w:pPr>
      <w:r>
        <w:rPr>
          <w:b w:val="false"/>
          <w:bCs w:val="false"/>
          <w:i w:val="false"/>
          <w:iCs w:val="false"/>
        </w:rPr>
        <w:t xml:space="preserve">These variables serve as predictors in the explanatory analysis (RQ4, Section 3.10) and are also examined individually against SMCI and its components in the Discussion (Section 5) — in particular, whether NDVI and green-space accessibility are substantively related to sustainable mobility outcomes, rather than serving only as descriptive branding for the megaproject.</w:t>
      </w:r>
    </w:p>
    <w:p>
      <w:pPr>
        <w:pStyle w:val="Heading2"/>
      </w:pPr>
      <w:r>
        <w:t xml:space="preserve">3.6 Unit of Analysis</w:t>
      </w:r>
    </w:p>
    <w:p>
      <w:pPr>
        <w:spacing w:after="200"/>
      </w:pPr>
      <w:r>
        <w:rPr>
          <w:b w:val="false"/>
          <w:bCs w:val="false"/>
          <w:i w:val="false"/>
          <w:iCs w:val="false"/>
        </w:rPr>
        <w:t xml:space="preserve">Spatial grid: 250m × 250m cells. Each grid cell represents a potential residential location. The sensitivity of results to this choice of grid size is tested explicitly in Section 3.12.</w:t>
      </w:r>
    </w:p>
    <w:p>
      <w:pPr>
        <w:pStyle w:val="Heading2"/>
      </w:pPr>
      <w:r>
        <w:t xml:space="preserve">3.7 Accessibility Indicators</w:t>
      </w:r>
    </w:p>
    <w:p>
      <w:pPr>
        <w:spacing w:after="200"/>
      </w:pPr>
      <w:r>
        <w:rPr>
          <w:b/>
          <w:bCs/>
          <w:i w:val="false"/>
          <w:iCs w:val="false"/>
        </w:rPr>
        <w:t xml:space="preserve">NAI: </w:t>
      </w:r>
      <w:r>
        <w:rPr>
          <w:b w:val="false"/>
          <w:bCs w:val="false"/>
          <w:i w:val="false"/>
          <w:iCs w:val="false"/>
        </w:rPr>
        <w:t xml:space="preserve">count-based opportunities (Section 3.4) reachable within a 15-minute walk (tested at 10/15/20 minutes; see Section 3.12).</w:t>
      </w:r>
    </w:p>
    <w:p>
      <w:pPr>
        <w:spacing w:after="200"/>
      </w:pPr>
      <w:r>
        <w:rPr>
          <w:b/>
          <w:bCs/>
          <w:i w:val="false"/>
          <w:iCs w:val="false"/>
        </w:rPr>
        <w:t xml:space="preserve">MAI: </w:t>
      </w:r>
      <w:r>
        <w:rPr>
          <w:b w:val="false"/>
          <w:bCs w:val="false"/>
          <w:i w:val="false"/>
          <w:iCs w:val="false"/>
        </w:rPr>
        <w:t xml:space="preserve">magnitude-weighted opportunities (Section 3.4) reachable within a 45-minute walk-plus-transit trip using Networks A+B or A+C (tested at 30/45/60 minutes; see Section 3.12).</w:t>
      </w:r>
    </w:p>
    <w:p>
      <w:pPr>
        <w:spacing w:after="200"/>
      </w:pPr>
      <w:r>
        <w:rPr>
          <w:b/>
          <w:bCs/>
          <w:i w:val="false"/>
          <w:iCs w:val="false"/>
        </w:rPr>
        <w:t xml:space="preserve">RAC: </w:t>
      </w:r>
      <w:r>
        <w:rPr>
          <w:b w:val="false"/>
          <w:bCs w:val="false"/>
          <w:i w:val="false"/>
          <w:iCs w:val="false"/>
        </w:rPr>
        <w:t xml:space="preserve">defined using two sub-indices, both oriented so that a higher value indicates greater competitiveness of walking-and-transit relative to motorcycle:</w:t>
      </w:r>
    </w:p>
    <w:p>
      <w:pPr>
        <w:pBdr>
          <w:left w:val="single" w:color="7F7F7F" w:sz="12" w:space="8"/>
        </w:pBdr>
        <w:spacing w:after="200" w:before="120"/>
        <w:ind w:left="480"/>
      </w:pPr>
      <w:r>
        <w:rPr>
          <w:i/>
          <w:iCs/>
        </w:rPr>
        <w:t xml:space="preserve">RAC_time = Motorcycle travel time (Network D) / Walking-and-transit travel time (Networks A+C)</w:t>
      </w:r>
    </w:p>
    <w:p>
      <w:pPr>
        <w:pBdr>
          <w:left w:val="single" w:color="7F7F7F" w:sz="12" w:space="8"/>
        </w:pBdr>
        <w:spacing w:after="200" w:before="120"/>
        <w:ind w:left="480"/>
      </w:pPr>
      <w:r>
        <w:rPr>
          <w:i/>
          <w:iCs/>
        </w:rPr>
        <w:t xml:space="preserve">RAC_opp = Opportunities reachable (Networks A+C) / Opportunities reachable (Network D)</w:t>
      </w:r>
    </w:p>
    <w:p>
      <w:pPr>
        <w:spacing w:after="200"/>
      </w:pPr>
      <w:r>
        <w:rPr>
          <w:b w:val="false"/>
          <w:bCs w:val="false"/>
          <w:i w:val="false"/>
          <w:iCs w:val="false"/>
        </w:rPr>
        <w:t xml:space="preserve">Both sub-indices are min–max normalized to [0,1] across the study area, then combined as a geometric mean:</w:t>
      </w:r>
    </w:p>
    <w:p>
      <w:pPr>
        <w:pBdr>
          <w:left w:val="single" w:color="7F7F7F" w:sz="12" w:space="8"/>
        </w:pBdr>
        <w:spacing w:after="200" w:before="120"/>
        <w:ind w:left="480"/>
      </w:pPr>
      <w:r>
        <w:rPr>
          <w:i/>
          <w:iCs/>
        </w:rPr>
        <w:t xml:space="preserve">RAC = √(RAC_time_norm × RAC_opp_norm)</w:t>
      </w:r>
    </w:p>
    <w:p>
      <w:pPr>
        <w:spacing w:after="200"/>
      </w:pPr>
      <w:r>
        <w:rPr>
          <w:b w:val="false"/>
          <w:bCs w:val="false"/>
          <w:i w:val="false"/>
          <w:iCs w:val="false"/>
        </w:rPr>
        <w:t xml:space="preserve">The geometric mean is used rather than an arithmetic average so that a very low value on either sub-index pulls down the composite RAC score, rather than being offset by a high score on the other sub-index.</w:t>
      </w:r>
    </w:p>
    <w:p>
      <w:pPr>
        <w:pStyle w:val="Heading2"/>
      </w:pPr>
      <w:r>
        <w:t xml:space="preserve">3.8 Sustainable Mobility Capability Index</w:t>
      </w:r>
    </w:p>
    <w:p>
      <w:pPr>
        <w:spacing w:after="200"/>
      </w:pPr>
      <w:r>
        <w:rPr>
          <w:b w:val="false"/>
          <w:bCs w:val="false"/>
          <w:i w:val="false"/>
          <w:iCs w:val="false"/>
        </w:rPr>
        <w:t xml:space="preserve">NAI, MAI, and RAC are each min–max normalized to [0,1] across the study area, then combined multiplicatively:</w:t>
      </w:r>
    </w:p>
    <w:p>
      <w:pPr>
        <w:pBdr>
          <w:left w:val="single" w:color="7F7F7F" w:sz="12" w:space="8"/>
        </w:pBdr>
        <w:spacing w:after="200" w:before="120"/>
        <w:ind w:left="480"/>
      </w:pPr>
      <w:r>
        <w:rPr>
          <w:i/>
          <w:iCs/>
        </w:rPr>
        <w:t xml:space="preserve">SMCI = NAI_norm × MAI_norm × RAC_norm</w:t>
      </w:r>
    </w:p>
    <w:p>
      <w:pPr>
        <w:spacing w:after="200"/>
      </w:pPr>
      <w:r>
        <w:rPr>
          <w:b w:val="false"/>
          <w:bCs w:val="false"/>
          <w:i w:val="false"/>
          <w:iCs w:val="false"/>
        </w:rPr>
        <w:t xml:space="preserve">This multiplicative form formalizes the central hypothesis directly: if either metropolitan accessibility or relative competitiveness against the motorcycle is very low, SMCI is low regardless of how high neighborhood accessibility is. A multiplicative combination of three normalized indices is, however, prone to right-skew, since SMCI is low whenever any single component is low. This study therefore commits to a specific, falsifiable check rather than an unspecified promise to "inspect" the distribution: SMCI’s skewness and histogram will be reported in the Results, and the Spearman rank correlation between this multiplicative SMCI and a geometric-mean alternative, SMCI_geo = (NAI_norm × MAI_norm × RAC_norm)^(1/3), will be computed on the same data. A high rank correlation (e.g., ρ &gt; 0.9) would indicate that the choice of aggregation rule does not materially affect the spatial ranking of grid cells; a substantially lower correlation will be reported and discussed as a limitation, rather than masked by reporting only the primary specification.</w:t>
      </w:r>
    </w:p>
    <w:p>
      <w:pPr>
        <w:pStyle w:val="Heading2"/>
      </w:pPr>
      <w:r>
        <w:t xml:space="preserve">3.9 Collinearity Check</w:t>
      </w:r>
    </w:p>
    <w:p>
      <w:pPr>
        <w:spacing w:after="200"/>
      </w:pPr>
      <w:r>
        <w:rPr>
          <w:b w:val="false"/>
          <w:bCs w:val="false"/>
          <w:i w:val="false"/>
          <w:iCs w:val="false"/>
        </w:rPr>
        <w:t xml:space="preserve">Before classification (Section 3.10), the pairwise correlation matrix and variance inflation factors (VIF) among NAI, MAI, and RAC are computed. There is a structural, not merely empirical, reason to expect collinearity between MAI and RAC_opp: RAC_opp’s numerator (opportunities reachable via walking and transit) is the same quantity used to construct MAI, while its denominator (motorcycle accessibility) is expected to vary relatively little across the study area in a motorcycle-dependent city, since motorcycles can reach most locations. If VIF exceeds conventional thresholds (e.g., 5), this study will report the finding directly — as a substantive result about the relationship between absolute and relative metropolitan accessibility in motorcycle-dependent megaprojects, not merely a statistical nuisance — and will additionally report RAC using only its time-competitiveness component (RAC_time), which is less mechanically tied to MAI, as a robustness alternative.</w:t>
      </w:r>
    </w:p>
    <w:p>
      <w:pPr>
        <w:pStyle w:val="Heading2"/>
      </w:pPr>
      <w:r>
        <w:t xml:space="preserve">3.10 Environment Classification</w:t>
      </w:r>
    </w:p>
    <w:p>
      <w:pPr>
        <w:spacing w:after="200"/>
      </w:pPr>
      <w:r>
        <w:rPr>
          <w:b w:val="false"/>
          <w:bCs w:val="false"/>
          <w:i w:val="false"/>
          <w:iCs w:val="false"/>
        </w:rPr>
        <w:t xml:space="preserve">Classification is theory-first, so that the number and identity of typologies follows directly from the conceptual framework (Section 2.5–2.6) rather than from a data-driven algorithm with no theoretical constraint on its output.</w:t>
      </w:r>
    </w:p>
    <w:p>
      <w:pPr>
        <w:spacing w:after="200"/>
      </w:pPr>
      <w:r>
        <w:rPr>
          <w:b w:val="false"/>
          <w:bCs w:val="false"/>
          <w:i w:val="false"/>
          <w:iCs w:val="false"/>
        </w:rPr>
        <w:t xml:space="preserve">NAI is median-split into High/Low. MAI and RAC are combined into a single Metropolitan Competitiveness Score (MCS), computed as the geometric mean of normalized MAI and RAC — consistent with the aggregation logic used elsewhere in this framework (Sections 3.7–3.8) and a direct response to their expected collinearity (Section 3.9). MCS is then median-split into High/Low. Crossing NAI (High/Low) with MCS (High/Low) yields exactly four cells, corresponding directly to the four named typologies: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NAI × MCS</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Typology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 NAI, High MCS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Integrated Capability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 NAI, Low MCS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Fragmented Capability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 NAI, High MCS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Transit-Dependent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 NAI, Low MCS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Motorcycle Lock-in</w:t>
            </w:r>
          </w:p>
        </w:tc>
      </w:tr>
    </w:tbl>
    <w:p>
      <w:pPr>
        <w:spacing w:after="100"/>
      </w:pPr>
      <w:r>
        <w:rPr>
          <w:b w:val="false"/>
          <w:bCs w:val="false"/>
          <w:i w:val="false"/>
          <w:iCs w:val="false"/>
        </w:rPr>
        <w:t xml:space="preserve"/>
      </w:r>
    </w:p>
    <w:p>
      <w:pPr>
        <w:spacing w:after="200"/>
      </w:pPr>
      <w:r>
        <w:rPr>
          <w:b w:val="false"/>
          <w:bCs w:val="false"/>
          <w:i w:val="false"/>
          <w:iCs w:val="false"/>
        </w:rPr>
        <w:t xml:space="preserve">This theory-first classification is the primary specification. As a robustness check, k-means clustering is additionally run on the vector [NAI, MAI, RAC], with the number of clusters selected via the elbow method and silhouette score, and cluster stability assessed via bootstrap resampling. The correspondence between the theory-first typology and the data-driven clusters is reported as a cross-tabulation; substantial disagreement between the two is reported and discussed, rather than resolved by adjusting k until it matches the theory.</w:t>
      </w:r>
    </w:p>
    <w:p>
      <w:pPr>
        <w:pStyle w:val="Heading2"/>
      </w:pPr>
      <w:r>
        <w:t xml:space="preserve">3.11 Validation</w:t>
      </w:r>
    </w:p>
    <w:p>
      <w:pPr>
        <w:spacing w:after="200"/>
      </w:pPr>
      <w:r>
        <w:rPr>
          <w:b/>
          <w:bCs/>
          <w:i w:val="false"/>
          <w:iCs w:val="false"/>
        </w:rPr>
        <w:t xml:space="preserve">Network validation: </w:t>
      </w:r>
      <w:r>
        <w:rPr>
          <w:b w:val="false"/>
          <w:bCs w:val="false"/>
          <w:i w:val="false"/>
          <w:iCs w:val="false"/>
        </w:rPr>
        <w:t xml:space="preserve">motorcycle travel times (Network D) are calibrated primarily using literature-derived speed-adjustment factors for urban motorcycle travel in Hanoi, since this calibration must not depend on the availability of a third-party routing API. Google Maps motorcycle-mode estimates, where available for Vietnam, are used only as an independent secondary benchmark — to confirm that the literature-calibrated speeds produce plausible travel times for a sample of origin–destination pairs — and are not the primary source of calibration.</w:t>
      </w:r>
    </w:p>
    <w:p>
      <w:pPr>
        <w:spacing w:after="200"/>
      </w:pPr>
      <w:r>
        <w:rPr>
          <w:b/>
          <w:bCs/>
          <w:i w:val="false"/>
          <w:iCs w:val="false"/>
        </w:rPr>
        <w:t xml:space="preserve">Transit validation: </w:t>
      </w:r>
      <w:r>
        <w:rPr>
          <w:b w:val="false"/>
          <w:bCs w:val="false"/>
          <w:i w:val="false"/>
          <w:iCs w:val="false"/>
        </w:rPr>
        <w:t xml:space="preserve">modeled transit travel times are compared against VinBus and Hanoi public bus app schedules.</w:t>
      </w:r>
    </w:p>
    <w:p>
      <w:pPr>
        <w:spacing w:after="200"/>
      </w:pPr>
      <w:r>
        <w:rPr>
          <w:b/>
          <w:bCs/>
          <w:i w:val="false"/>
          <w:iCs w:val="false"/>
        </w:rPr>
        <w:t xml:space="preserve">Typology validation: </w:t>
      </w:r>
      <w:r>
        <w:rPr>
          <w:b w:val="false"/>
          <w:bCs w:val="false"/>
          <w:i w:val="false"/>
          <w:iCs w:val="false"/>
        </w:rPr>
        <w:t xml:space="preserve">cross-tabulation between the theory-first and k-means classifications (Section 3.10), plus silhouette score and bootstrap cluster stability for the k-means specification.</w:t>
      </w:r>
    </w:p>
    <w:p>
      <w:pPr>
        <w:spacing w:after="200"/>
      </w:pPr>
      <w:r>
        <w:rPr>
          <w:b/>
          <w:bCs/>
          <w:i w:val="false"/>
          <w:iCs w:val="false"/>
        </w:rPr>
        <w:t xml:space="preserve">External validation: </w:t>
      </w:r>
      <w:r>
        <w:rPr>
          <w:b w:val="false"/>
          <w:bCs w:val="false"/>
          <w:i w:val="false"/>
          <w:iCs w:val="false"/>
        </w:rPr>
        <w:t xml:space="preserve">modeled accessibility patterns are cross-checked against independent urban-form proxies — property-value gradients, population-density gradients, and observed activity centers where available — as a sanity check that areas the model identifies as high-accessibility correspond to areas independently recognized as well-connected.</w:t>
      </w:r>
    </w:p>
    <w:p>
      <w:pPr>
        <w:pStyle w:val="Heading2"/>
      </w:pPr>
      <w:r>
        <w:t xml:space="preserve">3.12 Sensitivity Analysis</w:t>
      </w:r>
    </w:p>
    <w:p>
      <w:pPr>
        <w:pStyle w:val="ListParagraph"/>
        <w:numPr>
          <w:ilvl w:val="0"/>
          <w:numId w:val="2"/>
        </w:numPr>
        <w:spacing w:after="100"/>
      </w:pPr>
      <w:r>
        <w:t xml:space="preserve">Walking threshold: 10 / 15 / 20 minutes.</w:t>
      </w:r>
    </w:p>
    <w:p>
      <w:pPr>
        <w:pStyle w:val="ListParagraph"/>
        <w:numPr>
          <w:ilvl w:val="0"/>
          <w:numId w:val="2"/>
        </w:numPr>
        <w:spacing w:after="100"/>
      </w:pPr>
      <w:r>
        <w:t xml:space="preserve">Transit threshold: 30 / 45 / 60 minutes.</w:t>
      </w:r>
    </w:p>
    <w:p>
      <w:pPr>
        <w:pStyle w:val="ListParagraph"/>
        <w:numPr>
          <w:ilvl w:val="0"/>
          <w:numId w:val="2"/>
        </w:numPr>
        <w:spacing w:after="100"/>
      </w:pPr>
      <w:r>
        <w:t xml:space="preserve">Grid size: 250m vs. 500m.</w:t>
      </w:r>
    </w:p>
    <w:p>
      <w:pPr>
        <w:pStyle w:val="ListParagraph"/>
        <w:numPr>
          <w:ilvl w:val="0"/>
          <w:numId w:val="2"/>
        </w:numPr>
        <w:spacing w:after="100"/>
      </w:pPr>
      <w:r>
        <w:t xml:space="preserve">Index weighting: equal weights vs. PCA-derived weights.</w:t>
      </w:r>
    </w:p>
    <w:p>
      <w:pPr>
        <w:pStyle w:val="ListParagraph"/>
        <w:numPr>
          <w:ilvl w:val="0"/>
          <w:numId w:val="2"/>
        </w:numPr>
        <w:spacing w:after="100"/>
      </w:pPr>
      <w:r>
        <w:t xml:space="preserve">Normalization: min–max vs. z-score.</w:t>
      </w:r>
    </w:p>
    <w:p>
      <w:pPr>
        <w:spacing w:after="200"/>
      </w:pPr>
      <w:r>
        <w:rPr>
          <w:b w:val="false"/>
          <w:bCs w:val="false"/>
          <w:i w:val="false"/>
          <w:iCs w:val="false"/>
        </w:rPr>
        <w:t xml:space="preserve">Results are reported as robust if the spatial pattern of typologies (Section 3.10) and the sign and approximate magnitude of ΔSMCI (Section 3.2) are stable across this parameter range; substantively different conclusions arising from particular parameter choices are reported and discussed rather than masked by the primary specification.</w:t>
      </w:r>
    </w:p>
    <w:p>
      <w:r>
        <w:br w:type="page"/>
      </w:r>
    </w:p>
    <w:p>
      <w:pPr>
        <w:pStyle w:val="Heading1"/>
      </w:pPr>
      <w:r>
        <w:t xml:space="preserve">4. Expected Results</w:t>
      </w:r>
    </w:p>
    <w:p>
      <w:pPr>
        <w:spacing w:after="200"/>
      </w:pPr>
      <w:r>
        <w:rPr>
          <w:b w:val="false"/>
          <w:bCs w:val="false"/>
          <w:i w:val="false"/>
          <w:iCs w:val="false"/>
        </w:rPr>
        <w:t xml:space="preserve">The study expects to identify:</w:t>
      </w:r>
    </w:p>
    <w:p>
      <w:pPr>
        <w:pStyle w:val="ListParagraph"/>
        <w:numPr>
          <w:ilvl w:val="0"/>
          <w:numId w:val="3"/>
        </w:numPr>
        <w:spacing w:after="100"/>
      </w:pPr>
      <w:r>
        <w:t xml:space="preserve">Significant heterogeneity in neighborhood and metropolitan accessibility between Vinhomes Ocean Park and its surrounding districts.</w:t>
      </w:r>
    </w:p>
    <w:p>
      <w:pPr>
        <w:pStyle w:val="ListParagraph"/>
        <w:numPr>
          <w:ilvl w:val="0"/>
          <w:numId w:val="3"/>
        </w:numPr>
        <w:spacing w:after="100"/>
      </w:pPr>
      <w:r>
        <w:t xml:space="preserve">A measurable but spatially uneven accessibility gain (ΔSMCI) generated by the electric bus intervention.</w:t>
      </w:r>
    </w:p>
    <w:p>
      <w:pPr>
        <w:pStyle w:val="ListParagraph"/>
        <w:numPr>
          <w:ilvl w:val="0"/>
          <w:numId w:val="3"/>
        </w:numPr>
        <w:spacing w:after="100"/>
      </w:pPr>
      <w:r>
        <w:t xml:space="preserve">A spatial concentration of low Relative Accessibility Competitiveness (RAC) in areas with otherwise strong neighborhood accessibility — the signature of fragmented mobility capability.</w:t>
      </w:r>
    </w:p>
    <w:p>
      <w:pPr>
        <w:pStyle w:val="ListParagraph"/>
        <w:numPr>
          <w:ilvl w:val="0"/>
          <w:numId w:val="3"/>
        </w:numPr>
        <w:spacing w:after="100"/>
      </w:pPr>
      <w:r>
        <w:t xml:space="preserve">Urban-form and transit-service characteristics (e.g., low route density, high distance to stops) that significantly predict classification as a fragmented capability environment.</w:t>
      </w:r>
    </w:p>
    <w:p>
      <w:pPr>
        <w:spacing w:after="200"/>
      </w:pPr>
      <w:r>
        <w:rPr>
          <w:b/>
          <w:bCs/>
          <w:i w:val="false"/>
          <w:iCs w:val="false"/>
        </w:rPr>
        <w:t xml:space="preserve">Expected core finding: </w:t>
      </w:r>
      <w:r>
        <w:rPr>
          <w:b w:val="false"/>
          <w:bCs w:val="false"/>
          <w:i w:val="false"/>
          <w:iCs w:val="false"/>
        </w:rPr>
        <w:t xml:space="preserve">Vinhomes Ocean Park may provide a highly walkable local environment while remaining insufficiently competitive with the motorcycle at the metropolitan scale — a pattern this study terms fragmented mobility capability.</w:t>
      </w:r>
    </w:p>
    <w:p>
      <w:pPr>
        <w:pStyle w:val="Heading1"/>
      </w:pPr>
      <w:r>
        <w:t xml:space="preserve">5. Discussion</w:t>
      </w:r>
    </w:p>
    <w:p>
      <w:pPr>
        <w:spacing w:after="200"/>
      </w:pPr>
      <w:r>
        <w:rPr>
          <w:b w:val="false"/>
          <w:bCs w:val="false"/>
          <w:i w:val="false"/>
          <w:iCs w:val="false"/>
        </w:rPr>
        <w:t xml:space="preserve">The study is expected to challenge the assumption that green urban design combined with public transportation investment is sufficient to produce a sustainable mobility transition. Instead, findings may indicate that sustainable mobility capability is multi-scalar and mode-relative: neighborhood accessibility alone is insufficient, and motorcycle dependency may persist at the metropolitan scale despite substantial green investment at the neighborhood scale.</w:t>
      </w:r>
    </w:p>
    <w:p>
      <w:pPr>
        <w:spacing w:after="200"/>
      </w:pPr>
      <w:r>
        <w:rPr>
          <w:b w:val="false"/>
          <w:bCs w:val="false"/>
          <w:i w:val="false"/>
          <w:iCs w:val="false"/>
        </w:rPr>
        <w:t xml:space="preserve">The proposed framework — and specifically the RAC index — offers a replicable way of stating precisely how much more competitive walking-and-transit accessibility would need to become, relative to the motorcycle, before a megaproject’s metropolitan accessibility could be considered integrated rather than fragmented. This operational precision is what distinguishes the contribution from a purely descriptive observation that "motorcycles remain dominant despite green investment."</w:t>
      </w:r>
    </w:p>
    <w:p>
      <w:pPr>
        <w:spacing w:after="200"/>
      </w:pPr>
      <w:r>
        <w:rPr>
          <w:b w:val="false"/>
          <w:bCs w:val="false"/>
          <w:i w:val="false"/>
          <w:iCs w:val="false"/>
        </w:rPr>
        <w:t xml:space="preserve">The analysis also examines directly whether the green-space dimension of the megaproject — captured through NDVI and green-space accessibility within NAI (Sections 3.4–3.5) — is itself associated with SMCI, RAC, or the fragmented-capability classification. This study treats that relationship as an open empirical question rather than assuming it in advance: if green-space accessibility shows no distinguishable relationship with these outcomes, the more accurate characterization of the case may be accessibility in a privately developed enclave, with "greenness" functioning primarily as marketing rather than as a substantive driver of the mobility outcomes studied here.</w:t>
      </w:r>
    </w:p>
    <w:p>
      <w:pPr>
        <w:pStyle w:val="Heading1"/>
      </w:pPr>
      <w:r>
        <w:t xml:space="preserve">6. Conclusion</w:t>
      </w:r>
    </w:p>
    <w:p>
      <w:pPr>
        <w:spacing w:after="200"/>
      </w:pPr>
      <w:r>
        <w:rPr>
          <w:b w:val="false"/>
          <w:bCs w:val="false"/>
          <w:i w:val="false"/>
          <w:iCs w:val="false"/>
        </w:rPr>
        <w:t xml:space="preserve">This study develops a dual-scale, mode-competitive accessibility framework to explain why a privately developed green megaproject in a motorcycle-dependent city may achieve a highly walkable local environment yet remain unable to generate integrated sustainable mobility capability at the metropolitan scale. By integrating neighborhood accessibility, metropolitan accessibility, and an explicit Relative Accessibility Competitiveness index, the study operationalizes the concept of fragmented mobility capability, positions it explicitly against the spatial mismatch and motility literatures, and demonstrates how green megaprojects may simultaneously promote local sustainability while preserving metropolitan-scale motorcycle dependency.</w:t>
      </w:r>
    </w:p>
    <w:p>
      <w:pPr>
        <w:spacing w:after="200"/>
      </w:pPr>
      <w:r>
        <w:rPr>
          <w:b w:val="false"/>
          <w:bCs w:val="false"/>
          <w:i w:val="false"/>
          <w:iCs w:val="false"/>
        </w:rPr>
        <w:t xml:space="preserve">The framework contributes theoretically to transportation geography and provides a validated, sensitivity-tested, single-case methodology that can be extended to other motorcycle-dependent megaprojects in future research.</w:t>
      </w:r>
    </w:p>
    <w:p>
      <w:r>
        <w:br w:type="page"/>
      </w:r>
    </w:p>
    <w:p>
      <w:pPr>
        <w:pStyle w:val="Heading1"/>
      </w:pPr>
      <w:r>
        <w:t xml:space="preserve">References (Preliminary)</w:t>
      </w:r>
    </w:p>
    <w:p>
      <w:pPr>
        <w:spacing w:after="150"/>
      </w:pPr>
      <w:r>
        <w:rPr>
          <w:b w:val="false"/>
          <w:bCs w:val="false"/>
          <w:i w:val="false"/>
          <w:iCs w:val="false"/>
        </w:rPr>
        <w:t xml:space="preserve">Cervero, R., &amp; Kockelman, K. (1997). Travel demand and the 3Ds: Density, diversity, and design. Transportation Research Part D, 2(3), 199–219.</w:t>
      </w:r>
    </w:p>
    <w:p>
      <w:pPr>
        <w:spacing w:after="150"/>
      </w:pPr>
      <w:r>
        <w:rPr>
          <w:b w:val="false"/>
          <w:bCs w:val="false"/>
          <w:i w:val="false"/>
          <w:iCs w:val="false"/>
        </w:rPr>
        <w:t xml:space="preserve">Geurs, K. T., &amp; van Wee, B. (2004). Accessibility evaluation of land-use and transport strategies: Review and research directions. Journal of Transport Geography, 12(2), 127–140.</w:t>
      </w:r>
    </w:p>
    <w:p>
      <w:pPr>
        <w:spacing w:after="150"/>
      </w:pPr>
      <w:r>
        <w:rPr>
          <w:b w:val="false"/>
          <w:bCs w:val="false"/>
          <w:i w:val="false"/>
          <w:iCs w:val="false"/>
        </w:rPr>
        <w:t xml:space="preserve">Kain, J. F. (1968). Housing segregation, negro employment, and metropolitan decentralization. The Quarterly Journal of Economics, 82(2), 175–197.</w:t>
      </w:r>
    </w:p>
    <w:p>
      <w:pPr>
        <w:spacing w:after="150"/>
      </w:pPr>
      <w:r>
        <w:rPr>
          <w:b w:val="false"/>
          <w:bCs w:val="false"/>
          <w:i w:val="false"/>
          <w:iCs w:val="false"/>
        </w:rPr>
        <w:t xml:space="preserve">Kaufmann, V., Bergman, M. M., &amp; Joye, D. (2004). Motility: Mobility as capital. International Journal of Urban and Regional Research, 28(4), 745–756.</w:t>
      </w:r>
    </w:p>
    <w:p>
      <w:pPr>
        <w:spacing w:after="150"/>
      </w:pPr>
      <w:r>
        <w:rPr>
          <w:b w:val="false"/>
          <w:bCs w:val="false"/>
          <w:i w:val="false"/>
          <w:iCs w:val="false"/>
        </w:rPr>
        <w:t xml:space="preserve">Levinson, D. M. (2012). Accessibility and transport planning. [Working paper / book chapter — verify full citation.]</w:t>
      </w:r>
    </w:p>
    <w:p>
      <w:pPr>
        <w:spacing w:after="150"/>
      </w:pPr>
      <w:r>
        <w:rPr>
          <w:b w:val="false"/>
          <w:bCs w:val="false"/>
          <w:i w:val="false"/>
          <w:iCs w:val="false"/>
        </w:rPr>
        <w:t xml:space="preserve">Nguyen, N. P. Q. D., et al. Various studies on travel behavior and public transportation in Vietnam. [Specific citations to be added.]</w:t>
      </w:r>
    </w:p>
    <w:p>
      <w:pPr>
        <w:spacing w:after="150"/>
      </w:pPr>
      <w:r>
        <w:rPr>
          <w:b w:val="false"/>
          <w:bCs w:val="false"/>
          <w:i w:val="false"/>
          <w:iCs w:val="false"/>
        </w:rPr>
        <w:t xml:space="preserve">Pojani, D., &amp; Stead, D. (2015). Sustainable urban transport in the developing world: Beyond megacities. Sustainability, 7(6), 7784–7805.</w:t>
      </w:r>
    </w:p>
    <w:p>
      <w:pPr>
        <w:spacing w:after="150"/>
      </w:pPr>
      <w:r>
        <w:rPr>
          <w:b w:val="false"/>
          <w:bCs w:val="false"/>
          <w:i w:val="false"/>
          <w:iCs w:val="false"/>
        </w:rPr>
        <w:t xml:space="preserve">Sen, A. (1999). Development as Freedom. Oxford University Press.</w:t>
      </w:r>
    </w:p>
    <w:p>
      <w:pPr>
        <w:spacing w:after="150"/>
      </w:pPr>
      <w:r>
        <w:rPr>
          <w:b w:val="false"/>
          <w:bCs w:val="false"/>
          <w:i w:val="false"/>
          <w:iCs w:val="false"/>
        </w:rPr>
        <w:t xml:space="preserve">Vecchio, G., &amp; Martens, K. (2021). Accessibility and the capabilities approach: A review of the literature and proposal for conceptual advancements. Transport Reviews, 41(6), 833–854.</w:t>
      </w:r>
    </w:p>
    <w:p>
      <w:pPr>
        <w:spacing w:before="100"/>
      </w:pPr>
      <w:r>
        <w:rPr>
          <w:b w:val="false"/>
          <w:bCs w:val="false"/>
          <w:i w:val="false"/>
          <w:iCs w:val="false"/>
        </w:rPr>
        <w:t xml:space="preserve">Note: Kain (1968), Kaufmann et al. (2004), and Vecchio &amp; Martens (2021) have been verified against publisher/library records. The Levinson (2012) and Nguyen et al. entries should be checked and completed with full citation details before submission.</w:t>
      </w:r>
    </w:p>
    <w:p>
      <w:pPr>
        <w:pStyle w:val="Heading1"/>
      </w:pPr>
      <w:r>
        <w:t xml:space="preserve">Appendices (Proposed)</w:t>
      </w:r>
    </w:p>
    <w:p>
      <w:pPr>
        <w:pStyle w:val="ListParagraph"/>
        <w:numPr>
          <w:ilvl w:val="0"/>
          <w:numId w:val="2"/>
        </w:numPr>
        <w:spacing w:after="100"/>
      </w:pPr>
      <w:r>
        <w:t xml:space="preserve">Appendix A: Accessibility indicators and formulas, including the full RAC and SMCI specifications.</w:t>
      </w:r>
    </w:p>
    <w:p>
      <w:pPr>
        <w:pStyle w:val="ListParagraph"/>
        <w:numPr>
          <w:ilvl w:val="0"/>
          <w:numId w:val="2"/>
        </w:numPr>
        <w:spacing w:after="100"/>
      </w:pPr>
      <w:r>
        <w:t xml:space="preserve">Appendix B: Data preprocessing workflow.</w:t>
      </w:r>
    </w:p>
    <w:p>
      <w:pPr>
        <w:pStyle w:val="ListParagraph"/>
        <w:numPr>
          <w:ilvl w:val="0"/>
          <w:numId w:val="2"/>
        </w:numPr>
        <w:spacing w:after="100"/>
      </w:pPr>
      <w:r>
        <w:t xml:space="preserve">Appendix C: Network analysis procedures, including the motorcycle speed-calibration protocol.</w:t>
      </w:r>
    </w:p>
    <w:p>
      <w:pPr>
        <w:pStyle w:val="ListParagraph"/>
        <w:numPr>
          <w:ilvl w:val="0"/>
          <w:numId w:val="2"/>
        </w:numPr>
        <w:spacing w:after="100"/>
      </w:pPr>
      <w:r>
        <w:t xml:space="preserve">Appendix D: Variable definitions and formulas.</w:t>
      </w:r>
    </w:p>
    <w:p>
      <w:pPr>
        <w:pStyle w:val="ListParagraph"/>
        <w:numPr>
          <w:ilvl w:val="0"/>
          <w:numId w:val="2"/>
        </w:numPr>
        <w:spacing w:after="100"/>
      </w:pPr>
      <w:r>
        <w:t xml:space="preserve">Appendix E: Full sensitivity analysis specification and results tables.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Proposal v6.0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2E5496"/>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2026-06-21T10:18:30.347Z</dcterms:created>
  <dcterms:modified xsi:type="dcterms:W3CDTF">2026-06-21T10:18:30.366Z</dcterms:modified>
</cp:coreProperties>
</file>

<file path=docProps/custom.xml><?xml version="1.0" encoding="utf-8"?>
<Properties xmlns="http://schemas.openxmlformats.org/officeDocument/2006/custom-properties" xmlns:vt="http://schemas.openxmlformats.org/officeDocument/2006/docPropsVTypes"/>
</file>