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Các bộ chỉ số đánh giá Giao thông Đô thị Bền vững (Sustainable Urban Mobility)</w:t>
      </w:r>
    </w:p>
    <w:p>
      <w:pPr>
        <w:spacing w:after="200"/>
      </w:pPr>
      <w:r>
        <w:t xml:space="preserve">Hiện nay trên thế giới đã có nhiều bộ chỉ số / khung đánh giá được xây dựng và ứng dụng rộng rãi để đo lường mức độ bền vững của giao thông đô thị (Sustainable Urban Mobility - SUM). Dưới đây là tổng hợp các bộ chỉ số chính.</w:t>
      </w:r>
    </w:p>
    <w:p>
      <w:pPr>
        <w:pStyle w:val="Heading2"/>
      </w:pPr>
      <w:r>
        <w:t xml:space="preserve">1. SUTI – Sustainable Urban Transport Index (ESCAP – Liên Hợp Quốc)</w:t>
      </w:r>
    </w:p>
    <w:p>
      <w:pPr>
        <w:spacing w:after="120"/>
      </w:pPr>
      <w:r>
        <w:t xml:space="preserve">ESCAP đã phát triển Sustainable Urban Transport Index (SUTI), một công cụ dạng Excel giúp tổng hợp, theo dõi và so sánh hiệu quả hoạt động của hệ thống giao thông đô thị bền vững giữa các thành phố. Chỉ số này dựa trên 10 chỉ tiêu đại diện cho các khía cạnh hệ thống giao thông, xã hội, kinh tế và môi trường, bao trùm các yếu tố quy hoạch, khả năng tiếp cận, an toàn, chất lượng, độ tin cậy, khả năng chi trả và phát thải.</w:t>
      </w:r>
    </w:p>
    <w:p>
      <w:pPr>
        <w:spacing w:after="200"/>
      </w:pPr>
      <w:r>
        <w:rPr>
          <w:i/>
          <w:iCs/>
        </w:rPr>
        <w:t xml:space="preserve">→ Đặc biệt phù hợp cho các thành phố châu Á, được thiết kế riêng cho khu vực Asia-Pacific.</w:t>
      </w:r>
    </w:p>
    <w:p>
      <w:pPr>
        <w:pStyle w:val="Heading2"/>
      </w:pPr>
      <w:r>
        <w:t xml:space="preserve">2. SUMI – Sustainable Urban Mobility Indicators (EU)</w:t>
      </w:r>
    </w:p>
    <w:p>
      <w:pPr>
        <w:spacing w:after="120"/>
      </w:pPr>
      <w:r>
        <w:t xml:space="preserve">Dự án European Sustainable Urban Mobility Indicators (SUMI) phát triển bộ công cụ gồm 20 bảng tính, mỗi bảng tương ứng một chỉ tiêu về giao thông đô thị bền vững, ví dụ: khả năng chi trả giao thông công cộng, số ca tử vong do tai nạn giao thông, phát thải khí nhà kính, khả năng tiếp cận cho nhóm hạn chế di chuyển, tiếng ồn, chất lượng không gian công cộng...</w:t>
      </w:r>
    </w:p>
    <w:p>
      <w:pPr>
        <w:spacing w:after="200"/>
      </w:pPr>
      <w:r>
        <w:t xml:space="preserve">Bộ chỉ số này bắt nguồn từ "SMP2.0 Sustainable Mobility Indicators" của WBCSD (World Business Council for Sustainable Development), sau đó được liên minh SUMI hiệu chỉnh lại để áp dụng cho các thành phố châu Âu.</w:t>
      </w:r>
    </w:p>
    <w:p>
      <w:pPr>
        <w:pStyle w:val="Heading2"/>
      </w:pPr>
      <w:r>
        <w:t xml:space="preserve">3. SUMP Core Indicators (EU)</w:t>
      </w:r>
    </w:p>
    <w:p>
      <w:pPr>
        <w:spacing w:after="200"/>
      </w:pPr>
      <w:r>
        <w:t xml:space="preserve">Gắn liền với Sustainable Urban Mobility Plans (SUMP) - khung quy hoạch chiến lược của EU nhằm đáp ứng nhu cầu di chuyển của người dân và doanh nghiệp trong thành phố nhằm cải thiện chất lượng sống, với các chỉ tiêu giám sát cốt lõi như an toàn giao thông, khả năng tiếp cận giao thông công cộng, phát thải khí nhà kính, chất lượng không khí.</w:t>
      </w:r>
    </w:p>
    <w:p>
      <w:pPr>
        <w:pStyle w:val="Heading2"/>
      </w:pPr>
      <w:r>
        <w:t xml:space="preserve">4. SMRI – Sustainable Mobility Readiness Index (mới, 2025)</w:t>
      </w:r>
    </w:p>
    <w:p>
      <w:pPr>
        <w:spacing w:after="120"/>
      </w:pPr>
      <w:r>
        <w:t xml:space="preserve">Chỉ số này được xây dựng để khắc phục hạn chế của các khung trước đó (vốn thường chỉ tập trung riêng lẻ vào một phương thức, công nghệ hoặc khía cạnh bền vững cụ thể) - tích hợp thêm các lớp mới như MaaS (Mobility-as-a-Service), logistics, vi giao thông (micro-mobility), giao thông công cộng và hệ sinh thái nền tảng số.</w:t>
      </w:r>
    </w:p>
    <w:p>
      <w:pPr>
        <w:spacing w:after="200"/>
      </w:pPr>
      <w:r>
        <w:rPr>
          <w:i/>
          <w:iCs/>
        </w:rPr>
        <w:t xml:space="preserve">Đây là bước phát triển mới nhất, phản ánh rõ xu hướng gig-economy trong giao thông - rất liên quan đến hướng nghiên cứu robotaxi/xe ôm công nghệ.</w:t>
      </w:r>
    </w:p>
    <w:p>
      <w:pPr>
        <w:pStyle w:val="Heading2"/>
      </w:pPr>
      <w:r>
        <w:t xml:space="preserve">5. Các chỉ số liên quan khác</w:t>
      </w:r>
    </w:p>
    <w:p>
      <w:pPr>
        <w:pStyle w:val="ListParagraph"/>
        <w:numPr>
          <w:ilvl w:val="0"/>
          <w:numId w:val="1"/>
        </w:numPr>
        <w:spacing w:after="100"/>
      </w:pPr>
      <w:r>
        <w:t xml:space="preserve">Urban Mobility Readiness Index và Sustainable Cities Mobility Index (được nhắc đến như các benchmark hiện có nhưng còn thiếu các lớp về MaaS, logistics và hệ sinh thái nền tảng)</w:t>
      </w:r>
    </w:p>
    <w:p>
      <w:pPr>
        <w:pStyle w:val="ListParagraph"/>
        <w:numPr>
          <w:ilvl w:val="0"/>
          <w:numId w:val="1"/>
        </w:numPr>
        <w:spacing w:after="200"/>
      </w:pPr>
      <w:r>
        <w:t xml:space="preserve">SDG 11.2 Indicator (Liên Hợp Quốc) - chỉ tiêu toàn cầu về khả năng tiếp cận giao thông công cộng an toàn, giá cả hợp lý</w:t>
      </w:r>
    </w:p>
    <w:p>
      <w:pPr>
        <w:pStyle w:val="Heading2"/>
      </w:pPr>
      <w:r>
        <w:t xml:space="preserve">Nhận xét và khoảng trống nghiên cứu</w:t>
      </w:r>
    </w:p>
    <w:p>
      <w:pPr>
        <w:spacing w:after="120"/>
      </w:pPr>
      <w:r>
        <w:t xml:space="preserve">Nghiên cứu gần đây (phương pháp MICMAC) chỉ ra rằng cần kết hợp phân tích cấu trúc với nghiên cứu định lượng để gán trọng số cho các chỉ số SUM, hướng tới một chỉ số tổng hợp phản ánh đồng thời thái độ công chúng (public attitudes) - điều ảnh hưởng đến quy hoạch giao thông đô thị - và hiệu quả thực tế của các giải pháp giao thông bền vững.</w:t>
      </w:r>
    </w:p>
    <w:p>
      <w:pPr>
        <w:spacing w:after="200"/>
      </w:pPr>
      <w:r>
        <w:t xml:space="preserve">→ Đây chính là khoảng trống nghiên cứu (research gap) rất phù hợp để liên hệ: hầu hết các chỉ số SUM hiện tại (SUTI, SUMI, SUMP) đều thiên về chỉ tiêu kỹ thuật/hạ tầng khách quan, còn thiếu tích hợp yếu tố hành vi/thái độ người dùng một cách hệ thống. Đây chính là chỗ mà nghiên cứu hành vi ý định sử dụng, lòng trung thành có thể bổ sung giá trị khoa học, biến các mô hình hành vi (BRT, SOR) thành một cấu phần đầu vào cho việc xây dựng chỉ số SUM "đầy đủ" hơn trong tương lai.</w:t>
      </w:r>
    </w:p>
    <w:p>
      <w:pPr>
        <w:pStyle w:val="Heading2"/>
      </w:pPr>
      <w:r>
        <w:t xml:space="preserve">Tài liệu tham khảo (References)</w:t>
      </w:r>
    </w:p>
    <w:p>
      <w:pPr>
        <w:spacing w:after="120"/>
        <w:ind w:left="360" w:hanging="360"/>
      </w:pPr>
      <w:r>
        <w:t xml:space="preserve">Chatziioannou, I., Nikitas, A., Tzouras, P. G., Bakogiannis, E., Alvarez-Icaza, L., Chias-Becerril, L., Karolemeas, C., Tsigdinos, S., Wallgren, P., &amp; Rexfelt, O. (2023). Ranking sustainable urban mobility indicators and their matching transport policies to support liveable city futures: A MICMAC approach. Transportation Research Interdisciplinary Perspectives, 18, 100788. https://doi.org/10.1016/j.trip.2023.100788</w:t>
      </w:r>
    </w:p>
    <w:p>
      <w:pPr>
        <w:spacing w:after="120"/>
        <w:ind w:left="360" w:hanging="360"/>
      </w:pPr>
      <w:r>
        <w:t xml:space="preserve">European Commission, &amp; Rupprecht Consult. (2020). Sustainable Urban Mobility Indicators (SUMI) — Final Report. Publications Office of the European Union.</w:t>
      </w:r>
    </w:p>
    <w:p>
      <w:pPr>
        <w:spacing w:after="120"/>
        <w:ind w:left="360" w:hanging="360"/>
      </w:pPr>
      <w:r>
        <w:t xml:space="preserve">Oliver Wyman Forum, &amp; University of California, Berkeley. (2022). Urban Mobility Readiness Index: 2022 Report.</w:t>
      </w:r>
    </w:p>
    <w:p>
      <w:pPr>
        <w:spacing w:after="120"/>
        <w:ind w:left="360" w:hanging="360"/>
      </w:pPr>
      <w:r>
        <w:t xml:space="preserve">PwC, &amp; Maaslab. (2024). Sustainable Mobility Readiness Index (SMRI): Building sustainable urban mobility. PwC.</w:t>
      </w:r>
    </w:p>
    <w:p>
      <w:pPr>
        <w:spacing w:after="120"/>
        <w:ind w:left="360" w:hanging="360"/>
      </w:pPr>
      <w:r>
        <w:t xml:space="preserve">Rutka, A., Michnej, M., Zwoliński, T., &amp; Gabory, M. (2024). Core indicators for monitoring the Sustainable Urban Mobility Plan: A case study. Sustainability, 16(13), 5632. https://doi.org/10.3390/su16135632</w:t>
      </w:r>
    </w:p>
    <w:p>
      <w:pPr>
        <w:spacing w:after="120"/>
        <w:ind w:left="360" w:hanging="360"/>
      </w:pPr>
      <w:r>
        <w:t xml:space="preserve">United Nations. (2015). Transforming our world: The 2030 Agenda for Sustainable Development (Sustainable Development Goal 11.2). United Nations General Assembly.</w:t>
      </w:r>
    </w:p>
    <w:p>
      <w:pPr>
        <w:spacing w:after="200"/>
        <w:ind w:left="360" w:hanging="360"/>
      </w:pPr>
      <w:r>
        <w:t xml:space="preserve">United Nations Economic and Social Commission for Asia and the Pacific (ESCAP). (2018). Sustainable Urban Transport Index (SUTI): A tool to shape urban mobility policy. United Nations ESCAP. https://www.unescap.org/our-work/transport/suti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2026-07-30T21:46:07.150Z</dcterms:created>
  <dcterms:modified xsi:type="dcterms:W3CDTF">2026-07-30T21:46:07.168Z</dcterms:modified>
</cp:coreProperties>
</file>

<file path=docProps/custom.xml><?xml version="1.0" encoding="utf-8"?>
<Properties xmlns="http://schemas.openxmlformats.org/officeDocument/2006/custom-properties" xmlns:vt="http://schemas.openxmlformats.org/officeDocument/2006/docPropsVTypes"/>
</file>