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disagree-wisely-inc."/>
    <w:p>
      <w:pPr>
        <w:pStyle w:val="Heading1"/>
      </w:pPr>
      <w:r>
        <w:t xml:space="preserve">Disagree Wisely, Inc.</w:t>
      </w:r>
    </w:p>
    <w:bookmarkStart w:id="24" w:name="mission-and-charitable-purpose"/>
    <w:p>
      <w:pPr>
        <w:pStyle w:val="Heading2"/>
      </w:pPr>
      <w:r>
        <w:t xml:space="preserve">Mission and Charitable Purpose</w:t>
      </w:r>
    </w:p>
    <w:bookmarkStart w:id="20" w:name="our-mission"/>
    <w:p>
      <w:pPr>
        <w:pStyle w:val="Heading3"/>
      </w:pPr>
      <w:r>
        <w:t xml:space="preserve">Our Mission</w:t>
      </w:r>
    </w:p>
    <w:p>
      <w:pPr>
        <w:pStyle w:val="FirstParagraph"/>
      </w:pPr>
      <w:r>
        <w:t xml:space="preserve">Our mission is to empower millions of learners to cultivate essential intellectual virtues—humility, cognitive empathy, critical thinking, and the ability to engage productively across differences. Driven by rigorous empirical research, we deploy and study innovative educational tools that foster free inquiry and intelligent discussion.</w:t>
      </w:r>
    </w:p>
    <w:bookmarkEnd w:id="20"/>
    <w:bookmarkStart w:id="21" w:name="charitable-purpose-and-legal-foundation"/>
    <w:p>
      <w:pPr>
        <w:pStyle w:val="Heading3"/>
      </w:pPr>
      <w:r>
        <w:t xml:space="preserve">Charitable Purpose and Legal Foundation</w:t>
      </w:r>
    </w:p>
    <w:p>
      <w:pPr>
        <w:pStyle w:val="FirstParagraph"/>
      </w:pPr>
      <w:r>
        <w:t xml:space="preserve">Disagree Wisely, Inc. operates exclusively for charitable and educational purposes within the meaning of Section 501(c)(3) of the Internal Revenue Code. Our organization addresses a critical gap in higher education by providing students with tools and opportunities to develop essential intellectual virtues including critical thinking, cognitive empathy, intellectual humility, and the ability to engage in constructive disagreement across ideological differences.</w:t>
      </w:r>
    </w:p>
    <w:p>
      <w:pPr>
        <w:pStyle w:val="BodyText"/>
      </w:pPr>
      <w:r>
        <w:t xml:space="preserve">Our primary charitable purpose is to advance education by deploying and studying innovative educational tools that facilitate constructive dialogue between college students with differing perspectives on contentious issues. We provide access to these tools free of charge to students and educational institutions, serving the public good by fostering civil discourse, reducing polarization, and preparing students for democratic citizenship.</w:t>
      </w:r>
    </w:p>
    <w:bookmarkEnd w:id="21"/>
    <w:bookmarkStart w:id="22" w:name="educational-problem-being-addressed"/>
    <w:p>
      <w:pPr>
        <w:pStyle w:val="Heading3"/>
      </w:pPr>
      <w:r>
        <w:t xml:space="preserve">Educational Problem Being Addressed</w:t>
      </w:r>
    </w:p>
    <w:p>
      <w:pPr>
        <w:pStyle w:val="FirstParagraph"/>
      </w:pPr>
      <w:r>
        <w:t xml:space="preserve">National surveys reveal widespread self-censorship on American college campuses, with many students avoiding important discussions due to fear of social and academic repercussions. This phenomenon undermines students’ ability to critically examine their values, understand opposing viewpoints, and participate effectively in civil discourse—skills essential for both academic achievement and democratic citizenship.</w:t>
      </w:r>
    </w:p>
    <w:p>
      <w:pPr>
        <w:pStyle w:val="BodyText"/>
      </w:pPr>
      <w:r>
        <w:t xml:space="preserve">Current educational approaches often fail to provide students with safe, structured environments where they can practice engaging with those who hold fundamentally different views. This deficit leaves graduates unprepared for the intellectual and civic challenges they will face in their professional and personal lives, contributing to broader societal polarization and democratic dysfunction.</w:t>
      </w:r>
    </w:p>
    <w:bookmarkEnd w:id="22"/>
    <w:bookmarkStart w:id="23" w:name="our-educational-approach"/>
    <w:p>
      <w:pPr>
        <w:pStyle w:val="Heading3"/>
      </w:pPr>
      <w:r>
        <w:t xml:space="preserve">Our Educational Approach</w:t>
      </w:r>
    </w:p>
    <w:p>
      <w:pPr>
        <w:pStyle w:val="FirstParagraph"/>
      </w:pPr>
      <w:r>
        <w:rPr>
          <w:b/>
          <w:bCs/>
        </w:rPr>
        <w:t xml:space="preserve">Methodology Overview</w:t>
      </w:r>
    </w:p>
    <w:p>
      <w:pPr>
        <w:pStyle w:val="BodyText"/>
      </w:pPr>
      <w:r>
        <w:t xml:space="preserve">Our approach centers on AI-facilitated dialogue tools that connect students who disagree about contentious issues and facilitate better discussions between them. These tools employ two key educational scaffolding mechanisms:</w:t>
      </w:r>
    </w:p>
    <w:p>
      <w:pPr>
        <w:pStyle w:val="BodyText"/>
      </w:pPr>
      <w:r>
        <w:rPr>
          <w:b/>
          <w:bCs/>
        </w:rPr>
        <w:t xml:space="preserve">AI Facilitation:</w:t>
      </w:r>
      <w:r>
        <w:t xml:space="preserve"> </w:t>
      </w:r>
      <w:r>
        <w:t xml:space="preserve">An AI Guide participates in every conversation, functioning like an experienced teacher by posing insightful questions, clarifying vague arguments, providing relevant factual information, de-escalating tense moments, and ensuring students engage meaningfully rather than talking past each other.</w:t>
      </w:r>
    </w:p>
    <w:p>
      <w:pPr>
        <w:pStyle w:val="BodyText"/>
      </w:pPr>
      <w:r>
        <w:rPr>
          <w:b/>
          <w:bCs/>
        </w:rPr>
        <w:t xml:space="preserve">Smart Rephrasing:</w:t>
      </w:r>
      <w:r>
        <w:t xml:space="preserve"> </w:t>
      </w:r>
      <w:r>
        <w:t xml:space="preserve">When students compose messages containing inflammatory or unconstructive language, the system suggests better ways to express their ideas, preserving core meaning while providing immediate feedback to help students develop habits of clear and respectful communication.</w:t>
      </w:r>
    </w:p>
    <w:p>
      <w:pPr>
        <w:pStyle w:val="BodyText"/>
      </w:pPr>
      <w:r>
        <w:rPr>
          <w:b/>
          <w:bCs/>
        </w:rPr>
        <w:t xml:space="preserve">Educational Methodology</w:t>
      </w:r>
    </w:p>
    <w:p>
      <w:pPr>
        <w:pStyle w:val="BodyText"/>
      </w:pPr>
      <w:r>
        <w:t xml:space="preserve">Our approach is grounded in established educational principles and empirically validated through controlled research studies. By providing real-time scaffolding and feedback, AI-facilitated dialogue tools create learning opportunities that would be difficult or impossible to replicate in traditional classroom settings, particularly for sensitive or polarizing topics.</w:t>
      </w:r>
    </w:p>
    <w:bookmarkEnd w:id="23"/>
    <w:bookmarkEnd w:id="24"/>
    <w:bookmarkStart w:id="28" w:name="personnel-and-organizational-capacity"/>
    <w:p>
      <w:pPr>
        <w:pStyle w:val="Heading2"/>
      </w:pPr>
      <w:r>
        <w:t xml:space="preserve">Personnel and Organizational Capacity</w:t>
      </w:r>
    </w:p>
    <w:bookmarkStart w:id="25" w:name="leadership-team"/>
    <w:p>
      <w:pPr>
        <w:pStyle w:val="Heading3"/>
      </w:pPr>
      <w:r>
        <w:t xml:space="preserve">Leadership Team</w:t>
      </w:r>
    </w:p>
    <w:p>
      <w:pPr>
        <w:pStyle w:val="FirstParagraph"/>
      </w:pPr>
      <w:r>
        <w:t xml:space="preserve">Our organization is led by two highly qualified co-founders who combine expertise in philosophy, cognitive science, artificial intelligence, and educational technology:</w:t>
      </w:r>
    </w:p>
    <w:p>
      <w:pPr>
        <w:pStyle w:val="BodyText"/>
      </w:pPr>
      <w:r>
        <w:rPr>
          <w:b/>
          <w:bCs/>
        </w:rPr>
        <w:t xml:space="preserve">Dr. Simon Cullen</w:t>
      </w:r>
      <w:r>
        <w:t xml:space="preserve"> </w:t>
      </w:r>
      <w:r>
        <w:t xml:space="preserve">serves as President and lead scientist. He is a faculty member, AI and Education Fellow, and Dean’s Innovation Scholar at Carnegie Mellon University. Beginning in 2025-2026, he will serve as a Faculty Research Fellow at Heterodox Academy’s Segal Center for Academic Pluralism. Dr. Cullen developed the multi-award-winning course</w:t>
      </w:r>
      <w:r>
        <w:t xml:space="preserve"> </w:t>
      </w:r>
      <w:r>
        <w:t xml:space="preserve">“Dangerous Ideas in Science and Society,”</w:t>
      </w:r>
      <w:r>
        <w:t xml:space="preserve"> </w:t>
      </w:r>
      <w:r>
        <w:t xml:space="preserve">which has taught hundreds of students to engage constructively with multiple sides of polarizing topics. He received Heterodox Academy’s Open Inquiry Award for his innovative applications of AI in education. Dr. Cullen is the creator of Palaver, an app using market-based mechanisms for discussion moderation, and co-developer of MindMup, an open-source argumentation tool used by tens of thousands of students worldwide. His research has been published in leading journals including Science Advances, Nature Science of Learning, Cognition, and the Review of Philosophy and Psychology. He holds a Ph.D. from Princeton University with expertise spanning learning science, psychology of reasoning, moral psychology, ethics, and philosophy of cognitive science.</w:t>
      </w:r>
    </w:p>
    <w:p>
      <w:pPr>
        <w:pStyle w:val="BodyText"/>
      </w:pPr>
      <w:r>
        <w:rPr>
          <w:b/>
          <w:bCs/>
        </w:rPr>
        <w:t xml:space="preserve">Dr. Nicholas DiBella</w:t>
      </w:r>
      <w:r>
        <w:t xml:space="preserve"> </w:t>
      </w:r>
      <w:r>
        <w:t xml:space="preserve">serves as Treasurer, Secretary, and lead scientist. He is a U.S. Intelligence Community Postdoctoral Research Fellow based in the Department of Philosophy at Carnegie Mellon University. His research spans epistemology, metaphysics, and the philosophy of probability, with a focus on developing methods to improve reasoning and communication in contexts involving uncertainty. His work has been published in The Philosophical Review, Philosophy of Science, and Synthese. He holds a B.S. in Physics from MIT and a Ph.D. in Philosophy from Stanford University. Drawing on his interdisciplinary background, Nicholas works at the intersection of philosophy, cognitive science, and artificial intelligence to enhance decision-making and foster constructive dialogue across diverse perspectives.</w:t>
      </w:r>
    </w:p>
    <w:bookmarkEnd w:id="25"/>
    <w:bookmarkStart w:id="26" w:name="current-team-composition"/>
    <w:p>
      <w:pPr>
        <w:pStyle w:val="Heading3"/>
      </w:pPr>
      <w:r>
        <w:t xml:space="preserve">Current Team Composition</w:t>
      </w:r>
    </w:p>
    <w:p>
      <w:pPr>
        <w:pStyle w:val="FirstParagraph"/>
      </w:pPr>
      <w:r>
        <w:t xml:space="preserve">Our current team includes the two co-founders, research support staff, and program assistants. We have successfully implemented high-quality, AI-facilitated discussions at scale, demonstrating our operational capacity.</w:t>
      </w:r>
    </w:p>
    <w:bookmarkEnd w:id="26"/>
    <w:bookmarkStart w:id="27" w:name="planned-personnel-expansion"/>
    <w:p>
      <w:pPr>
        <w:pStyle w:val="Heading3"/>
      </w:pPr>
      <w:r>
        <w:t xml:space="preserve">Planned Personnel Expansion</w:t>
      </w:r>
    </w:p>
    <w:p>
      <w:pPr>
        <w:pStyle w:val="FirstParagraph"/>
      </w:pPr>
      <w:r>
        <w:t xml:space="preserve">As we scale our operations, we plan to add key personnel with specialized expertise:</w:t>
      </w:r>
    </w:p>
    <w:p>
      <w:pPr>
        <w:pStyle w:val="BodyText"/>
      </w:pPr>
      <w:r>
        <w:rPr>
          <w:b/>
          <w:bCs/>
        </w:rPr>
        <w:t xml:space="preserve">Research Support Staff (2026):</w:t>
      </w:r>
      <w:r>
        <w:t xml:space="preserve"> </w:t>
      </w:r>
      <w:r>
        <w:t xml:space="preserve">To support educators using research-based tools and resources</w:t>
      </w:r>
    </w:p>
    <w:p>
      <w:pPr>
        <w:pStyle w:val="BodyText"/>
      </w:pPr>
      <w:r>
        <w:rPr>
          <w:b/>
          <w:bCs/>
        </w:rPr>
        <w:t xml:space="preserve">Research Scientists (2026):</w:t>
      </w:r>
      <w:r>
        <w:t xml:space="preserve"> </w:t>
      </w:r>
      <w:r>
        <w:t xml:space="preserve">To design and oversee studies on dialogue effectiveness and civil discourse pedagogy</w:t>
      </w:r>
    </w:p>
    <w:p>
      <w:pPr>
        <w:pStyle w:val="BodyText"/>
      </w:pPr>
      <w:r>
        <w:t xml:space="preserve">All compensation levels are being determined through comparative analysis of similar positions at educational nonprofits of comparable size and scope. The Board will ensure compensation remains reasonable and appropriate for our tax-exempt purposes by reviewing comparable nonprofit salaries and considering independent compensation data as needed. Initial salary ranges are based on academic salary scales at Carnegie Mellon University and comparable institutions, adjusted for the transition from academic to nonprofit employment.</w:t>
      </w:r>
    </w:p>
    <w:bookmarkEnd w:id="27"/>
    <w:bookmarkEnd w:id="28"/>
    <w:bookmarkStart w:id="31" w:name="organizational-structure-and-governance"/>
    <w:p>
      <w:pPr>
        <w:pStyle w:val="Heading2"/>
      </w:pPr>
      <w:r>
        <w:t xml:space="preserve">Organizational Structure and Governance</w:t>
      </w:r>
    </w:p>
    <w:bookmarkStart w:id="29" w:name="legal-formation-and-origins"/>
    <w:p>
      <w:pPr>
        <w:pStyle w:val="Heading3"/>
      </w:pPr>
      <w:r>
        <w:t xml:space="preserve">Legal Formation and Origins</w:t>
      </w:r>
    </w:p>
    <w:p>
      <w:pPr>
        <w:pStyle w:val="FirstParagraph"/>
      </w:pPr>
      <w:r>
        <w:t xml:space="preserve">The founders’ research on AI-facilitated dialogue tools originated from IRB-approved research conducted by Dr. Cullen and Dr. DiBella at Carnegie Mellon University throughout 2024. This university-sponsored research demonstrated the educational effectiveness of AI-scaffolded dialogue and attracted significant foundation interest. Carnegie Mellon University administered approximately $100,000 in research funding during 2024 and early 2025, providing proper institutional oversight and fiscal management. One additional donor, seeking to maximize funds available for direct project costs, provided $37,500 for civil discourse research and program expenses, of which $20,000 was transferred to Disagree Wisely, Inc. upon our incorporation and establishment of organizational bank accounts.</w:t>
      </w:r>
    </w:p>
    <w:p>
      <w:pPr>
        <w:pStyle w:val="BodyText"/>
      </w:pPr>
      <w:r>
        <w:t xml:space="preserve">We incorporated Disagree Wisely, Inc. as a nonprofit corporation in the state of Florida in April 2025. This transition from academic research project to independent nonprofit organization positions us to scale this proven educational approach nationwide while operating exclusively for charitable and educational purposes. We are now seeking recognition of tax-exempt status under Section 501(c)(3) of the Internal Revenue Code to formalize our charitable mission and expand our educational impact.</w:t>
      </w:r>
    </w:p>
    <w:bookmarkEnd w:id="29"/>
    <w:bookmarkStart w:id="30" w:name="board-of-directors"/>
    <w:p>
      <w:pPr>
        <w:pStyle w:val="Heading3"/>
      </w:pPr>
      <w:r>
        <w:t xml:space="preserve">Board of Directors</w:t>
      </w:r>
    </w:p>
    <w:p>
      <w:pPr>
        <w:pStyle w:val="FirstParagraph"/>
      </w:pPr>
      <w:r>
        <w:t xml:space="preserve">Our organization is governed by a three-member Board of Directors that combines deep subject matter expertise with diverse perspectives on education, philosophy, and argumentation:</w:t>
      </w:r>
    </w:p>
    <w:p>
      <w:pPr>
        <w:pStyle w:val="BodyText"/>
      </w:pPr>
      <w:r>
        <w:rPr>
          <w:b/>
          <w:bCs/>
        </w:rPr>
        <w:t xml:space="preserve">Dr. Simon Cullen</w:t>
      </w:r>
      <w:r>
        <w:t xml:space="preserve"> </w:t>
      </w:r>
      <w:r>
        <w:t xml:space="preserve">serves as President and Board Chair, bringing his extensive experience in educational innovation, AI applications in learning, and constructive dialogue pedagogy.</w:t>
      </w:r>
    </w:p>
    <w:p>
      <w:pPr>
        <w:pStyle w:val="BodyText"/>
      </w:pPr>
      <w:r>
        <w:rPr>
          <w:b/>
          <w:bCs/>
        </w:rPr>
        <w:t xml:space="preserve">Dr. Nicholas DiBella</w:t>
      </w:r>
      <w:r>
        <w:t xml:space="preserve"> </w:t>
      </w:r>
      <w:r>
        <w:t xml:space="preserve">serves as Treasurer, Secretary, and Director, contributing his expertise in reasoning, communication, and research methodology.</w:t>
      </w:r>
    </w:p>
    <w:p>
      <w:pPr>
        <w:pStyle w:val="BodyText"/>
      </w:pPr>
      <w:r>
        <w:rPr>
          <w:b/>
          <w:bCs/>
        </w:rPr>
        <w:t xml:space="preserve">Dr. Neil Thomason</w:t>
      </w:r>
      <w:r>
        <w:t xml:space="preserve"> </w:t>
      </w:r>
      <w:r>
        <w:t xml:space="preserve">serves as an independent Director, providing external oversight and specialized expertise. Dr. Thomason is Professor Emeritus in the Department of History and Philosophy of Science at the University of Melbourne. His research focuses on the history and philosophy of science, informal logic, and the pedagogy of argumentation. His pedagogical techniques have been adopted internationally, influencing language education and teacher training programs by enhancing critical thinking instruction and metacognitive awareness across disciplines. Dr. Thomason’s expertise in argumentation pedagogy and international educational perspectives provides valuable guidance for our mission to improve constructive dialogue skills among students.</w:t>
      </w:r>
    </w:p>
    <w:p>
      <w:pPr>
        <w:pStyle w:val="BodyText"/>
      </w:pPr>
      <w:r>
        <w:t xml:space="preserve">While our current three-member board meets all legal requirements and provides essential expertise during our startup phase, we plan to expand to 5 directors by the end of 2026. We are actively identifying candidates with expertise in nonprofit governance, civil discourse, education policy, educational technology, and fundraising. This expansion will enhance our governance capacity while maintaining our commitment to mission-driven leadership. The Board has adopted comprehensive governance policies including conflict of interest, document retention, and whistleblower policies to ensure proper oversight and accountability.</w:t>
      </w:r>
    </w:p>
    <w:p>
      <w:pPr>
        <w:pStyle w:val="BodyText"/>
      </w:pPr>
      <w:r>
        <w:t xml:space="preserve">This governance structure ensures proper oversight, diverse expertise, and accountability in our charitable operations. The Board’s combined expertise in educational technology, philosophy, argumentation, and pedagogical innovation directly supports our mission to advance education through improved dialogue, critical thinking skills, and basic research.</w:t>
      </w:r>
    </w:p>
    <w:bookmarkEnd w:id="30"/>
    <w:bookmarkEnd w:id="31"/>
    <w:bookmarkStart w:id="37" w:name="track-record-and-achievements"/>
    <w:p>
      <w:pPr>
        <w:pStyle w:val="Heading2"/>
      </w:pPr>
      <w:r>
        <w:t xml:space="preserve">Track Record and Achievements</w:t>
      </w:r>
    </w:p>
    <w:bookmarkStart w:id="32" w:name="research-validation"/>
    <w:p>
      <w:pPr>
        <w:pStyle w:val="Heading3"/>
      </w:pPr>
      <w:r>
        <w:t xml:space="preserve">Research Validation</w:t>
      </w:r>
    </w:p>
    <w:p>
      <w:pPr>
        <w:pStyle w:val="FirstParagraph"/>
      </w:pPr>
      <w:r>
        <w:t xml:space="preserve">The founders’ early experimental studies in 2024 demonstrated the effectiveness of AI-facilitated dialogue tools. In studies with 120 participants discussing topics including abortion, Israel-Palestine, and immigration, participants showed significant improvements in their ability to understand and respect opposing perspectives—improving by approximately 0.4 standard deviations (p &lt; 0.0001; 95% CI: 0.24 to 0.59). This represents a substantial educational impact by academic research standards.</w:t>
      </w:r>
    </w:p>
    <w:bookmarkEnd w:id="32"/>
    <w:bookmarkStart w:id="33" w:name="X6a6b481af1ae52c6123edf3df2cf1ead4bae593"/>
    <w:p>
      <w:pPr>
        <w:pStyle w:val="Heading3"/>
      </w:pPr>
      <w:r>
        <w:t xml:space="preserve">Classroom Integration and Student Outcomes</w:t>
      </w:r>
    </w:p>
    <w:p>
      <w:pPr>
        <w:pStyle w:val="FirstParagraph"/>
      </w:pPr>
      <w:r>
        <w:t xml:space="preserve">In Fall 2024, AI-facilitated dialogue tools were integrated into a large UCLA course serving approximately 250 students. The tools facilitated numerous conversations between students with opposing viewpoints on gender-related topics. Students overwhelmingly reported that the AI-facilitated discussions enhanced both the quality of their conversations and their foundation of mutual respect and critical thinking skills, as documented in our publicly available student feedback data.</w:t>
      </w:r>
    </w:p>
    <w:bookmarkEnd w:id="33"/>
    <w:bookmarkStart w:id="34" w:name="widespread-educator-adoption"/>
    <w:p>
      <w:pPr>
        <w:pStyle w:val="Heading3"/>
      </w:pPr>
      <w:r>
        <w:t xml:space="preserve">Widespread Educator Adoption</w:t>
      </w:r>
    </w:p>
    <w:p>
      <w:pPr>
        <w:pStyle w:val="FirstParagraph"/>
      </w:pPr>
      <w:r>
        <w:t xml:space="preserve">Our educational approach has gained remarkable acceptance within the higher education community:</w:t>
      </w:r>
    </w:p>
    <w:p>
      <w:pPr>
        <w:pStyle w:val="Compact"/>
        <w:numPr>
          <w:ilvl w:val="0"/>
          <w:numId w:val="1001"/>
        </w:numPr>
      </w:pPr>
      <w:r>
        <w:t xml:space="preserve">Over 150 instructors collectively teaching more than 10,000 students have signed up to use AI-facilitated dialogue tools deployed through our programs</w:t>
      </w:r>
    </w:p>
    <w:p>
      <w:pPr>
        <w:pStyle w:val="Compact"/>
        <w:numPr>
          <w:ilvl w:val="0"/>
          <w:numId w:val="1001"/>
        </w:numPr>
      </w:pPr>
      <w:r>
        <w:t xml:space="preserve">These educators represent over 100 North American post-secondary institutions and nearly 50 international schools from more than a dozen countries</w:t>
      </w:r>
    </w:p>
    <w:p>
      <w:pPr>
        <w:pStyle w:val="Compact"/>
        <w:numPr>
          <w:ilvl w:val="0"/>
          <w:numId w:val="1001"/>
        </w:numPr>
      </w:pPr>
      <w:r>
        <w:t xml:space="preserve">In Spring 2025, over 2,000 college students from more than 30 instructors actively participated in our programs</w:t>
      </w:r>
    </w:p>
    <w:p>
      <w:pPr>
        <w:pStyle w:val="Compact"/>
        <w:numPr>
          <w:ilvl w:val="0"/>
          <w:numId w:val="1001"/>
        </w:numPr>
      </w:pPr>
      <w:r>
        <w:t xml:space="preserve">We anticipate serving over 20,000 students in the 2025-2026 academic year based on confirmed instructor interest</w:t>
      </w:r>
    </w:p>
    <w:bookmarkEnd w:id="34"/>
    <w:bookmarkStart w:id="35" w:name="recognition-and-validation"/>
    <w:p>
      <w:pPr>
        <w:pStyle w:val="Heading3"/>
      </w:pPr>
      <w:r>
        <w:t xml:space="preserve">Recognition and Validation</w:t>
      </w:r>
    </w:p>
    <w:p>
      <w:pPr>
        <w:pStyle w:val="FirstParagraph"/>
      </w:pPr>
      <w:r>
        <w:t xml:space="preserve">Our organization has secured substantial funding from respected foundations and educational organizations, demonstrating consistent recognition of our educational impact and potential:</w:t>
      </w:r>
    </w:p>
    <w:p>
      <w:pPr>
        <w:pStyle w:val="BodyText"/>
      </w:pPr>
      <w:r>
        <w:rPr>
          <w:b/>
          <w:bCs/>
        </w:rPr>
        <w:t xml:space="preserve">2024 Secured Funding:</w:t>
      </w:r>
    </w:p>
    <w:p>
      <w:pPr>
        <w:pStyle w:val="Compact"/>
        <w:numPr>
          <w:ilvl w:val="0"/>
          <w:numId w:val="1002"/>
        </w:numPr>
      </w:pPr>
      <w:r>
        <w:t xml:space="preserve">Omidyar Network (through CMU Open Forum for AI): $50,000 for research and infrastructure costs</w:t>
      </w:r>
    </w:p>
    <w:p>
      <w:pPr>
        <w:pStyle w:val="Compact"/>
        <w:numPr>
          <w:ilvl w:val="0"/>
          <w:numId w:val="1002"/>
        </w:numPr>
      </w:pPr>
      <w:r>
        <w:t xml:space="preserve">Arthur Vining Davis Foundations: $35,000 gift supporting research and AI infrastructure</w:t>
      </w:r>
    </w:p>
    <w:p>
      <w:pPr>
        <w:pStyle w:val="Compact"/>
        <w:numPr>
          <w:ilvl w:val="0"/>
          <w:numId w:val="1002"/>
        </w:numPr>
      </w:pPr>
      <w:r>
        <w:t xml:space="preserve">Ben Delo Foundation: $37,500 covering assistant support and research costs</w:t>
      </w:r>
    </w:p>
    <w:p>
      <w:pPr>
        <w:pStyle w:val="Compact"/>
        <w:numPr>
          <w:ilvl w:val="0"/>
          <w:numId w:val="1002"/>
        </w:numPr>
      </w:pPr>
      <w:r>
        <w:t xml:space="preserve">Carnegie Mellon University Dean’s Innovation Scholar Award: $10,000 for research costs</w:t>
      </w:r>
    </w:p>
    <w:p>
      <w:pPr>
        <w:pStyle w:val="FirstParagraph"/>
      </w:pPr>
      <w:r>
        <w:rPr>
          <w:b/>
          <w:bCs/>
        </w:rPr>
        <w:t xml:space="preserve">2025 Major Awards:</w:t>
      </w:r>
    </w:p>
    <w:p>
      <w:pPr>
        <w:pStyle w:val="BodyText"/>
      </w:pPr>
      <w:r>
        <w:rPr>
          <w:b/>
          <w:bCs/>
        </w:rPr>
        <w:t xml:space="preserve">Learning Agency Tools Competition:</w:t>
      </w:r>
      <w:r>
        <w:t xml:space="preserve"> </w:t>
      </w:r>
      <w:r>
        <w:t xml:space="preserve">$150,000 Growth-level prize from a global contest with over 1,000 entries from more than 50 countries. This recognition validates our real-world classroom impact, data-driven design, and readiness to scale, providing funding and mentorship from leading education developers and philanthropic organizations including Schmidt Futures and the Walton Family Foundation.</w:t>
      </w:r>
    </w:p>
    <w:p>
      <w:pPr>
        <w:pStyle w:val="BodyText"/>
      </w:pPr>
      <w:r>
        <w:rPr>
          <w:b/>
          <w:bCs/>
        </w:rPr>
        <w:t xml:space="preserve">Arthur Vining Davis Foundations:</w:t>
      </w:r>
      <w:r>
        <w:t xml:space="preserve"> </w:t>
      </w:r>
      <w:r>
        <w:t xml:space="preserve">$340,000 grant for program scaling and research. While we cannot receive this award directly until achieving 501(c)(3) status, our sponsor Heterodox Academy serves as the grantee and directly covers our operational expenses under this grant. Once we receive our 501(c)(3) determination, we will be able to receive grants directly, eliminating the need for future fiscal sponsorship arrangements.</w:t>
      </w:r>
    </w:p>
    <w:p>
      <w:pPr>
        <w:pStyle w:val="BodyText"/>
      </w:pPr>
      <w:r>
        <w:rPr>
          <w:b/>
          <w:bCs/>
        </w:rPr>
        <w:t xml:space="preserve">Pending Applications:</w:t>
      </w:r>
      <w:r>
        <w:t xml:space="preserve"> </w:t>
      </w:r>
      <w:r>
        <w:t xml:space="preserve">We have submitted proposals to the Rising Tide Foundation ($180,000) and Snider Foundation ($50,000), both of which actively encouraged our applications based on our demonstrated impact and growth potential.</w:t>
      </w:r>
    </w:p>
    <w:p>
      <w:pPr>
        <w:pStyle w:val="BodyText"/>
      </w:pPr>
      <w:r>
        <w:rPr>
          <w:b/>
          <w:bCs/>
        </w:rPr>
        <w:t xml:space="preserve">Professional and Public Recognition:</w:t>
      </w:r>
      <w:r>
        <w:t xml:space="preserve"> </w:t>
      </w:r>
      <w:r>
        <w:t xml:space="preserve">Our work has gained significant attention from policymakers, educators, and media. Our approach was described in a recent U.S. Senate Committee hearing as promoting safe learning environments for all students. We have received media coverage from Inside Higher Ed and multiple podcasts, and have presented at leading forums including events by Heterodox Academy, Foundation for Individual Rights and Expression, Axim, and Carleton College. These engagements have established our credibility within professional communities focused on civil discourse, free inquiry, and educational technology.</w:t>
      </w:r>
    </w:p>
    <w:p>
      <w:pPr>
        <w:pStyle w:val="BodyText"/>
      </w:pPr>
      <w:r>
        <w:t xml:space="preserve">This record of recognition from funders, policymakers, educators, and media demonstrates consistent validation of our educational impact and reflects the broad social value of our work in advancing constructive dialogue.</w:t>
      </w:r>
    </w:p>
    <w:bookmarkEnd w:id="35"/>
    <w:bookmarkStart w:id="36" w:name="strategic-partnerships"/>
    <w:p>
      <w:pPr>
        <w:pStyle w:val="Heading3"/>
      </w:pPr>
      <w:r>
        <w:t xml:space="preserve">Strategic Partnerships</w:t>
      </w:r>
    </w:p>
    <w:p>
      <w:pPr>
        <w:pStyle w:val="FirstParagraph"/>
      </w:pPr>
      <w:r>
        <w:t xml:space="preserve">We have established partnerships with several prominent educational organizations:</w:t>
      </w:r>
    </w:p>
    <w:p>
      <w:pPr>
        <w:pStyle w:val="Compact"/>
        <w:numPr>
          <w:ilvl w:val="0"/>
          <w:numId w:val="1003"/>
        </w:numPr>
      </w:pPr>
      <w:r>
        <w:t xml:space="preserve">Heterodox Academy (HxA) to bring AI-facilitated dialogue tools to HxA members and campus chapters</w:t>
      </w:r>
    </w:p>
    <w:p>
      <w:pPr>
        <w:pStyle w:val="Compact"/>
        <w:numPr>
          <w:ilvl w:val="0"/>
          <w:numId w:val="1003"/>
        </w:numPr>
      </w:pPr>
      <w:r>
        <w:t xml:space="preserve">Unify America to reach additional campus-based organizations</w:t>
      </w:r>
    </w:p>
    <w:p>
      <w:pPr>
        <w:pStyle w:val="Compact"/>
        <w:numPr>
          <w:ilvl w:val="0"/>
          <w:numId w:val="1003"/>
        </w:numPr>
      </w:pPr>
      <w:r>
        <w:t xml:space="preserve">Harvard’s Institute for Multipartisan Education to explore applications for Israel-Palestine dialogue</w:t>
      </w:r>
    </w:p>
    <w:p>
      <w:pPr>
        <w:pStyle w:val="Compact"/>
        <w:numPr>
          <w:ilvl w:val="0"/>
          <w:numId w:val="1003"/>
        </w:numPr>
      </w:pPr>
      <w:r>
        <w:t xml:space="preserve">Dr. Barbara Oakley’s viral Coursera MOOC</w:t>
      </w:r>
      <w:r>
        <w:t xml:space="preserve"> </w:t>
      </w:r>
      <w:r>
        <w:t xml:space="preserve">“Learning How to Learn,”</w:t>
      </w:r>
      <w:r>
        <w:t xml:space="preserve"> </w:t>
      </w:r>
      <w:r>
        <w:t xml:space="preserve">where AI-facilitated dialogue serves as an optional activity</w:t>
      </w:r>
    </w:p>
    <w:bookmarkEnd w:id="36"/>
    <w:bookmarkEnd w:id="37"/>
    <w:bookmarkStart w:id="42" w:name="current-operations-and-activities"/>
    <w:p>
      <w:pPr>
        <w:pStyle w:val="Heading2"/>
      </w:pPr>
      <w:r>
        <w:t xml:space="preserve">Current Operations and Activities</w:t>
      </w:r>
    </w:p>
    <w:bookmarkStart w:id="38" w:name="program-operations"/>
    <w:p>
      <w:pPr>
        <w:pStyle w:val="Heading3"/>
      </w:pPr>
      <w:r>
        <w:t xml:space="preserve">Program Operations</w:t>
      </w:r>
    </w:p>
    <w:p>
      <w:pPr>
        <w:pStyle w:val="FirstParagraph"/>
      </w:pPr>
      <w:r>
        <w:t xml:space="preserve">We currently deploy cloud-based educational tools capable of supporting thousands of concurrent users. Our program infrastructure includes scalable cloud architecture through third-party providers, real-time AI processing through partnerships with leading AI providers, and comprehensive user support systems.</w:t>
      </w:r>
    </w:p>
    <w:bookmarkEnd w:id="38"/>
    <w:bookmarkStart w:id="39" w:name="educational-services"/>
    <w:p>
      <w:pPr>
        <w:pStyle w:val="Heading3"/>
      </w:pPr>
      <w:r>
        <w:t xml:space="preserve">Educational Services</w:t>
      </w:r>
    </w:p>
    <w:p>
      <w:pPr>
        <w:pStyle w:val="FirstParagraph"/>
      </w:pPr>
      <w:r>
        <w:t xml:space="preserve">Our current activities include:</w:t>
      </w:r>
    </w:p>
    <w:p>
      <w:pPr>
        <w:pStyle w:val="Compact"/>
        <w:numPr>
          <w:ilvl w:val="0"/>
          <w:numId w:val="1004"/>
        </w:numPr>
      </w:pPr>
      <w:r>
        <w:t xml:space="preserve">Providing free access to AI-facilitated dialogue tools for all students and educational institutions</w:t>
      </w:r>
    </w:p>
    <w:p>
      <w:pPr>
        <w:pStyle w:val="Compact"/>
        <w:numPr>
          <w:ilvl w:val="0"/>
          <w:numId w:val="1004"/>
        </w:numPr>
      </w:pPr>
      <w:r>
        <w:t xml:space="preserve">Offering technical support and training for instructors implementing dialogue-based pedagogy in their courses</w:t>
      </w:r>
    </w:p>
    <w:p>
      <w:pPr>
        <w:pStyle w:val="Compact"/>
        <w:numPr>
          <w:ilvl w:val="0"/>
          <w:numId w:val="1004"/>
        </w:numPr>
      </w:pPr>
      <w:r>
        <w:t xml:space="preserve">Evaluating and recommending improvements to educational tools based on de-identified usage data and student feedback</w:t>
      </w:r>
    </w:p>
    <w:p>
      <w:pPr>
        <w:pStyle w:val="Compact"/>
        <w:numPr>
          <w:ilvl w:val="0"/>
          <w:numId w:val="1004"/>
        </w:numPr>
      </w:pPr>
      <w:r>
        <w:t xml:space="preserve">Conducting ongoing research to measure and enhance educational outcomes</w:t>
      </w:r>
    </w:p>
    <w:p>
      <w:pPr>
        <w:pStyle w:val="Compact"/>
        <w:numPr>
          <w:ilvl w:val="0"/>
          <w:numId w:val="1004"/>
        </w:numPr>
      </w:pPr>
      <w:r>
        <w:t xml:space="preserve">Developing resources and best practices for educators using dialogue-based pedagogy</w:t>
      </w:r>
    </w:p>
    <w:p>
      <w:pPr>
        <w:pStyle w:val="FirstParagraph"/>
      </w:pPr>
      <w:r>
        <w:rPr>
          <w:b/>
          <w:bCs/>
        </w:rPr>
        <w:t xml:space="preserve">Typical Classroom Deployment: UCLA Sociology of Gender Course (Fall 2024)</w:t>
      </w:r>
    </w:p>
    <w:p>
      <w:pPr>
        <w:pStyle w:val="BodyText"/>
      </w:pPr>
      <w:r>
        <w:rPr>
          <w:b/>
          <w:bCs/>
        </w:rPr>
        <w:t xml:space="preserve">Who:</w:t>
      </w:r>
      <w:r>
        <w:t xml:space="preserve"> </w:t>
      </w:r>
      <w:r>
        <w:t xml:space="preserve">250 students enrolled in undergraduate sociology course</w:t>
      </w:r>
    </w:p>
    <w:p>
      <w:pPr>
        <w:pStyle w:val="BodyText"/>
      </w:pPr>
      <w:r>
        <w:rPr>
          <w:b/>
          <w:bCs/>
        </w:rPr>
        <w:t xml:space="preserve">What:</w:t>
      </w:r>
      <w:r>
        <w:t xml:space="preserve"> </w:t>
      </w:r>
      <w:r>
        <w:t xml:space="preserve">Each student participated in several (between 4-6) 35-minute AI-facilitated discussion assignments throughout the semester. The discussion topics, set by the instructor, covered issues including educational disadvantages faced by boys/men, religious freedom and hijab laws, and gender in electoral politics</w:t>
      </w:r>
    </w:p>
    <w:p>
      <w:pPr>
        <w:pStyle w:val="BodyText"/>
      </w:pPr>
      <w:r>
        <w:rPr>
          <w:b/>
          <w:bCs/>
        </w:rPr>
        <w:t xml:space="preserve">Results:</w:t>
      </w:r>
      <w:r>
        <w:t xml:space="preserve"> </w:t>
      </w:r>
      <w:r>
        <w:t xml:space="preserve">94% of students rated conversations as</w:t>
      </w:r>
      <w:r>
        <w:t xml:space="preserve"> </w:t>
      </w:r>
      <w:r>
        <w:t xml:space="preserve">“Good”</w:t>
      </w:r>
      <w:r>
        <w:t xml:space="preserve"> </w:t>
      </w:r>
      <w:r>
        <w:t xml:space="preserve">or</w:t>
      </w:r>
      <w:r>
        <w:t xml:space="preserve"> </w:t>
      </w:r>
      <w:r>
        <w:t xml:space="preserve">“Awesome”</w:t>
      </w:r>
      <w:r>
        <w:t xml:space="preserve">; 97% reported their partner was respectful; only 0.3% of messages flagged as potentially unconstructive</w:t>
      </w:r>
    </w:p>
    <w:bookmarkEnd w:id="39"/>
    <w:bookmarkStart w:id="40" w:name="research-and-evaluation"/>
    <w:p>
      <w:pPr>
        <w:pStyle w:val="Heading3"/>
      </w:pPr>
      <w:r>
        <w:t xml:space="preserve">Research and Evaluation</w:t>
      </w:r>
    </w:p>
    <w:p>
      <w:pPr>
        <w:pStyle w:val="FirstParagraph"/>
      </w:pPr>
      <w:r>
        <w:t xml:space="preserve">We maintain an active research program to evaluate and improve our educational methodology. This includes controlled studies examining the effectiveness of different AI facilitation strategies, analysis of conversation patterns to identify optimal scaffolding approaches, and collaboration with academic researchers studying constructive dialogue and polarization reduction.</w:t>
      </w:r>
    </w:p>
    <w:bookmarkEnd w:id="40"/>
    <w:bookmarkStart w:id="41" w:name="collaborative-research-network"/>
    <w:p>
      <w:pPr>
        <w:pStyle w:val="Heading3"/>
      </w:pPr>
      <w:r>
        <w:t xml:space="preserve">Collaborative Research Network</w:t>
      </w:r>
    </w:p>
    <w:p>
      <w:pPr>
        <w:pStyle w:val="FirstParagraph"/>
      </w:pPr>
      <w:r>
        <w:t xml:space="preserve">The research community has shown significant interest in AI-facilitated dialogue tools as a platform for advancing scientific understanding of dialogue, empathy, and depolarization. Researchers from multiple prestigious institutions have proposed integrating these tools into their studies, demonstrating both the research value and our contribution to advancing educational and social science:</w:t>
      </w:r>
    </w:p>
    <w:p>
      <w:pPr>
        <w:pStyle w:val="BodyText"/>
      </w:pPr>
      <w:r>
        <w:rPr>
          <w:b/>
          <w:bCs/>
        </w:rPr>
        <w:t xml:space="preserve">Stanford University:</w:t>
      </w:r>
      <w:r>
        <w:t xml:space="preserve"> </w:t>
      </w:r>
      <w:r>
        <w:t xml:space="preserve">Researchers at the Stanford Human-Centered Artificial Intelligence (HAI) lab plan to use AI-facilitated dialogue tools in research on enhancing deliberative political discussion and validating AI-based interventions for depolarization</w:t>
      </w:r>
    </w:p>
    <w:p>
      <w:pPr>
        <w:pStyle w:val="BodyText"/>
      </w:pPr>
      <w:r>
        <w:rPr>
          <w:b/>
          <w:bCs/>
        </w:rPr>
        <w:t xml:space="preserve">Columbia University’s Teachers College:</w:t>
      </w:r>
      <w:r>
        <w:t xml:space="preserve"> </w:t>
      </w:r>
      <w:r>
        <w:t xml:space="preserve">Researchers are incorporating AI-facilitated dialogue tools experimentally in their work on depolarizing college campuses</w:t>
      </w:r>
    </w:p>
    <w:p>
      <w:pPr>
        <w:pStyle w:val="BodyText"/>
      </w:pPr>
      <w:r>
        <w:rPr>
          <w:b/>
          <w:bCs/>
        </w:rPr>
        <w:t xml:space="preserve">University of St Andrews:</w:t>
      </w:r>
      <w:r>
        <w:t xml:space="preserve"> </w:t>
      </w:r>
      <w:r>
        <w:t xml:space="preserve">The Centre for Responsible Debate aims to use AI-facilitated dialogue tools in controlled studies examining how structured online dialogues promote openness, empathy, and conflict transformation</w:t>
      </w:r>
    </w:p>
    <w:p>
      <w:pPr>
        <w:pStyle w:val="BodyText"/>
      </w:pPr>
      <w:r>
        <w:rPr>
          <w:b/>
          <w:bCs/>
        </w:rPr>
        <w:t xml:space="preserve">Luther College:</w:t>
      </w:r>
      <w:r>
        <w:t xml:space="preserve"> </w:t>
      </w:r>
      <w:r>
        <w:t xml:space="preserve">Researchers in the Laboratory for the Investigation of Mind, Body, and Spirit plan to investigate whether structured dialogue influences empathy, forgiveness, and intentions toward peace</w:t>
      </w:r>
    </w:p>
    <w:p>
      <w:pPr>
        <w:pStyle w:val="BodyText"/>
      </w:pPr>
      <w:r>
        <w:rPr>
          <w:b/>
          <w:bCs/>
        </w:rPr>
        <w:t xml:space="preserve">University of South Florida:</w:t>
      </w:r>
      <w:r>
        <w:t xml:space="preserve"> </w:t>
      </w:r>
      <w:r>
        <w:t xml:space="preserve">Researchers have proposed testing AI-facilitated dialogue as an intervention to mitigate offense-taking and encourage openness to free speech</w:t>
      </w:r>
    </w:p>
    <w:p>
      <w:pPr>
        <w:pStyle w:val="BodyText"/>
      </w:pPr>
      <w:r>
        <w:rPr>
          <w:b/>
          <w:bCs/>
        </w:rPr>
        <w:t xml:space="preserve">UNC Charlotte:</w:t>
      </w:r>
      <w:r>
        <w:t xml:space="preserve"> </w:t>
      </w:r>
      <w:r>
        <w:t xml:space="preserve">Researchers plan to use AI-facilitated dialogue tools to build and study models of constructive questioning and team-based dialogues</w:t>
      </w:r>
    </w:p>
    <w:p>
      <w:pPr>
        <w:pStyle w:val="BodyText"/>
      </w:pPr>
      <w:r>
        <w:rPr>
          <w:b/>
          <w:bCs/>
        </w:rPr>
        <w:t xml:space="preserve">Georgia State University:</w:t>
      </w:r>
      <w:r>
        <w:t xml:space="preserve"> </w:t>
      </w:r>
      <w:r>
        <w:t xml:space="preserve">Faculty members are preparing a depolarizing pedagogy experiment in a large-enrollment American Government course, examining how AI-facilitated dialogue fosters balanced and civil political discussions</w:t>
      </w:r>
    </w:p>
    <w:p>
      <w:pPr>
        <w:pStyle w:val="BodyText"/>
      </w:pPr>
      <w:r>
        <w:t xml:space="preserve">This collaborative research network demonstrates that AI-facilitated dialogue tools serve not only as practical educational resources but also as a novel platform for empirically grounded research into effective dialogue across multiple disciplines including psychology, political science, education, and conflict resolution. By enabling research that would otherwise be difficult or impossible to conduct, we contribute to the advancement of scientific knowledge while serving our educational mission.</w:t>
      </w:r>
    </w:p>
    <w:bookmarkEnd w:id="41"/>
    <w:bookmarkEnd w:id="42"/>
    <w:bookmarkStart w:id="45" w:name="planned-future-activities"/>
    <w:p>
      <w:pPr>
        <w:pStyle w:val="Heading2"/>
      </w:pPr>
      <w:r>
        <w:t xml:space="preserve">Planned Future Activities</w:t>
      </w:r>
    </w:p>
    <w:bookmarkStart w:id="43" w:name="educational-outreach-and-impact"/>
    <w:p>
      <w:pPr>
        <w:pStyle w:val="Heading3"/>
      </w:pPr>
      <w:r>
        <w:t xml:space="preserve">Educational Outreach and Impact</w:t>
      </w:r>
    </w:p>
    <w:p>
      <w:pPr>
        <w:pStyle w:val="FirstParagraph"/>
      </w:pPr>
      <w:r>
        <w:rPr>
          <w:b/>
          <w:bCs/>
        </w:rPr>
        <w:t xml:space="preserve">Faculty and Professional Development:</w:t>
      </w:r>
      <w:r>
        <w:t xml:space="preserve"> </w:t>
      </w:r>
      <w:r>
        <w:t xml:space="preserve">Conducting training workshops for educators on civil discourse pedagogy and dialogue-based teaching methods</w:t>
      </w:r>
    </w:p>
    <w:p>
      <w:pPr>
        <w:pStyle w:val="BodyText"/>
      </w:pPr>
      <w:r>
        <w:rPr>
          <w:b/>
          <w:bCs/>
        </w:rPr>
        <w:t xml:space="preserve">Curriculum Development:</w:t>
      </w:r>
      <w:r>
        <w:t xml:space="preserve"> </w:t>
      </w:r>
      <w:r>
        <w:t xml:space="preserve">Creating an online</w:t>
      </w:r>
      <w:r>
        <w:t xml:space="preserve"> </w:t>
      </w:r>
      <w:r>
        <w:t xml:space="preserve">“Dangerous Ideas”</w:t>
      </w:r>
      <w:r>
        <w:t xml:space="preserve"> </w:t>
      </w:r>
      <w:r>
        <w:t xml:space="preserve">course that combines lectures with AI-facilitated peer discussions on challenging topics</w:t>
      </w:r>
    </w:p>
    <w:p>
      <w:pPr>
        <w:pStyle w:val="BodyText"/>
      </w:pPr>
      <w:r>
        <w:rPr>
          <w:b/>
          <w:bCs/>
        </w:rPr>
        <w:t xml:space="preserve">Public Education:</w:t>
      </w:r>
      <w:r>
        <w:t xml:space="preserve"> </w:t>
      </w:r>
      <w:r>
        <w:t xml:space="preserve">Making AI-facilitated dialogue tools available to the general public to promote constructive civil discourse learning beyond traditional academic settings</w:t>
      </w:r>
    </w:p>
    <w:bookmarkEnd w:id="43"/>
    <w:bookmarkStart w:id="44" w:name="research-and-dissemination"/>
    <w:p>
      <w:pPr>
        <w:pStyle w:val="Heading3"/>
      </w:pPr>
      <w:r>
        <w:t xml:space="preserve">Research and Dissemination</w:t>
      </w:r>
    </w:p>
    <w:p>
      <w:pPr>
        <w:pStyle w:val="Compact"/>
        <w:numPr>
          <w:ilvl w:val="0"/>
          <w:numId w:val="1005"/>
        </w:numPr>
      </w:pPr>
      <w:r>
        <w:t xml:space="preserve">Conducting large-scale studies with thousands of participants to further validate and refine our educational approach</w:t>
      </w:r>
    </w:p>
    <w:p>
      <w:pPr>
        <w:pStyle w:val="Compact"/>
        <w:numPr>
          <w:ilvl w:val="0"/>
          <w:numId w:val="1005"/>
        </w:numPr>
      </w:pPr>
      <w:r>
        <w:t xml:space="preserve">Publishing findings in peer-reviewed academic journals to contribute to educational research</w:t>
      </w:r>
    </w:p>
    <w:p>
      <w:pPr>
        <w:pStyle w:val="Compact"/>
        <w:numPr>
          <w:ilvl w:val="0"/>
          <w:numId w:val="1005"/>
        </w:numPr>
      </w:pPr>
      <w:r>
        <w:t xml:space="preserve">Organizing annual</w:t>
      </w:r>
      <w:r>
        <w:t xml:space="preserve"> </w:t>
      </w:r>
      <w:r>
        <w:t xml:space="preserve">“Civil Discourse Summit”</w:t>
      </w:r>
      <w:r>
        <w:t xml:space="preserve"> </w:t>
      </w:r>
      <w:r>
        <w:t xml:space="preserve">conferences to bring together researchers, educators, and practitioners focused on constructive dialogue, civil discourse, and education for democratic citizenship</w:t>
      </w:r>
    </w:p>
    <w:bookmarkEnd w:id="44"/>
    <w:bookmarkEnd w:id="45"/>
    <w:bookmarkStart w:id="48" w:name="financial-strategy-and-sustainability"/>
    <w:p>
      <w:pPr>
        <w:pStyle w:val="Heading2"/>
      </w:pPr>
      <w:r>
        <w:t xml:space="preserve">Financial Strategy and Sustainability</w:t>
      </w:r>
    </w:p>
    <w:bookmarkStart w:id="46" w:name="revenue-diversification"/>
    <w:p>
      <w:pPr>
        <w:pStyle w:val="Heading3"/>
      </w:pPr>
      <w:r>
        <w:t xml:space="preserve">Revenue Diversification</w:t>
      </w:r>
    </w:p>
    <w:p>
      <w:pPr>
        <w:pStyle w:val="FirstParagraph"/>
      </w:pPr>
      <w:r>
        <w:t xml:space="preserve">Our financial projections reflect a strategic diversification of revenue:</w:t>
      </w:r>
    </w:p>
    <w:p>
      <w:pPr>
        <w:pStyle w:val="BodyText"/>
      </w:pPr>
      <w:r>
        <w:rPr>
          <w:b/>
          <w:bCs/>
        </w:rPr>
        <w:t xml:space="preserve">2025:</w:t>
      </w:r>
      <w:r>
        <w:t xml:space="preserve"> </w:t>
      </w:r>
      <w:r>
        <w:t xml:space="preserve">Primary funding through foundation grants ($380,000) with no program service revenue, reflecting our startup phase and focus on program development and research validation.</w:t>
      </w:r>
    </w:p>
    <w:p>
      <w:pPr>
        <w:pStyle w:val="BodyText"/>
      </w:pPr>
      <w:r>
        <w:t xml:space="preserve">It is important to note that our infrastructure costs in Year 1 are substantially underwritten by Heterodox Academy through the Arthur Vining Davis Foundation grant, allowing us to demonstrate program effectiveness while building sustainable revenue streams. This strategic support enables growth while maintaining financial stability.</w:t>
      </w:r>
    </w:p>
    <w:p>
      <w:pPr>
        <w:pStyle w:val="BodyText"/>
      </w:pPr>
      <w:r>
        <w:t xml:space="preserve">The need to secure 501(c)(3) status promptly is driven by multiple factors: several major funders require direct 501(c)(3) status for grant eligibility, our pending application with Snider Foundation depends on achieving tax-exempt status, and educational institutions increasingly require 501(c)(3) verification before formally partnering with external organizations.</w:t>
      </w:r>
    </w:p>
    <w:p>
      <w:pPr>
        <w:pStyle w:val="BodyText"/>
      </w:pPr>
      <w:r>
        <w:rPr>
          <w:b/>
          <w:bCs/>
        </w:rPr>
        <w:t xml:space="preserve">2026:</w:t>
      </w:r>
      <w:r>
        <w:t xml:space="preserve"> </w:t>
      </w:r>
      <w:r>
        <w:t xml:space="preserve">Continued foundation support for research and development while exploring sustainable revenue models.</w:t>
      </w:r>
    </w:p>
    <w:p>
      <w:pPr>
        <w:pStyle w:val="BodyText"/>
      </w:pPr>
      <w:r>
        <w:rPr>
          <w:b/>
          <w:bCs/>
        </w:rPr>
        <w:t xml:space="preserve">2027:</w:t>
      </w:r>
      <w:r>
        <w:t xml:space="preserve"> </w:t>
      </w:r>
      <w:r>
        <w:t xml:space="preserve">Maturation of our revenue model with corporate contributions and individual donations growing, demonstrating a healthy mix of philanthropic support that ensures long-term sustainability while maintaining our educational and scientific mission.</w:t>
      </w:r>
    </w:p>
    <w:bookmarkEnd w:id="46"/>
    <w:bookmarkStart w:id="47" w:name="cost-structure-justification"/>
    <w:p>
      <w:pPr>
        <w:pStyle w:val="Heading3"/>
      </w:pPr>
      <w:r>
        <w:t xml:space="preserve">Cost Structure Justification</w:t>
      </w:r>
    </w:p>
    <w:p>
      <w:pPr>
        <w:pStyle w:val="FirstParagraph"/>
      </w:pPr>
      <w:r>
        <w:t xml:space="preserve">Our projected expenses reflect the realities of operating an educational research and program delivery organization:</w:t>
      </w:r>
    </w:p>
    <w:p>
      <w:pPr>
        <w:pStyle w:val="BodyText"/>
      </w:pPr>
      <w:r>
        <w:rPr>
          <w:b/>
          <w:bCs/>
        </w:rPr>
        <w:t xml:space="preserve">Personnel Costs:</w:t>
      </w:r>
      <w:r>
        <w:t xml:space="preserve"> </w:t>
      </w:r>
      <w:r>
        <w:t xml:space="preserve">Salaries for key personnel (increasing from $15,000 to $560,000 over three years) reflect our transition from university-sponsored founders to independent operations requiring competitive compensation for educational and research professionals.</w:t>
      </w:r>
    </w:p>
    <w:p>
      <w:pPr>
        <w:pStyle w:val="BodyText"/>
      </w:pPr>
      <w:r>
        <w:rPr>
          <w:b/>
          <w:bCs/>
        </w:rPr>
        <w:t xml:space="preserve">Professional Services:</w:t>
      </w:r>
      <w:r>
        <w:t xml:space="preserve"> </w:t>
      </w:r>
      <w:r>
        <w:t xml:space="preserve">Our professional fees cover research support, educational program development, and contracted services for program delivery.</w:t>
      </w:r>
    </w:p>
    <w:p>
      <w:pPr>
        <w:pStyle w:val="BodyText"/>
      </w:pPr>
      <w:r>
        <w:rPr>
          <w:b/>
          <w:bCs/>
        </w:rPr>
        <w:t xml:space="preserve">Program Expenses:</w:t>
      </w:r>
      <w:r>
        <w:t xml:space="preserve"> </w:t>
      </w:r>
      <w:r>
        <w:t xml:space="preserve">Infrastructure costs for deploying educational tools include cloud hosting services, AI services, and related program delivery costs. These are third-party costs paid to service providers such as cloud platforms and AI companies.</w:t>
      </w:r>
    </w:p>
    <w:bookmarkEnd w:id="47"/>
    <w:bookmarkEnd w:id="48"/>
    <w:bookmarkStart w:id="53" w:name="educational-impact-and-public-benefit"/>
    <w:p>
      <w:pPr>
        <w:pStyle w:val="Heading2"/>
      </w:pPr>
      <w:r>
        <w:t xml:space="preserve">Educational Impact and Public Benefit</w:t>
      </w:r>
    </w:p>
    <w:bookmarkStart w:id="49" w:name="measurable-learning-outcomes"/>
    <w:p>
      <w:pPr>
        <w:pStyle w:val="Heading3"/>
      </w:pPr>
      <w:r>
        <w:t xml:space="preserve">Measurable Learning Outcomes</w:t>
      </w:r>
    </w:p>
    <w:p>
      <w:pPr>
        <w:pStyle w:val="FirstParagraph"/>
      </w:pPr>
      <w:r>
        <w:t xml:space="preserve">Our programs generate quantifiable educational benefits:</w:t>
      </w:r>
    </w:p>
    <w:p>
      <w:pPr>
        <w:pStyle w:val="Compact"/>
        <w:numPr>
          <w:ilvl w:val="0"/>
          <w:numId w:val="1006"/>
        </w:numPr>
      </w:pPr>
      <w:r>
        <w:t xml:space="preserve">Significant improvements in students’ ability to understand opposing viewpoints</w:t>
      </w:r>
    </w:p>
    <w:p>
      <w:pPr>
        <w:pStyle w:val="Compact"/>
        <w:numPr>
          <w:ilvl w:val="0"/>
          <w:numId w:val="1006"/>
        </w:numPr>
      </w:pPr>
      <w:r>
        <w:t xml:space="preserve">Enhanced critical thinking and argumentation skills</w:t>
      </w:r>
    </w:p>
    <w:p>
      <w:pPr>
        <w:pStyle w:val="Compact"/>
        <w:numPr>
          <w:ilvl w:val="0"/>
          <w:numId w:val="1006"/>
        </w:numPr>
      </w:pPr>
      <w:r>
        <w:t xml:space="preserve">Increased willingness to engage with challenging topics and different perspectives</w:t>
      </w:r>
    </w:p>
    <w:p>
      <w:pPr>
        <w:pStyle w:val="Compact"/>
        <w:numPr>
          <w:ilvl w:val="0"/>
          <w:numId w:val="1006"/>
        </w:numPr>
      </w:pPr>
      <w:r>
        <w:t xml:space="preserve">Development of intellectual virtues including humility, empathy, and precision in reasoning</w:t>
      </w:r>
    </w:p>
    <w:bookmarkEnd w:id="49"/>
    <w:bookmarkStart w:id="50" w:name="serving-underserved-populations"/>
    <w:p>
      <w:pPr>
        <w:pStyle w:val="Heading3"/>
      </w:pPr>
      <w:r>
        <w:t xml:space="preserve">Serving Underserved Populations</w:t>
      </w:r>
    </w:p>
    <w:p>
      <w:pPr>
        <w:pStyle w:val="FirstParagraph"/>
      </w:pPr>
      <w:r>
        <w:t xml:space="preserve">By providing our programs free to all students and institutions, we ensure educational benefits reach students regardless of their institution’s resources. Our work particularly benefits students at institutions lacking resources for specialized dialogue programs or those studying at colleges where controversial topics are difficult to address safely.</w:t>
      </w:r>
    </w:p>
    <w:bookmarkEnd w:id="50"/>
    <w:bookmarkStart w:id="51" w:name="contributing-to-democratic-education"/>
    <w:p>
      <w:pPr>
        <w:pStyle w:val="Heading3"/>
      </w:pPr>
      <w:r>
        <w:t xml:space="preserve">Contributing to Democratic Education</w:t>
      </w:r>
    </w:p>
    <w:p>
      <w:pPr>
        <w:pStyle w:val="FirstParagraph"/>
      </w:pPr>
      <w:r>
        <w:t xml:space="preserve">Our work directly advances democratic education by preparing students for civic engagement in a polarized society. Students who develop skills in constructive disagreement through our programs are better equipped to participate meaningfully in democratic processes and contribute to civil discourse in their communities.</w:t>
      </w:r>
    </w:p>
    <w:bookmarkEnd w:id="51"/>
    <w:bookmarkStart w:id="52" w:name="broader-societal-impact"/>
    <w:p>
      <w:pPr>
        <w:pStyle w:val="Heading3"/>
      </w:pPr>
      <w:r>
        <w:t xml:space="preserve">Broader Societal Impact</w:t>
      </w:r>
    </w:p>
    <w:p>
      <w:pPr>
        <w:pStyle w:val="FirstParagraph"/>
      </w:pPr>
      <w:r>
        <w:t xml:space="preserve">Beyond direct educational benefits, our work contributes to addressing societal polarization by:</w:t>
      </w:r>
    </w:p>
    <w:p>
      <w:pPr>
        <w:pStyle w:val="Compact"/>
        <w:numPr>
          <w:ilvl w:val="0"/>
          <w:numId w:val="1007"/>
        </w:numPr>
      </w:pPr>
      <w:r>
        <w:t xml:space="preserve">Training future leaders in constructive dialogue skills</w:t>
      </w:r>
    </w:p>
    <w:p>
      <w:pPr>
        <w:pStyle w:val="Compact"/>
        <w:numPr>
          <w:ilvl w:val="0"/>
          <w:numId w:val="1007"/>
        </w:numPr>
      </w:pPr>
      <w:r>
        <w:t xml:space="preserve">Developing and disseminating evidence-based approaches to reducing polarization</w:t>
      </w:r>
    </w:p>
    <w:p>
      <w:pPr>
        <w:pStyle w:val="Compact"/>
        <w:numPr>
          <w:ilvl w:val="0"/>
          <w:numId w:val="1007"/>
        </w:numPr>
      </w:pPr>
      <w:r>
        <w:t xml:space="preserve">Creating models for civil discourse that can be adapted across various contexts</w:t>
      </w:r>
    </w:p>
    <w:p>
      <w:pPr>
        <w:pStyle w:val="Compact"/>
        <w:numPr>
          <w:ilvl w:val="0"/>
          <w:numId w:val="1007"/>
        </w:numPr>
      </w:pPr>
      <w:r>
        <w:t xml:space="preserve">Building a research base that informs broader efforts to strengthen democratic dialogue</w:t>
      </w:r>
    </w:p>
    <w:p>
      <w:pPr>
        <w:pStyle w:val="FirstParagraph"/>
      </w:pPr>
      <w:r>
        <w:rPr>
          <w:b/>
          <w:bCs/>
        </w:rPr>
        <w:t xml:space="preserve">Compliance with 501(c)(3) Restrictions:</w:t>
      </w:r>
      <w:r>
        <w:t xml:space="preserve"> </w:t>
      </w:r>
      <w:r>
        <w:t xml:space="preserve">While our programs facilitate educational discussions on controversial topics that may include political issues, Disagree Wisely, Inc. does not engage in any political campaign activity or lobbying. Our educational approach is strictly nonpartisan, focusing on developing critical thinking and dialogue skills rather than promoting particular political positions. The AI facilitation ensures balanced presentation of multiple perspectives without advocating for specific political outcomes.</w:t>
      </w:r>
    </w:p>
    <w:bookmarkEnd w:id="52"/>
    <w:bookmarkEnd w:id="53"/>
    <w:bookmarkStart w:id="54" w:name="conclusion"/>
    <w:p>
      <w:pPr>
        <w:pStyle w:val="Heading2"/>
      </w:pPr>
      <w:r>
        <w:t xml:space="preserve">Conclusion</w:t>
      </w:r>
    </w:p>
    <w:p>
      <w:pPr>
        <w:pStyle w:val="FirstParagraph"/>
      </w:pPr>
      <w:r>
        <w:t xml:space="preserve">Disagree Wisely, Inc. operates exclusively for charitable and educational purposes, providing essential educational services that prepare students for democratic citizenship while advancing research on constructive dialogue. Our track record of measurable impact, widespread educator adoption, and recognition from leading educational organizations demonstrates both our effectiveness and our contribution to the public good.</w:t>
      </w:r>
    </w:p>
    <w:p>
      <w:pPr>
        <w:pStyle w:val="BodyText"/>
      </w:pPr>
      <w:r>
        <w:t xml:space="preserve">Our financial projections reflect realistic growth based on demonstrated demand and proven educational outcomes. The investments in infrastructure and personnel are necessary to serve our growing community of students and educators while maintaining the high-quality educational experience that generates meaningful learning outcomes.</w:t>
      </w:r>
    </w:p>
    <w:p>
      <w:pPr>
        <w:pStyle w:val="BodyText"/>
      </w:pPr>
      <w:r>
        <w:t xml:space="preserve">Through our continued operations, we will advance education, reduce polarization, and strengthen democratic discourse—serving the charitable purposes for which we seek tax-exempt recognition under Section 501(c)(3) of the Internal Revenue Code.</w:t>
      </w:r>
    </w:p>
    <w:bookmarkEnd w:id="54"/>
    <w:bookmarkEnd w:id="55"/>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1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sz w:val="32"/>
      <w:szCs w:val="32"/>
    </w:rPr>
  </w:style>
  <w:style w:styleId="Heading3" w:type="paragraph">
    <w:name w:val="heading 3"/>
    <w:basedOn w:val="Normal"/>
    <w:next w:val="Normal"/>
    <w:pPr>
      <w:keepNext w:val="1"/>
      <w:keepLines w:val="1"/>
      <w:pageBreakBefore w:val="0"/>
      <w:spacing w:after="80" w:before="320" w:lineRule="auto"/>
    </w:pPr>
    <w:rPr>
      <w:b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2026-01-29T04:04:59Z</dcterms:created>
  <dcterms:modified xsi:type="dcterms:W3CDTF">2026-01-29T04:04:59Z</dcterms:modified>
</cp:coreProperties>
</file>

<file path=docProps/custom.xml><?xml version="1.0" encoding="utf-8"?>
<Properties xmlns="http://schemas.openxmlformats.org/officeDocument/2006/custom-properties" xmlns:vt="http://schemas.openxmlformats.org/officeDocument/2006/docPropsVTypes"/>
</file>