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12" w:space="6" w:color="1F2328"/>
        </w:pBdr>
      </w:pPr>
      <w:r>
        <w:rPr>
          <w:rFonts w:ascii="Calibri" w:hAnsi="Calibri" w:eastAsia="PingFang SC"/>
          <w:b/>
          <w:i w:val="0"/>
          <w:sz w:val="36"/>
        </w:rPr>
        <w:t>个性化挽留策略 A/B 实验设计（HMM 状态分层）· v1.0</w:t>
      </w:r>
    </w:p>
    <w:p>
      <w:r>
        <w:rPr>
          <w:rFonts w:ascii="Calibri" w:hAnsi="Calibri" w:eastAsia="PingFang SC"/>
          <w:b w:val="0"/>
          <w:i w:val="0"/>
          <w:color w:val="656D76"/>
          <w:sz w:val="18"/>
        </w:rPr>
        <w:t>游戏：FM01（捕鱼大师） · 数据表：transform-agfish-game.public.bullet</w:t>
      </w:r>
    </w:p>
    <w:p>
      <w:r>
        <w:rPr>
          <w:rFonts w:ascii="Calibri" w:hAnsi="Calibri" w:eastAsia="PingFang SC"/>
          <w:b w:val="0"/>
          <w:i w:val="0"/>
          <w:color w:val="656D76"/>
          <w:sz w:val="18"/>
        </w:rPr>
        <w:t>配套：A/B 实验平台 PRD v0.2 · 分组方案 AB分组方案设计_v0.1.md</w:t>
      </w:r>
    </w:p>
    <w:p>
      <w:r>
        <w:rPr>
          <w:rFonts w:ascii="Calibri" w:hAnsi="Calibri" w:eastAsia="PingFang SC"/>
          <w:b w:val="0"/>
          <w:i w:val="0"/>
          <w:color w:val="656D76"/>
          <w:sz w:val="18"/>
        </w:rPr>
        <w:t>起草：2026-08-13 · 状态：draft（时间线为示例，正式日期以排期为准）</w:t>
      </w:r>
    </w:p>
    <w:p>
      <w:r>
        <w:rPr>
          <w:rFonts w:ascii="Calibri" w:hAnsi="Calibri" w:eastAsia="PingFang SC"/>
          <w:b w:val="0"/>
          <w:i w:val="0"/>
          <w:color w:val="656D76"/>
          <w:sz w:val="18"/>
        </w:rPr>
        <w:t>layer：player_value_intervention · mutex_group：retention_intervention</w:t>
      </w:r>
    </w:p>
    <w:p>
      <w:pPr>
        <w:pBdr>
          <w:bottom w:val="single" w:sz="6" w:space="4" w:color="1F2328"/>
        </w:pBdr>
      </w:pPr>
      <w:r>
        <w:rPr>
          <w:rFonts w:ascii="Calibri" w:hAnsi="Calibri" w:eastAsia="PingFang SC"/>
          <w:b/>
          <w:sz w:val="34"/>
        </w:rPr>
        <w:t>1. 假设（Hypothesis）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AF2FB"/>
          </w:tcPr>
          <w:p>
            <w:r/>
            <w:r>
              <w:rPr>
                <w:rFonts w:ascii="Calibri" w:hAnsi="Calibri" w:eastAsia="PingFang SC"/>
                <w:sz w:val="19"/>
              </w:rPr>
              <w:t>给处于不同生命周期状态（HMM：T1 / S1-low / S2-engaged / S3-escaped）的玩家开启个性化挽留策略（ON），相较不开启（OFF/holdout），能显著提升其 D7 留存与转化，且不恶化净收入、付费与风控护栏。</w:t>
            </w:r>
          </w:p>
        </w:tc>
      </w:tr>
    </w:tbl>
    <w:p/>
    <w:p>
      <w:r>
        <w:rPr>
          <w:rFonts w:ascii="Calibri" w:hAnsi="Calibri" w:eastAsia="PingFang SC"/>
          <w:b/>
          <w:i w:val="0"/>
          <w:sz w:val="21"/>
        </w:rPr>
        <w:t>派生子假设（每 HMM 状态独立检验）：</w:t>
      </w:r>
    </w:p>
    <w:p>
      <w:pPr>
        <w:pStyle w:val="ListBullet"/>
      </w:pPr>
      <w:r>
        <w:rPr>
          <w:rFonts w:ascii="Calibri" w:hAnsi="Calibri" w:eastAsia="PingFang SC"/>
          <w:sz w:val="21"/>
        </w:rPr>
        <w:t>H-T1（初始）：挽留对新客/首触早期留存的影响（第一天玩家，计算时间为首次登陆时间的第一个自然日）。</w:t>
      </w:r>
    </w:p>
    <w:p>
      <w:pPr>
        <w:pStyle w:val="ListBullet"/>
      </w:pPr>
      <w:r>
        <w:rPr>
          <w:rFonts w:ascii="Calibri" w:hAnsi="Calibri" w:eastAsia="PingFang SC"/>
          <w:sz w:val="21"/>
        </w:rPr>
        <w:t>H-S1（low）：模型定义分类。</w:t>
      </w:r>
    </w:p>
    <w:p>
      <w:pPr>
        <w:pStyle w:val="ListBullet"/>
      </w:pPr>
      <w:r>
        <w:rPr>
          <w:rFonts w:ascii="Calibri" w:hAnsi="Calibri" w:eastAsia="PingFang SC"/>
          <w:sz w:val="21"/>
        </w:rPr>
        <w:t>H-S2（engaged）：模型定义分类。</w:t>
      </w:r>
    </w:p>
    <w:p>
      <w:pPr>
        <w:pStyle w:val="ListBullet"/>
      </w:pPr>
      <w:r>
        <w:rPr>
          <w:rFonts w:ascii="Calibri" w:hAnsi="Calibri" w:eastAsia="PingFang SC"/>
          <w:sz w:val="21"/>
        </w:rPr>
        <w:t>H-S3（escaped/流失）：模型定义分类。</w:t>
      </w:r>
    </w:p>
    <w:p>
      <w:r>
        <w:rPr>
          <w:rFonts w:ascii="Calibri" w:hAnsi="Calibri" w:eastAsia="PingFang SC"/>
          <w:b w:val="0"/>
          <w:i/>
          <w:color w:val="656D76"/>
          <w:sz w:val="21"/>
        </w:rPr>
        <w:t>启动后冻结，改变假设 → 新建实验。</w:t>
      </w:r>
    </w:p>
    <w:p>
      <w:pPr>
        <w:pBdr>
          <w:bottom w:val="single" w:sz="6" w:space="4" w:color="1F2328"/>
        </w:pBdr>
      </w:pPr>
      <w:r>
        <w:rPr>
          <w:rFonts w:ascii="Calibri" w:hAnsi="Calibri" w:eastAsia="PingFang SC"/>
          <w:b/>
          <w:sz w:val="34"/>
        </w:rPr>
        <w:t>2. 背景与目标</w:t>
      </w:r>
    </w:p>
    <w:p>
      <w:r>
        <w:rPr>
          <w:rFonts w:ascii="Calibri" w:hAnsi="Calibri" w:eastAsia="PingFang SC"/>
          <w:b w:val="0"/>
          <w:i w:val="0"/>
          <w:sz w:val="21"/>
        </w:rPr>
        <w:t>个性化挽留系统一期已上线，但当前没有干净对照来量化“挽留带来多少增量、对哪类人有效”。本实验建立挽留 ON vs OFF 的随机对照，并用处理无关的 HMM 状态分层，回答：挽留的因果增量，以及对哪种生命周期状态最该投入。</w:t>
      </w:r>
    </w:p>
    <w:p>
      <w:pPr>
        <w:pBdr>
          <w:bottom w:val="single" w:sz="6" w:space="4" w:color="1F2328"/>
        </w:pBdr>
      </w:pPr>
      <w:r>
        <w:rPr>
          <w:rFonts w:ascii="Calibri" w:hAnsi="Calibri" w:eastAsia="PingFang SC"/>
          <w:b/>
          <w:sz w:val="34"/>
        </w:rPr>
        <w:t>3. 分析人群与分组</w:t>
      </w:r>
    </w:p>
    <w:p>
      <w:pPr>
        <w:pStyle w:val="ListBullet"/>
      </w:pPr>
      <w:r>
        <w:rPr>
          <w:rFonts w:ascii="Calibri" w:hAnsi="Calibri" w:eastAsia="PingFang SC"/>
          <w:sz w:val="21"/>
        </w:rPr>
        <w:t>subject_type：FM01 玩家账号（当前用户 ID 体系，不依赖 OneID）。</w:t>
      </w:r>
    </w:p>
    <w:p>
      <w:pPr>
        <w:pStyle w:val="ListBullet"/>
      </w:pPr>
      <w:r>
        <w:rPr>
          <w:rFonts w:ascii="Calibri" w:hAnsi="Calibri" w:eastAsia="PingFang SC"/>
          <w:sz w:val="21"/>
        </w:rPr>
        <w:t>eligibility（筛选逻辑）：① 排除 风控（sticky，套利农场已含在内）；② 排除 dynamic_rtp 臂（吃 RTP，混淆）；③ 剩余 = 挽留臂(ON) + holdout(OFF)，两臂均 RTP-off。</w:t>
      </w:r>
    </w:p>
    <w:p>
      <w:pPr>
        <w:pStyle w:val="ListBullet"/>
      </w:pPr>
      <w:r>
        <w:rPr>
          <w:rFonts w:ascii="Calibri" w:hAnsi="Calibri" w:eastAsia="PingFang SC"/>
          <w:sz w:val="21"/>
        </w:rPr>
        <w:t>分层维度（HMM，处理无关，冻结）：T1 / S1 low / S2 engaged / S3 escaped，从行为序列算出、与是否被挽留无关 → 两臂都能算 → 无 post-treatment 偏差。</w:t>
      </w:r>
    </w:p>
    <w:p>
      <w:pPr>
        <w:pStyle w:val="ListBullet"/>
      </w:pPr>
      <w:r>
        <w:rPr>
          <w:rFonts w:ascii="Calibri" w:hAnsi="Calibri" w:eastAsia="PingFang SC"/>
          <w:sz w:val="21"/>
        </w:rPr>
        <w:t>处理臂：Control = 挽留 OFF（holdout）；Variant = 挽留策略 ON。</w:t>
      </w:r>
    </w:p>
    <w:p>
      <w:pPr>
        <w:pStyle w:val="ListBullet"/>
      </w:pPr>
      <w:r>
        <w:rPr>
          <w:rFonts w:ascii="Calibri" w:hAnsi="Calibri" w:eastAsia="PingFang SC"/>
          <w:sz w:val="21"/>
        </w:rPr>
        <w:t>终端格：4 状态 × 2 臂 = 8 格。</w:t>
      </w:r>
    </w:p>
    <w:p>
      <w:r>
        <w:rPr>
          <w:rFonts w:ascii="Calibri" w:hAnsi="Calibri" w:eastAsia="PingFang SC"/>
          <w:b w:val="0"/>
          <w:i w:val="0"/>
          <w:color w:val="656D76"/>
          <w:sz w:val="19"/>
        </w:rPr>
        <w:t>分割逻辑：全体 →（风控? 是→出局 / 否）→ 实验人群 → 三臂 dynamic_rtp（单独 RTP 实验，排除）/ 个性化挽留 retention（挽留 ON）/ default（holdout，挽留 OFF）；挽留 AB = retention(ON) vs default(OFF)，两臂均 RTP-off，按 HMM 状态 T1/S1/S2/S3 各分 OFF|ON。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4006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分流分层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00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b w:val="0"/>
          <w:i w:val="0"/>
          <w:color w:val="656D76"/>
          <w:sz w:val="18"/>
        </w:rPr>
        <w:t>图 1 · 挽留 AB 分流分层图</w:t>
      </w:r>
    </w:p>
    <w:p>
      <w:pPr>
        <w:pBdr>
          <w:bottom w:val="single" w:sz="6" w:space="4" w:color="1F2328"/>
        </w:pBdr>
      </w:pPr>
      <w:r>
        <w:rPr>
          <w:rFonts w:ascii="Calibri" w:hAnsi="Calibri" w:eastAsia="PingFang SC"/>
          <w:b/>
          <w:sz w:val="34"/>
        </w:rPr>
        <w:t>4. 变量（Control / Variant）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F0F3F6"/>
          </w:tcPr>
          <w:p>
            <w:r/>
            <w:r>
              <w:rPr>
                <w:rFonts w:ascii="Calibri" w:hAnsi="Calibri" w:eastAsia="PingFang SC"/>
                <w:b/>
                <w:sz w:val="20"/>
              </w:rPr>
            </w:r>
          </w:p>
        </w:tc>
        <w:tc>
          <w:tcPr>
            <w:tcW w:type="dxa" w:w="2880"/>
            <w:shd w:val="clear" w:fill="F0F3F6"/>
          </w:tcPr>
          <w:p>
            <w:r/>
            <w:r>
              <w:rPr>
                <w:rFonts w:ascii="Calibri" w:hAnsi="Calibri" w:eastAsia="PingFang SC"/>
                <w:b/>
                <w:sz w:val="20"/>
              </w:rPr>
              <w:t>内容</w:t>
            </w:r>
          </w:p>
        </w:tc>
        <w:tc>
          <w:tcPr>
            <w:tcW w:type="dxa" w:w="2880"/>
            <w:shd w:val="clear" w:fill="F0F3F6"/>
          </w:tcPr>
          <w:p>
            <w:r/>
            <w:r>
              <w:rPr>
                <w:rFonts w:ascii="Calibri" w:hAnsi="Calibri" w:eastAsia="PingFang SC"/>
                <w:b/>
                <w:sz w:val="20"/>
              </w:rPr>
              <w:t>约束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PingFang SC"/>
                <w:sz w:val="19"/>
              </w:rPr>
              <w:t>Control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PingFang SC"/>
                <w:sz w:val="19"/>
              </w:rPr>
              <w:t>不施加个性化挽留（holdout，保持基准体验）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PingFang SC"/>
                <w:sz w:val="19"/>
              </w:rPr>
              <w:t>可追溯的基准配置版本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PingFang SC"/>
                <w:sz w:val="19"/>
              </w:rPr>
              <w:t>Variant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PingFang SC"/>
                <w:sz w:val="19"/>
              </w:rPr>
              <w:t>开启现行个性化挽留策略 CR_FISHING_V1（含加成/触达）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PingFang SC"/>
                <w:sz w:val="19"/>
              </w:rPr>
              <w:t>Phase 1 仅一个 Variant；策略实质变化则结束重开</w:t>
            </w:r>
          </w:p>
        </w:tc>
      </w:tr>
    </w:tbl>
    <w:p/>
    <w:p>
      <w:r>
        <w:rPr>
          <w:rFonts w:ascii="Calibri" w:hAnsi="Calibri" w:eastAsia="PingFang SC"/>
          <w:b w:val="0"/>
          <w:i/>
          <w:color w:val="656D76"/>
          <w:sz w:val="19"/>
        </w:rPr>
        <w:t>若后续比“挽留策略 A vs B”，属另一实验（两臂皆 ON，在挽留臂内再切），本实验不含。</w:t>
      </w:r>
    </w:p>
    <w:p>
      <w:pPr>
        <w:pBdr>
          <w:bottom w:val="single" w:sz="6" w:space="4" w:color="1F2328"/>
        </w:pBdr>
      </w:pPr>
      <w:r>
        <w:rPr>
          <w:rFonts w:ascii="Calibri" w:hAnsi="Calibri" w:eastAsia="PingFang SC"/>
          <w:b/>
          <w:sz w:val="34"/>
        </w:rPr>
        <w:t>5. 指标</w:t>
      </w:r>
    </w:p>
    <w:p>
      <w:r>
        <w:rPr>
          <w:rFonts w:ascii="Calibri" w:hAnsi="Calibri" w:eastAsia="PingFang SC"/>
          <w:b/>
          <w:i w:val="0"/>
          <w:color w:val="0969DA"/>
          <w:sz w:val="21"/>
        </w:rPr>
        <w:t>5.1 主指标（启动前冻结）</w:t>
      </w:r>
    </w:p>
    <w:p>
      <w:r>
        <w:rPr>
          <w:rFonts w:ascii="Calibri" w:hAnsi="Calibri" w:eastAsia="PingFang SC"/>
          <w:b w:val="0"/>
          <w:i w:val="0"/>
          <w:sz w:val="21"/>
        </w:rPr>
        <w:t>D7 留存率：cohort 玩家在入组日 +7 自然日仍有任意 FM01 有效投注的比例。统计主体=玩家；分析人群=ITT；窗口=D7；时区=北京(UTC+8)。</w:t>
      </w:r>
    </w:p>
    <w:p>
      <w:r>
        <w:rPr>
          <w:rFonts w:ascii="Calibri" w:hAnsi="Calibri" w:eastAsia="PingFang SC"/>
          <w:b/>
          <w:i w:val="0"/>
          <w:color w:val="0969DA"/>
          <w:sz w:val="21"/>
        </w:rPr>
        <w:t>5.2 次要指标（观察，不判胜负）</w:t>
      </w:r>
    </w:p>
    <w:p>
      <w:r>
        <w:rPr>
          <w:rFonts w:ascii="Calibri" w:hAnsi="Calibri" w:eastAsia="PingFang SC"/>
          <w:b w:val="0"/>
          <w:i w:val="0"/>
          <w:sz w:val="21"/>
        </w:rPr>
        <w:t>D1、D3 留存；状态跃迁率（S3→S2/S1 回流、S1→S2 提升）；人均投注次数/额。</w:t>
      </w:r>
    </w:p>
    <w:p>
      <w:r>
        <w:rPr>
          <w:rFonts w:ascii="Calibri" w:hAnsi="Calibri" w:eastAsia="PingFang SC"/>
          <w:b/>
          <w:i w:val="0"/>
          <w:color w:val="0969DA"/>
          <w:sz w:val="21"/>
        </w:rPr>
        <w:t>5.3 护栏指标（每项设停止阈值）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F0F3F6"/>
          </w:tcPr>
          <w:p>
            <w:r/>
            <w:r>
              <w:rPr>
                <w:rFonts w:ascii="Calibri" w:hAnsi="Calibri" w:eastAsia="PingFang SC"/>
                <w:b/>
                <w:sz w:val="20"/>
              </w:rPr>
              <w:t>护栏</w:t>
            </w:r>
          </w:p>
        </w:tc>
        <w:tc>
          <w:tcPr>
            <w:tcW w:type="dxa" w:w="2880"/>
            <w:shd w:val="clear" w:fill="F0F3F6"/>
          </w:tcPr>
          <w:p>
            <w:r/>
            <w:r>
              <w:rPr>
                <w:rFonts w:ascii="Calibri" w:hAnsi="Calibri" w:eastAsia="PingFang SC"/>
                <w:b/>
                <w:sz w:val="20"/>
              </w:rPr>
              <w:t>口径</w:t>
            </w:r>
          </w:p>
        </w:tc>
        <w:tc>
          <w:tcPr>
            <w:tcW w:type="dxa" w:w="2880"/>
            <w:shd w:val="clear" w:fill="F0F3F6"/>
          </w:tcPr>
          <w:p>
            <w:r/>
            <w:r>
              <w:rPr>
                <w:rFonts w:ascii="Calibri" w:hAnsi="Calibri" w:eastAsia="PingFang SC"/>
                <w:b/>
                <w:sz w:val="20"/>
              </w:rPr>
              <w:t>停止阈值（示例，待批准）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PingFang SC"/>
                <w:sz w:val="19"/>
              </w:rPr>
              <w:t>人均净收入 / ARPU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PingFang SC"/>
                <w:sz w:val="19"/>
              </w:rPr>
              <w:t>(投注−派彩)/人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PingFang SC"/>
                <w:sz w:val="19"/>
              </w:rPr>
              <w:t>Variant 相对 Control 下降 &gt; 5%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PingFang SC"/>
                <w:sz w:val="19"/>
              </w:rPr>
              <w:t>付费率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PingFang SC"/>
                <w:sz w:val="19"/>
              </w:rPr>
              <w:t>付费用户占比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PingFang SC"/>
                <w:sz w:val="19"/>
              </w:rPr>
              <w:t>下降 &gt; 3pp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PingFang SC"/>
                <w:sz w:val="19"/>
              </w:rPr>
              <w:t>整层 RTP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PingFang SC"/>
                <w:sz w:val="19"/>
              </w:rPr>
              <w:t>派彩/投注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PingFang SC"/>
                <w:sz w:val="19"/>
              </w:rPr>
              <w:t>Variant RTP 越界（如 &gt;100%，防放水被套利）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PingFang SC"/>
                <w:sz w:val="19"/>
              </w:rPr>
              <w:t>客诉 / 投诉率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PingFang SC"/>
                <w:sz w:val="19"/>
              </w:rPr>
              <w:t>投诉工单/人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PingFang SC"/>
                <w:sz w:val="19"/>
              </w:rPr>
              <w:t>显著上升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PingFang SC"/>
                <w:sz w:val="19"/>
              </w:rPr>
              <w:t>曝光完整性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PingFang SC"/>
                <w:sz w:val="19"/>
              </w:rPr>
              <w:t>exposure/assignment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PingFang SC"/>
                <w:sz w:val="19"/>
              </w:rPr>
              <w:t>&lt; 阈值触发数据质量 invalid</w:t>
            </w:r>
          </w:p>
        </w:tc>
      </w:tr>
    </w:tbl>
    <w:p/>
    <w:p>
      <w:pPr>
        <w:pBdr>
          <w:bottom w:val="single" w:sz="6" w:space="4" w:color="1F2328"/>
        </w:pBdr>
      </w:pPr>
      <w:r>
        <w:rPr>
          <w:rFonts w:ascii="Calibri" w:hAnsi="Calibri" w:eastAsia="PingFang SC"/>
          <w:b/>
          <w:sz w:val="34"/>
        </w:rPr>
        <w:t>6. 统计设计</w:t>
      </w:r>
    </w:p>
    <w:p>
      <w:pPr>
        <w:pStyle w:val="ListBullet"/>
      </w:pPr>
      <w:r>
        <w:rPr>
          <w:rFonts w:ascii="Calibri" w:hAnsi="Calibri" w:eastAsia="PingFang SC"/>
          <w:sz w:val="21"/>
        </w:rPr>
        <w:t>analysis_population：ITT（默认）。未曝光的 assignment 仍进主分析，曝光完整性作诊断。</w:t>
      </w:r>
    </w:p>
    <w:p>
      <w:pPr>
        <w:pStyle w:val="ListBullet"/>
      </w:pPr>
      <w:r>
        <w:rPr>
          <w:rFonts w:ascii="Calibri" w:hAnsi="Calibri" w:eastAsia="PingFang SC"/>
          <w:sz w:val="21"/>
        </w:rPr>
        <w:t>固定周期：预设 minimum_duration 与目标样本，到达前不因普通显著性提前停。</w:t>
      </w:r>
    </w:p>
    <w:p>
      <w:pPr>
        <w:pStyle w:val="ListBullet"/>
      </w:pPr>
      <w:r>
        <w:rPr>
          <w:rFonts w:ascii="Calibri" w:hAnsi="Calibri" w:eastAsia="PingFang SC"/>
          <w:sz w:val="21"/>
        </w:rPr>
        <w:t>alpha = 0.05（双侧），power = 0.8（具体值由数据负责人批准）。</w:t>
      </w:r>
    </w:p>
    <w:p>
      <w:pPr>
        <w:pStyle w:val="ListBullet"/>
      </w:pPr>
      <w:r>
        <w:rPr>
          <w:rFonts w:ascii="Calibri" w:hAnsi="Calibri" w:eastAsia="PingFang SC"/>
          <w:sz w:val="21"/>
        </w:rPr>
        <w:t>分层分析：每个 HMM 状态内做两比例检验（ON vs OFF）；多状态用预注册多重比较校正（如 Holm）。</w:t>
      </w:r>
    </w:p>
    <w:p>
      <w:r>
        <w:rPr>
          <w:rFonts w:ascii="Calibri" w:hAnsi="Calibri" w:eastAsia="PingFang SC"/>
          <w:b/>
          <w:i w:val="0"/>
          <w:color w:val="0969DA"/>
          <w:sz w:val="21"/>
        </w:rPr>
        <w:t>6.1 每臂样本量需求（主指标 D7 留存）</w:t>
      </w:r>
    </w:p>
    <w:p>
      <w:r>
        <w:rPr>
          <w:rFonts w:ascii="Calibri" w:hAnsi="Calibri" w:eastAsia="PingFang SC"/>
          <w:b w:val="0"/>
          <w:i w:val="0"/>
          <w:sz w:val="19"/>
        </w:rPr>
        <w:t>n/arm = (z_α/2 + z_β)² · [p1(1-p1)+p2(1-p2)] / (p1-p2)²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F0F3F6"/>
          </w:tcPr>
          <w:p>
            <w:r/>
            <w:r>
              <w:rPr>
                <w:rFonts w:ascii="Calibri" w:hAnsi="Calibri" w:eastAsia="PingFang SC"/>
                <w:b/>
                <w:sz w:val="20"/>
              </w:rPr>
              <w:t>HMM 状态</w:t>
            </w:r>
          </w:p>
        </w:tc>
        <w:tc>
          <w:tcPr>
            <w:tcW w:type="dxa" w:w="1728"/>
            <w:shd w:val="clear" w:fill="F0F3F6"/>
          </w:tcPr>
          <w:p>
            <w:r/>
            <w:r>
              <w:rPr>
                <w:rFonts w:ascii="Calibri" w:hAnsi="Calibri" w:eastAsia="PingFang SC"/>
                <w:b/>
                <w:sz w:val="20"/>
              </w:rPr>
              <w:t>基线 D7（待标定）</w:t>
            </w:r>
          </w:p>
        </w:tc>
        <w:tc>
          <w:tcPr>
            <w:tcW w:type="dxa" w:w="1728"/>
            <w:shd w:val="clear" w:fill="F0F3F6"/>
          </w:tcPr>
          <w:p>
            <w:r/>
            <w:r>
              <w:rPr>
                <w:rFonts w:ascii="Calibri" w:hAnsi="Calibri" w:eastAsia="PingFang SC"/>
                <w:b/>
                <w:sz w:val="20"/>
              </w:rPr>
              <w:t>MDE +3pp</w:t>
            </w:r>
          </w:p>
        </w:tc>
        <w:tc>
          <w:tcPr>
            <w:tcW w:type="dxa" w:w="1728"/>
            <w:shd w:val="clear" w:fill="F0F3F6"/>
          </w:tcPr>
          <w:p>
            <w:r/>
            <w:r>
              <w:rPr>
                <w:rFonts w:ascii="Calibri" w:hAnsi="Calibri" w:eastAsia="PingFang SC"/>
                <w:b/>
                <w:sz w:val="20"/>
              </w:rPr>
              <w:t>MDE +5pp</w:t>
            </w:r>
          </w:p>
        </w:tc>
        <w:tc>
          <w:tcPr>
            <w:tcW w:type="dxa" w:w="1728"/>
            <w:shd w:val="clear" w:fill="F0F3F6"/>
          </w:tcPr>
          <w:p>
            <w:r/>
            <w:r>
              <w:rPr>
                <w:rFonts w:ascii="Calibri" w:hAnsi="Calibri" w:eastAsia="PingFang SC"/>
                <w:b/>
                <w:sz w:val="20"/>
              </w:rPr>
              <w:t>MDE +8pp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PingFang SC"/>
                <w:sz w:val="19"/>
              </w:rPr>
              <w:t>T1 初始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PingFang SC"/>
                <w:sz w:val="19"/>
              </w:rPr>
              <w:t>15%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PingFang SC"/>
                <w:sz w:val="19"/>
              </w:rPr>
              <w:t>2,399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PingFang SC"/>
                <w:sz w:val="19"/>
              </w:rPr>
              <w:t>903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PingFang SC"/>
                <w:sz w:val="19"/>
              </w:rPr>
              <w:t>374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PingFang SC"/>
                <w:sz w:val="19"/>
              </w:rPr>
              <w:t>S1 low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PingFang SC"/>
                <w:sz w:val="19"/>
              </w:rPr>
              <w:t>10%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PingFang SC"/>
                <w:sz w:val="19"/>
              </w:rPr>
              <w:t>1,771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PingFang SC"/>
                <w:sz w:val="19"/>
              </w:rPr>
              <w:t>683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PingFang SC"/>
                <w:sz w:val="19"/>
              </w:rPr>
              <w:t>291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PingFang SC"/>
                <w:sz w:val="19"/>
              </w:rPr>
              <w:t>S2 engaged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PingFang SC"/>
                <w:sz w:val="19"/>
              </w:rPr>
              <w:t>30%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PingFang SC"/>
                <w:sz w:val="19"/>
              </w:rPr>
              <w:t>3,760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PingFang SC"/>
                <w:sz w:val="19"/>
              </w:rPr>
              <w:t>1,374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PingFang SC"/>
                <w:sz w:val="19"/>
              </w:rPr>
              <w:t>546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PingFang SC"/>
                <w:sz w:val="19"/>
              </w:rPr>
              <w:t>S3 escaped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PingFang SC"/>
                <w:sz w:val="19"/>
              </w:rPr>
              <w:t>5%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PingFang SC"/>
                <w:sz w:val="19"/>
              </w:rPr>
              <w:t>1,056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PingFang SC"/>
                <w:sz w:val="19"/>
              </w:rPr>
              <w:t>432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PingFang SC"/>
                <w:sz w:val="19"/>
              </w:rPr>
              <w:t>197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8C5"/>
          </w:tcPr>
          <w:p>
            <w:r/>
            <w:r>
              <w:rPr>
                <w:rFonts w:ascii="Calibri" w:hAnsi="Calibri" w:eastAsia="PingFang SC"/>
                <w:sz w:val="19"/>
              </w:rPr>
              <w:t>关键约束：需求为每臂每状态。Control 来自 holdout（人群较小），是样本瓶颈——单波不够则跨波累计到目标样本再读数。最终数字待 HMM 各状态实际人数分布 + 真实基线 D7 标定后锁定。脚本：jobs/ab_testing/ab_sample_size.py。</w:t>
            </w:r>
          </w:p>
        </w:tc>
      </w:tr>
    </w:tbl>
    <w:p/>
    <w:p>
      <w:pPr>
        <w:pBdr>
          <w:bottom w:val="single" w:sz="6" w:space="4" w:color="1F2328"/>
        </w:pBdr>
      </w:pPr>
      <w:r>
        <w:rPr>
          <w:rFonts w:ascii="Calibri" w:hAnsi="Calibri" w:eastAsia="PingFang SC"/>
          <w:b/>
          <w:sz w:val="34"/>
        </w:rPr>
        <w:t>7. 数据质量与 SRM</w:t>
      </w:r>
    </w:p>
    <w:p>
      <w:pPr>
        <w:pStyle w:val="ListBullet"/>
      </w:pPr>
      <w:r>
        <w:rPr>
          <w:rFonts w:ascii="Calibri" w:hAnsi="Calibri" w:eastAsia="PingFang SC"/>
          <w:sz w:val="21"/>
        </w:rPr>
        <w:t>双层 SRM：assignment 层 + exposure 层分别比对实际 vs 预设比例。</w:t>
      </w:r>
    </w:p>
    <w:p>
      <w:pPr>
        <w:pStyle w:val="ListBullet"/>
      </w:pPr>
      <w:r>
        <w:rPr>
          <w:rFonts w:ascii="Calibri" w:hAnsi="Calibri" w:eastAsia="PingFang SC"/>
          <w:sz w:val="21"/>
        </w:rPr>
        <w:t>分状态 SRM：8 个终端格实际比例与预期比对，任一 P0 失败 → 结论锁定。</w:t>
      </w:r>
    </w:p>
    <w:p>
      <w:pPr>
        <w:pStyle w:val="ListBullet"/>
      </w:pPr>
      <w:r>
        <w:rPr>
          <w:rFonts w:ascii="Calibri" w:hAnsi="Calibri" w:eastAsia="PingFang SC"/>
          <w:sz w:val="21"/>
        </w:rPr>
        <w:t>曝光口径：ON/OFF 两臂同一曝光触发口径，去重。</w:t>
      </w:r>
    </w:p>
    <w:p>
      <w:pPr>
        <w:pStyle w:val="ListBullet"/>
      </w:pPr>
      <w:r>
        <w:rPr>
          <w:rFonts w:ascii="Calibri" w:hAnsi="Calibri" w:eastAsia="PingFang SC"/>
          <w:sz w:val="21"/>
        </w:rPr>
        <w:t>右截断：末尾入组 cohort 的 D7 未成熟时不计入主分析（见 §9）。</w:t>
      </w:r>
    </w:p>
    <w:p>
      <w:pPr>
        <w:pBdr>
          <w:bottom w:val="single" w:sz="6" w:space="4" w:color="1F2328"/>
        </w:pBdr>
      </w:pPr>
      <w:r>
        <w:rPr>
          <w:rFonts w:ascii="Calibri" w:hAnsi="Calibri" w:eastAsia="PingFang SC"/>
          <w:b/>
          <w:sz w:val="34"/>
        </w:rPr>
        <w:t>8. 灰度扩量与紧急停止</w:t>
      </w:r>
    </w:p>
    <w:p>
      <w:pPr>
        <w:pStyle w:val="ListBullet"/>
      </w:pPr>
      <w:r>
        <w:rPr>
          <w:rFonts w:ascii="Calibri" w:hAnsi="Calibri" w:eastAsia="PingFang SC"/>
          <w:sz w:val="21"/>
        </w:rPr>
        <w:t>ramp_plan：小流量起步 → 每阶段检查（SRM/护栏/RTP/QA/上阶段最短观察）→ 逐步扩量；扩量不改变已分组用户组别。</w:t>
      </w:r>
    </w:p>
    <w:p>
      <w:pPr>
        <w:pStyle w:val="ListBullet"/>
      </w:pPr>
      <w:r>
        <w:rPr>
          <w:rFonts w:ascii="Calibri" w:hAnsi="Calibri" w:eastAsia="PingFang SC"/>
          <w:sz w:val="21"/>
        </w:rPr>
        <w:t>emergency_stop_rule：触发 = 护栏越界 / 严重 SRM / RTP 异常放水 / 客诉激增。停止后新增决策回到基准（挽留 OFF）；已产生加成/订单不回滚；恢复需新批准。</w:t>
      </w:r>
    </w:p>
    <w:p>
      <w:pPr>
        <w:pBdr>
          <w:bottom w:val="single" w:sz="6" w:space="4" w:color="1F2328"/>
        </w:pBdr>
      </w:pPr>
      <w:r>
        <w:rPr>
          <w:rFonts w:ascii="Calibri" w:hAnsi="Calibri" w:eastAsia="PingFang SC"/>
          <w:b/>
          <w:sz w:val="34"/>
        </w:rPr>
        <w:t>9. 时间线与验证窗口（示例，日期以排期为准）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F0F3F6"/>
          </w:tcPr>
          <w:p>
            <w:r/>
            <w:r>
              <w:rPr>
                <w:rFonts w:ascii="Calibri" w:hAnsi="Calibri" w:eastAsia="PingFang SC"/>
                <w:b/>
                <w:sz w:val="20"/>
              </w:rPr>
              <w:t>阶段</w:t>
            </w:r>
          </w:p>
        </w:tc>
        <w:tc>
          <w:tcPr>
            <w:tcW w:type="dxa" w:w="2880"/>
            <w:shd w:val="clear" w:fill="F0F3F6"/>
          </w:tcPr>
          <w:p>
            <w:r/>
            <w:r>
              <w:rPr>
                <w:rFonts w:ascii="Calibri" w:hAnsi="Calibri" w:eastAsia="PingFang SC"/>
                <w:b/>
                <w:sz w:val="20"/>
              </w:rPr>
              <w:t>日期（示例）</w:t>
            </w:r>
          </w:p>
        </w:tc>
        <w:tc>
          <w:tcPr>
            <w:tcW w:type="dxa" w:w="2880"/>
            <w:shd w:val="clear" w:fill="F0F3F6"/>
          </w:tcPr>
          <w:p>
            <w:r/>
            <w:r>
              <w:rPr>
                <w:rFonts w:ascii="Calibri" w:hAnsi="Calibri" w:eastAsia="PingFang SC"/>
                <w:b/>
                <w:sz w:val="20"/>
              </w:rPr>
              <w:t>内容 / 验证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PingFang SC"/>
                <w:sz w:val="19"/>
              </w:rPr>
              <w:t>G0 设计冻结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PingFang SC"/>
                <w:sz w:val="19"/>
              </w:rPr>
              <w:t>2026-08-20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PingFang SC"/>
                <w:sz w:val="19"/>
              </w:rPr>
              <w:t>假设/指标/HMM 口径/护栏阈值/样本量关闭 to_be_confirmed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PingFang SC"/>
                <w:sz w:val="19"/>
              </w:rPr>
              <w:t>QA + 数据链路就绪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PingFang SC"/>
                <w:sz w:val="19"/>
              </w:rPr>
              <w:t>08-20 ~ 08-27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PingFang SC"/>
                <w:sz w:val="19"/>
              </w:rPr>
              <w:t>测试身份验证分组；assignment/exposure 双事件打通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PingFang SC"/>
                <w:sz w:val="19"/>
              </w:rPr>
              <w:t>灰度 ramp 起步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PingFang SC"/>
                <w:sz w:val="19"/>
              </w:rPr>
              <w:t>2026-08-28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PingFang SC"/>
                <w:sz w:val="19"/>
              </w:rPr>
              <w:t>小流量；查 SRM/护栏/RTP，健康后扩量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PingFang SC"/>
                <w:sz w:val="19"/>
              </w:rPr>
              <w:t>全量运行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PingFang SC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PingFang SC"/>
                <w:sz w:val="19"/>
              </w:rPr>
              <w:t>达比例上限；进入正式 cohort 累计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PingFang SC"/>
                <w:sz w:val="19"/>
              </w:rPr>
              <w:t>最短运行 minimum_duration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PingFang SC"/>
                <w:sz w:val="19"/>
              </w:rPr>
              <w:t>14 天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PingFang SC"/>
                <w:sz w:val="19"/>
              </w:rPr>
              <w:t>09-04 ~ 09-18 主 cohort 入组窗口（覆盖 2 个完整周周期）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PingFang SC"/>
                <w:sz w:val="19"/>
              </w:rPr>
              <w:t>D7 验证窗口成熟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PingFang SC"/>
                <w:sz w:val="19"/>
              </w:rPr>
              <w:t>2026-09-25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PingFang SC"/>
                <w:sz w:val="19"/>
              </w:rPr>
              <w:t>最后入组 cohort（09-18）+7 天 → 主指标可读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PingFang SC"/>
                <w:sz w:val="19"/>
              </w:rPr>
              <w:t>结论评审 readout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PingFang SC"/>
                <w:sz w:val="19"/>
              </w:rPr>
              <w:t>2026-09-26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PingFang SC"/>
                <w:sz w:val="19"/>
              </w:rPr>
              <w:t>主指标/护栏/SRM/区间/样本成熟度出报告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PingFang SC"/>
                <w:sz w:val="19"/>
              </w:rPr>
              <w:t>决策 &amp; rollout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PingFang SC"/>
                <w:sz w:val="19"/>
              </w:rPr>
              <w:t>2026-09-28+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PingFang SC"/>
                <w:sz w:val="19"/>
              </w:rPr>
              <w:t>ship→灰度全量 / extend / stop / investigate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8C5"/>
          </w:tcPr>
          <w:p>
            <w:r/>
            <w:r>
              <w:rPr>
                <w:rFonts w:ascii="Calibri" w:hAnsi="Calibri" w:eastAsia="PingFang SC"/>
                <w:sz w:val="19"/>
              </w:rPr>
              <w:t>验证时间（观测窗口）口径：</w:t>
            </w:r>
          </w:p>
          <w:p>
            <w:r>
              <w:rPr>
                <w:rFonts w:ascii="Calibri" w:hAnsi="Calibri" w:eastAsia="PingFang SC"/>
                <w:sz w:val="19"/>
              </w:rPr>
              <w:t>• 每个 cohort 的 D1/D3/D7 分别在其入组日 +1/+3/+7 成熟。</w:t>
            </w:r>
          </w:p>
          <w:p>
            <w:r>
              <w:rPr>
                <w:rFonts w:ascii="Calibri" w:hAnsi="Calibri" w:eastAsia="PingFang SC"/>
                <w:sz w:val="19"/>
              </w:rPr>
              <w:t>• 主指标 D7 需等窗口内最后一个 cohort 也满 7 天才完整（示例 09-25）。</w:t>
            </w:r>
          </w:p>
          <w:p>
            <w:r>
              <w:rPr>
                <w:rFonts w:ascii="Calibri" w:hAnsi="Calibri" w:eastAsia="PingFang SC"/>
                <w:sz w:val="19"/>
              </w:rPr>
              <w:t>• 实验末尾 7 天入组的 cohort，D7 未成熟 → 右截断，不进主分析或触发 extend。</w:t>
            </w:r>
          </w:p>
          <w:p>
            <w:r>
              <w:rPr>
                <w:rFonts w:ascii="Calibri" w:hAnsi="Calibri" w:eastAsia="PingFang SC"/>
                <w:sz w:val="19"/>
              </w:rPr>
              <w:t>• minimum_duration 取 14 天以覆盖完整周内节律（工作日/周末差异），避免周期偏差。</w:t>
            </w:r>
          </w:p>
        </w:tc>
      </w:tr>
    </w:tbl>
    <w:p/>
    <w:p>
      <w:pPr>
        <w:pBdr>
          <w:bottom w:val="single" w:sz="6" w:space="4" w:color="1F2328"/>
        </w:pBdr>
      </w:pPr>
      <w:r>
        <w:rPr>
          <w:rFonts w:ascii="Calibri" w:hAnsi="Calibri" w:eastAsia="PingFang SC"/>
          <w:b/>
          <w:sz w:val="34"/>
        </w:rPr>
        <w:t>10. 决策框架（ship / extend / stop / investigate）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F0F3F6"/>
          </w:tcPr>
          <w:p>
            <w:r/>
            <w:r>
              <w:rPr>
                <w:rFonts w:ascii="Calibri" w:hAnsi="Calibri" w:eastAsia="PingFang SC"/>
                <w:b/>
                <w:sz w:val="20"/>
              </w:rPr>
              <w:t>主指标(D7)</w:t>
            </w:r>
          </w:p>
        </w:tc>
        <w:tc>
          <w:tcPr>
            <w:tcW w:type="dxa" w:w="2160"/>
            <w:shd w:val="clear" w:fill="F0F3F6"/>
          </w:tcPr>
          <w:p>
            <w:r/>
            <w:r>
              <w:rPr>
                <w:rFonts w:ascii="Calibri" w:hAnsi="Calibri" w:eastAsia="PingFang SC"/>
                <w:b/>
                <w:sz w:val="20"/>
              </w:rPr>
              <w:t>护栏</w:t>
            </w:r>
          </w:p>
        </w:tc>
        <w:tc>
          <w:tcPr>
            <w:tcW w:type="dxa" w:w="2160"/>
            <w:shd w:val="clear" w:fill="F0F3F6"/>
          </w:tcPr>
          <w:p>
            <w:r/>
            <w:r>
              <w:rPr>
                <w:rFonts w:ascii="Calibri" w:hAnsi="Calibri" w:eastAsia="PingFang SC"/>
                <w:b/>
                <w:sz w:val="20"/>
              </w:rPr>
              <w:t>数据质量</w:t>
            </w:r>
          </w:p>
        </w:tc>
        <w:tc>
          <w:tcPr>
            <w:tcW w:type="dxa" w:w="2160"/>
            <w:shd w:val="clear" w:fill="F0F3F6"/>
          </w:tcPr>
          <w:p>
            <w:r/>
            <w:r>
              <w:rPr>
                <w:rFonts w:ascii="Calibri" w:hAnsi="Calibri" w:eastAsia="PingFang SC"/>
                <w:b/>
                <w:sz w:val="20"/>
              </w:rPr>
              <w:t>结论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PingFang SC"/>
                <w:sz w:val="19"/>
              </w:rPr>
              <w:t>达统计+业务门槛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PingFang SC"/>
                <w:sz w:val="19"/>
              </w:rPr>
              <w:t>可接受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PingFang SC"/>
                <w:sz w:val="19"/>
              </w:rPr>
              <w:t>正常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PingFang SC"/>
                <w:sz w:val="19"/>
              </w:rPr>
              <w:t>ship（该状态开挽留）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PingFang SC"/>
                <w:sz w:val="19"/>
              </w:rPr>
              <w:t>方向对但样本/窗口不足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PingFang SC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PingFang SC"/>
                <w:sz w:val="19"/>
              </w:rPr>
              <w:t>正常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PingFang SC"/>
                <w:sz w:val="19"/>
              </w:rPr>
              <w:t>extend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PingFang SC"/>
                <w:sz w:val="19"/>
              </w:rPr>
              <w:t>效果≈0 或负向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PingFang SC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PingFang SC"/>
                <w:sz w:val="19"/>
              </w:rPr>
              <w:t>正常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PingFang SC"/>
                <w:sz w:val="19"/>
              </w:rPr>
              <w:t>stop（该状态不投挽留，省成本）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PingFang SC"/>
                <w:sz w:val="19"/>
              </w:rPr>
              <w:t>正向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PingFang SC"/>
                <w:sz w:val="19"/>
              </w:rPr>
              <w:t>越界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PingFang SC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PingFang SC"/>
                <w:sz w:val="19"/>
              </w:rPr>
              <w:t>investigate（权衡）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PingFang SC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PingFang SC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PingFang SC"/>
                <w:sz w:val="19"/>
              </w:rPr>
              <w:t>无效/联合SRM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PingFang SC"/>
                <w:sz w:val="19"/>
              </w:rPr>
              <w:t>investigate（锁定排查）</w:t>
            </w:r>
          </w:p>
        </w:tc>
      </w:tr>
    </w:tbl>
    <w:p/>
    <w:p>
      <w:r>
        <w:rPr>
          <w:rFonts w:ascii="Calibri" w:hAnsi="Calibri" w:eastAsia="PingFang SC"/>
          <w:b w:val="0"/>
          <w:i/>
          <w:color w:val="656D76"/>
          <w:sz w:val="19"/>
        </w:rPr>
        <w:t>允许分状态差异化结论：如 S3/S1 ship、S2 stop（对已活跃人群挽留无增量则不投）。</w:t>
      </w:r>
    </w:p>
    <w:p>
      <w:pPr>
        <w:pBdr>
          <w:bottom w:val="single" w:sz="6" w:space="4" w:color="1F2328"/>
        </w:pBdr>
      </w:pPr>
      <w:r>
        <w:rPr>
          <w:rFonts w:ascii="Calibri" w:hAnsi="Calibri" w:eastAsia="PingFang SC"/>
          <w:b/>
          <w:sz w:val="34"/>
        </w:rPr>
        <w:t>11. 风险与开放问题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F0F3F6"/>
          </w:tcPr>
          <w:p>
            <w:r/>
            <w:r>
              <w:rPr>
                <w:rFonts w:ascii="Calibri" w:hAnsi="Calibri" w:eastAsia="PingFang SC"/>
                <w:b/>
                <w:sz w:val="20"/>
              </w:rPr>
              <w:t>编号</w:t>
            </w:r>
          </w:p>
        </w:tc>
        <w:tc>
          <w:tcPr>
            <w:tcW w:type="dxa" w:w="2880"/>
            <w:shd w:val="clear" w:fill="F0F3F6"/>
          </w:tcPr>
          <w:p>
            <w:r/>
            <w:r>
              <w:rPr>
                <w:rFonts w:ascii="Calibri" w:hAnsi="Calibri" w:eastAsia="PingFang SC"/>
                <w:b/>
                <w:sz w:val="20"/>
              </w:rPr>
              <w:t>问题 / 风险</w:t>
            </w:r>
          </w:p>
        </w:tc>
        <w:tc>
          <w:tcPr>
            <w:tcW w:type="dxa" w:w="2880"/>
            <w:shd w:val="clear" w:fill="F0F3F6"/>
          </w:tcPr>
          <w:p>
            <w:r/>
            <w:r>
              <w:rPr>
                <w:rFonts w:ascii="Calibri" w:hAnsi="Calibri" w:eastAsia="PingFang SC"/>
                <w:b/>
                <w:sz w:val="20"/>
              </w:rPr>
              <w:t>处理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PingFang SC"/>
                <w:sz w:val="19"/>
              </w:rPr>
              <w:t>OQ-1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PingFang SC"/>
                <w:sz w:val="19"/>
              </w:rPr>
              <w:t>T1 状态确切含义与 HMM 四状态判定阈值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PingFang SC"/>
                <w:sz w:val="19"/>
              </w:rPr>
              <w:t>需给定义，写死分层口径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PingFang SC"/>
                <w:sz w:val="19"/>
              </w:rPr>
              <w:t>OQ-2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PingFang SC"/>
                <w:sz w:val="19"/>
              </w:rPr>
              <w:t>HMM 各状态实际人数分布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PingFang SC"/>
                <w:sz w:val="19"/>
              </w:rPr>
              <w:t>标定后回填 §6.1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PingFang SC"/>
                <w:sz w:val="19"/>
              </w:rPr>
              <w:t>OQ-3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PingFang SC"/>
                <w:sz w:val="19"/>
              </w:rPr>
              <w:t>真实基线 D7（各状态）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PingFang SC"/>
                <w:sz w:val="19"/>
              </w:rPr>
              <w:t>历史数据标定，替换示例值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PingFang SC"/>
                <w:sz w:val="19"/>
              </w:rPr>
              <w:t>OQ-4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PingFang SC"/>
                <w:sz w:val="19"/>
              </w:rPr>
              <w:t>holdout(OFF) 人群偏小 → 跨波累计或调 MDE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PingFang SC"/>
                <w:sz w:val="19"/>
              </w:rPr>
              <w:t>数据负责人定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PingFang SC"/>
                <w:sz w:val="19"/>
              </w:rPr>
              <w:t>OQ-5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PingFang SC"/>
                <w:sz w:val="19"/>
              </w:rPr>
              <w:t>挽留 OFF 是否涉及玩家权益/合规（停发已承诺加成）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PingFang SC"/>
                <w:sz w:val="19"/>
              </w:rPr>
              <w:t>风控/合规确认</w:t>
            </w:r>
          </w:p>
        </w:tc>
      </w:tr>
    </w:tbl>
    <w:p/>
    <w:p>
      <w:pPr>
        <w:pBdr>
          <w:bottom w:val="single" w:sz="6" w:space="4" w:color="1F2328"/>
        </w:pBdr>
      </w:pPr>
      <w:r>
        <w:rPr>
          <w:rFonts w:ascii="Calibri" w:hAnsi="Calibri" w:eastAsia="PingFang SC"/>
          <w:b/>
          <w:sz w:val="34"/>
        </w:rPr>
        <w:t>12. 附录：数据口径与复算</w:t>
      </w:r>
    </w:p>
    <w:p>
      <w:pPr>
        <w:pStyle w:val="ListBullet"/>
      </w:pPr>
      <w:r>
        <w:rPr>
          <w:rFonts w:ascii="Calibri" w:hAnsi="Calibri" w:eastAsia="PingFang SC"/>
          <w:sz w:val="21"/>
        </w:rPr>
        <w:t>组别/分割口径：AB分组方案设计_v0.1.md</w:t>
      </w:r>
    </w:p>
    <w:p>
      <w:pPr>
        <w:pStyle w:val="ListBullet"/>
      </w:pPr>
      <w:r>
        <w:rPr>
          <w:rFonts w:ascii="Calibri" w:hAnsi="Calibri" w:eastAsia="PingFang SC"/>
          <w:sz w:val="21"/>
        </w:rPr>
        <w:t>样本量脚本：jobs/ab_testing/ab_sample_size.py</w:t>
      </w:r>
    </w:p>
    <w:p>
      <w:pPr>
        <w:pStyle w:val="ListBullet"/>
      </w:pPr>
      <w:r>
        <w:rPr>
          <w:rFonts w:ascii="Calibri" w:hAnsi="Calibri" w:eastAsia="PingFang SC"/>
          <w:sz w:val="21"/>
        </w:rPr>
        <w:t>留存/行为口径（时区 UTC+8、BASE_FILTER、右截断）：沿用 jobs/fishing/fm01_grouping.py 及既有留存分析脚本。</w:t>
      </w:r>
    </w:p>
    <w:p>
      <w:pPr>
        <w:pStyle w:val="ListBullet"/>
      </w:pPr>
      <w:r>
        <w:rPr>
          <w:rFonts w:ascii="Calibri" w:hAnsi="Calibri" w:eastAsia="PingFang SC"/>
          <w:sz w:val="21"/>
        </w:rPr>
        <w:t>HMM 状态：由挽留侧模型产出 T1 / S1 / S2 / S3，作为外部输入接入分层（口径待接口确认）。</w:t>
      </w:r>
    </w:p>
    <w:p>
      <w:r>
        <w:rPr>
          <w:rFonts w:ascii="Calibri" w:hAnsi="Calibri" w:eastAsia="PingFang SC"/>
          <w:b w:val="0"/>
          <w:i w:val="0"/>
          <w:color w:val="656D76"/>
          <w:sz w:val="17"/>
        </w:rPr>
        <w:t>FM01 个性化挽留策略 A/B 实验设计 v1.0 · 2026-08-13 · draft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