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ingFang SC"/>
          <w:b/>
          <w:i w:val="0"/>
          <w:sz w:val="36"/>
        </w:rPr>
        <w:t>SS07 数学表设计规格 · v1.0</w:t>
      </w:r>
    </w:p>
    <w:p>
      <w:r>
        <w:rPr>
          <w:rFonts w:ascii="Calibri" w:hAnsi="Calibri" w:eastAsia="PingFang SC"/>
          <w:b w:val="0"/>
          <w:i w:val="0"/>
          <w:color w:val="656D76"/>
          <w:sz w:val="18"/>
        </w:rPr>
        <w:t>适用游戏：SS07 · 指标全用 SS07 自有 summary（不引入 base/free/scatter）</w:t>
      </w:r>
    </w:p>
    <w:p>
      <w:r>
        <w:rPr>
          <w:rFonts w:ascii="Calibri" w:hAnsi="Calibri" w:eastAsia="PingFang SC"/>
          <w:b w:val="0"/>
          <w:i w:val="0"/>
          <w:color w:val="656D76"/>
          <w:sz w:val="18"/>
        </w:rPr>
        <w:t>SS07_Saitekika_v3（RTP 95.0%，低倍·高命中·稳健版）｜ SS07_Saitekika_v2（RTP 97.0%，中倍·大奖版）</w:t>
      </w:r>
    </w:p>
    <w:p>
      <w:r>
        <w:rPr>
          <w:rFonts w:ascii="Calibri" w:hAnsi="Calibri" w:eastAsia="PingFang SC"/>
          <w:b w:val="0"/>
          <w:i w:val="0"/>
          <w:color w:val="656D76"/>
          <w:sz w:val="18"/>
        </w:rPr>
        <w:t>Normal(bet10) / Extra(bet15) · 命中率解冻；两张都砍 15x · 起草 2026-08-14 · draft</w:t>
      </w:r>
    </w:p>
    <w:p>
      <w:pPr>
        <w:pBdr>
          <w:bottom w:val="single" w:sz="8" w:space="4" w:color="1F2328"/>
        </w:pBdr>
      </w:pPr>
      <w:r>
        <w:rPr>
          <w:rFonts w:ascii="Calibri" w:hAnsi="Calibri" w:eastAsia="PingFang SC"/>
          <w:b/>
          <w:sz w:val="34"/>
        </w:rPr>
        <w:t>1. 两张表的特性（核心）</w:t>
      </w:r>
    </w:p>
    <w:p>
      <w:r>
        <w:rPr>
          <w:rFonts w:ascii="Calibri" w:hAnsi="Calibri" w:eastAsia="PingFang SC"/>
          <w:b w:val="0"/>
          <w:i w:val="0"/>
          <w:sz w:val="20"/>
        </w:rPr>
        <w:t>两张都削掉 15x 以上的极端尾部；区别在中低倍率重心与命中率：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维度</w:t>
            </w:r>
          </w:p>
        </w:tc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SS07_Saitekika_v3 (95%)  低倍·高命中</w:t>
            </w:r>
          </w:p>
        </w:tc>
        <w:tc>
          <w:tcPr>
            <w:tcW w:type="dxa" w:w="28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SS07_Saitekika_v2 (97%)  中倍·大奖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RTP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95.0%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97.0%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倍率重心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2x / 5x（低倍）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5x / 10x（中倍）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命中率 Hit%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N 12.65% / E 14.90%（高，中奖频繁）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N 8.05% / E 9.86%（较低，少而大）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单次赔付(×bet)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N 7.51 / E 6.37（小）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N 12.05 / E 9.83（大）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E[Applied Mult]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N 3.03 / E 3.63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N 4.86 / E 5.60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x15（都砍）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0.010 / 0.010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0.020 / 0.030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波动 SD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较低（低倍高命中）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较高（中倍少命中）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  <w:sz w:val="19"/>
              </w:rPr>
              <w:t>体感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频繁小奖、稳健</w:t>
            </w:r>
          </w:p>
        </w:tc>
        <w:tc>
          <w:tcPr>
            <w:tcW w:type="dxa" w:w="28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少而大、爽点集中在 5x/10x</w:t>
            </w:r>
          </w:p>
        </w:tc>
      </w:tr>
    </w:tbl>
    <w:p/>
    <w:p>
      <w:r>
        <w:rPr>
          <w:rFonts w:ascii="Calibri" w:hAnsi="Calibri" w:eastAsia="PingFang SC"/>
          <w:b w:val="0"/>
          <w:i w:val="0"/>
          <w:color w:val="656D76"/>
          <w:sz w:val="19"/>
        </w:rPr>
        <w:t>现状 x15 权重 Normal 0.045 / Extra 0.073 —— 两表均大幅下调。底层 paytable 不变；命中率由 RTP 反解（RTP = 命中率 × 单次赔付）。</w:t>
      </w:r>
    </w:p>
    <w:p>
      <w:pPr>
        <w:pBdr>
          <w:bottom w:val="single" w:sz="8" w:space="4" w:color="1F2328"/>
        </w:pBdr>
      </w:pPr>
      <w:r>
        <w:rPr>
          <w:rFonts w:ascii="Calibri" w:hAnsi="Calibri" w:eastAsia="PingFang SC"/>
          <w:b/>
          <w:sz w:val="34"/>
        </w:rPr>
        <w:t>2. 目标总表（SS07 指标行）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指标</w:t>
            </w:r>
          </w:p>
        </w:tc>
        <w:tc>
          <w:tcPr>
            <w:tcW w:type="dxa" w:w="216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现状 N / E</w:t>
            </w:r>
          </w:p>
        </w:tc>
        <w:tc>
          <w:tcPr>
            <w:tcW w:type="dxa" w:w="216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v3 (95%) N / E</w:t>
            </w:r>
          </w:p>
        </w:tc>
        <w:tc>
          <w:tcPr>
            <w:tcW w:type="dxa" w:w="216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v2 (97%) N / 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Bet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10 / 15</w:t>
            </w:r>
          </w:p>
        </w:tc>
        <w:tc>
          <w:tcPr>
            <w:tcW w:type="dxa" w:w="216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10 / 15</w:t>
            </w:r>
          </w:p>
        </w:tc>
        <w:tc>
          <w:tcPr>
            <w:tcW w:type="dxa" w:w="216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10 / 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RTP Mean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96.46% / 96.48%</w:t>
            </w:r>
          </w:p>
        </w:tc>
        <w:tc>
          <w:tcPr>
            <w:tcW w:type="dxa" w:w="216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95.00% / 95.00%</w:t>
            </w:r>
          </w:p>
        </w:tc>
        <w:tc>
          <w:tcPr>
            <w:tcW w:type="dxa" w:w="216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97.00% / 97.00%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Hit% Base Game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12.00% / 12.07%</w:t>
            </w:r>
          </w:p>
        </w:tc>
        <w:tc>
          <w:tcPr>
            <w:tcW w:type="dxa" w:w="216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12.65% / 14.90%</w:t>
            </w:r>
          </w:p>
        </w:tc>
        <w:tc>
          <w:tcPr>
            <w:tcW w:type="dxa" w:w="216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8.05% / 9.86%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E[Applied Mult]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3.24 / 4.55</w:t>
            </w:r>
          </w:p>
        </w:tc>
        <w:tc>
          <w:tcPr>
            <w:tcW w:type="dxa" w:w="216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3.03 / 3.63</w:t>
            </w:r>
          </w:p>
        </w:tc>
        <w:tc>
          <w:tcPr>
            <w:tcW w:type="dxa" w:w="216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4.86 / 5.60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单次赔付(×bet)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  <w:sz w:val="19"/>
              </w:rPr>
              <w:t>8.04 / 7.99</w:t>
            </w:r>
          </w:p>
        </w:tc>
        <w:tc>
          <w:tcPr>
            <w:tcW w:type="dxa" w:w="216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7.51 / 6.37</w:t>
            </w:r>
          </w:p>
        </w:tc>
        <w:tc>
          <w:tcPr>
            <w:tcW w:type="dxa" w:w="216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12.05 / 9.83</w:t>
            </w:r>
          </w:p>
        </w:tc>
      </w:tr>
    </w:tbl>
    <w:p/>
    <w:p>
      <w:pPr>
        <w:pBdr>
          <w:bottom w:val="single" w:sz="8" w:space="4" w:color="1F2328"/>
        </w:pBdr>
      </w:pPr>
      <w:r>
        <w:rPr>
          <w:rFonts w:ascii="Calibri" w:hAnsi="Calibri" w:eastAsia="PingFang SC"/>
          <w:b/>
          <w:sz w:val="34"/>
        </w:rPr>
        <w:t>3. Applied Multiplier 目标分布</w:t>
      </w:r>
    </w:p>
    <w:p>
      <w:r>
        <w:rPr>
          <w:rFonts w:ascii="Calibri" w:hAnsi="Calibri" w:eastAsia="PingFang SC"/>
          <w:b/>
          <w:i w:val="0"/>
          <w:color w:val="0969DA"/>
          <w:sz w:val="21"/>
        </w:rPr>
        <w:t>3.1 Normal（bet 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分布</w:t>
            </w:r>
          </w:p>
        </w:tc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x1</w:t>
            </w:r>
          </w:p>
        </w:tc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x2</w:t>
            </w:r>
          </w:p>
        </w:tc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x3</w:t>
            </w:r>
          </w:p>
        </w:tc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x5</w:t>
            </w:r>
          </w:p>
        </w:tc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x10</w:t>
            </w:r>
          </w:p>
        </w:tc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x15</w:t>
            </w:r>
          </w:p>
        </w:tc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E[mult]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现状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0.381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0.243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0.146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0.117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0.067</w:t>
            </w:r>
          </w:p>
        </w:tc>
        <w:tc>
          <w:tcPr>
            <w:tcW w:type="dxa" w:w="10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0.045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3.242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v3 (95%) 低倍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0.260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0.320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0.160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0.200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0.050</w:t>
            </w:r>
          </w:p>
        </w:tc>
        <w:tc>
          <w:tcPr>
            <w:tcW w:type="dxa" w:w="10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0.010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3.030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v2 (97%) 中倍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0.150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0.180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0.150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0.280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0.220</w:t>
            </w:r>
          </w:p>
        </w:tc>
        <w:tc>
          <w:tcPr>
            <w:tcW w:type="dxa" w:w="10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0.020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4.860</w:t>
            </w:r>
          </w:p>
        </w:tc>
      </w:tr>
    </w:tbl>
    <w:p/>
    <w:p>
      <w:r>
        <w:rPr>
          <w:rFonts w:ascii="Calibri" w:hAnsi="Calibri" w:eastAsia="PingFang SC"/>
          <w:b/>
          <w:i w:val="0"/>
          <w:color w:val="0969DA"/>
          <w:sz w:val="21"/>
        </w:rPr>
        <w:t>3.2 Extra（bet 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分布</w:t>
            </w:r>
          </w:p>
        </w:tc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x1</w:t>
            </w:r>
          </w:p>
        </w:tc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x2</w:t>
            </w:r>
          </w:p>
        </w:tc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x3</w:t>
            </w:r>
          </w:p>
        </w:tc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x5</w:t>
            </w:r>
          </w:p>
        </w:tc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x10</w:t>
            </w:r>
          </w:p>
        </w:tc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x15</w:t>
            </w:r>
          </w:p>
        </w:tc>
        <w:tc>
          <w:tcPr>
            <w:tcW w:type="dxa" w:w="108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E[mult]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现状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0.000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0.399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0.242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0.186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0.101</w:t>
            </w:r>
          </w:p>
        </w:tc>
        <w:tc>
          <w:tcPr>
            <w:tcW w:type="dxa" w:w="10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0.073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4.553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v3 (95%) 低倍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0.000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0.460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0.220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0.240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0.070</w:t>
            </w:r>
          </w:p>
        </w:tc>
        <w:tc>
          <w:tcPr>
            <w:tcW w:type="dxa" w:w="10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0.010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3.630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v2 (97%) 中倍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0.000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0.220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0.170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0.320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0.260</w:t>
            </w:r>
          </w:p>
        </w:tc>
        <w:tc>
          <w:tcPr>
            <w:tcW w:type="dxa" w:w="1080"/>
            <w:shd w:val="clear" w:fill="FFF3B0"/>
          </w:tcPr>
          <w:p>
            <w:r/>
            <w:r>
              <w:rPr>
                <w:rFonts w:ascii="Calibri" w:hAnsi="Calibri" w:eastAsia="PingFang SC"/>
                <w:sz w:val="19"/>
              </w:rPr>
              <w:t>0.030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  <w:sz w:val="19"/>
              </w:rPr>
              <w:t>5.600</w:t>
            </w:r>
          </w:p>
        </w:tc>
      </w:tr>
    </w:tbl>
    <w:p/>
    <w:p>
      <w:r>
        <w:rPr>
          <w:rFonts w:ascii="Calibri" w:hAnsi="Calibri" w:eastAsia="PingFang SC"/>
          <w:b w:val="0"/>
          <w:i w:val="0"/>
          <w:color w:val="656D76"/>
          <w:sz w:val="19"/>
        </w:rPr>
        <w:t>v3 重心压到 x2/x5、x15≈0.01；v2 重心抬到 x5/x10、x15≈0.02-0.03。两表 x15 均远低于现状。Extra 保持“无 x1”。</w:t>
      </w:r>
    </w:p>
    <w:p>
      <w:pPr>
        <w:pBdr>
          <w:bottom w:val="single" w:sz="8" w:space="4" w:color="1F2328"/>
        </w:pBdr>
      </w:pPr>
      <w:r>
        <w:rPr>
          <w:rFonts w:ascii="Calibri" w:hAnsi="Calibri" w:eastAsia="PingFang SC"/>
          <w:b/>
          <w:sz w:val="34"/>
        </w:rPr>
        <w:t>4. 开放项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编号</w:t>
            </w:r>
          </w:p>
        </w:tc>
        <w:tc>
          <w:tcPr>
            <w:tcW w:type="dxa" w:w="4320"/>
            <w:shd w:val="clear" w:fill="F0F3F6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问题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  <w:sz w:val="19"/>
              </w:rPr>
              <w:t>Q1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  <w:sz w:val="19"/>
              </w:rPr>
              <w:t>两表倍率形状/命中率（v3 N~12.6% 2x/5x、v2 N~8% 5x/10x）是否合适，可继续微调重心与命中率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  <w:sz w:val="19"/>
              </w:rPr>
              <w:t>Q2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  <w:sz w:val="19"/>
              </w:rPr>
              <w:t>Max Multiplier / 头奖：两表都砍 15x 后极端头奖下降，v2&gt;v3；具体上限由 reel 仿真定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  <w:sz w:val="19"/>
              </w:rPr>
              <w:t>Q3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  <w:sz w:val="19"/>
              </w:rPr>
              <w:t>底层 paytable 保持不变（现假设）；Normal/Extra 是否共用同一 reel（Extra 仅去 x1）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  <w:sz w:val="19"/>
              </w:rPr>
              <w:t>Q4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  <w:sz w:val="19"/>
              </w:rPr>
              <w:t>交付后数学团队据本 spec 搭 reel/paytable 并仿真回验：命中目标 RTP±0.1%、命中率、倍率分布达标</w:t>
            </w:r>
          </w:p>
        </w:tc>
      </w:tr>
    </w:tbl>
    <w:p/>
    <w:p>
      <w:r>
        <w:rPr>
          <w:rFonts w:ascii="Calibri" w:hAnsi="Calibri" w:eastAsia="PingFang SC"/>
          <w:b w:val="0"/>
          <w:i w:val="0"/>
          <w:color w:val="656D76"/>
          <w:sz w:val="17"/>
        </w:rPr>
        <w:t>SS07 数学表设计规格 v1.0 · 2026-08-14 · 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