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6" w:color="1F2328"/>
        </w:pBdr>
      </w:pPr>
      <w:r>
        <w:rPr>
          <w:rFonts w:ascii="Calibri" w:hAnsi="Calibri" w:eastAsia="PingFang SC"/>
          <w:b/>
          <w:i w:val="0"/>
          <w:sz w:val="36"/>
        </w:rPr>
        <w:t>个性化挽留策略 A/B 实验设计（HMM 状态分层）· v1.0</w:t>
      </w:r>
    </w:p>
    <w:p>
      <w:r>
        <w:rPr>
          <w:rFonts w:ascii="Calibri" w:hAnsi="Calibri" w:eastAsia="PingFang SC"/>
          <w:b w:val="0"/>
          <w:i w:val="0"/>
          <w:color w:val="656D76"/>
          <w:sz w:val="18"/>
        </w:rPr>
        <w:t>游戏：FM01（捕鱼大师） · 数据表：transform-agfish-game.public.bullet</w:t>
      </w:r>
    </w:p>
    <w:p>
      <w:r>
        <w:rPr>
          <w:rFonts w:ascii="Calibri" w:hAnsi="Calibri" w:eastAsia="PingFang SC"/>
          <w:b w:val="0"/>
          <w:i w:val="0"/>
          <w:color w:val="656D76"/>
          <w:sz w:val="18"/>
        </w:rPr>
        <w:t>配套：A/B 实验平台 PRD v0.2 · 分组方案 AB分组方案设计_v0.1.md</w:t>
      </w:r>
    </w:p>
    <w:p>
      <w:r>
        <w:rPr>
          <w:rFonts w:ascii="Calibri" w:hAnsi="Calibri" w:eastAsia="PingFang SC"/>
          <w:b w:val="0"/>
          <w:i w:val="0"/>
          <w:color w:val="656D76"/>
          <w:sz w:val="18"/>
        </w:rPr>
        <w:t>起草：2026-08-13 · 状态：draft（时间线为示例，正式日期以排期为准）</w:t>
      </w:r>
    </w:p>
    <w:p>
      <w:r>
        <w:rPr>
          <w:rFonts w:ascii="Calibri" w:hAnsi="Calibri" w:eastAsia="PingFang SC"/>
          <w:b w:val="0"/>
          <w:i w:val="0"/>
          <w:color w:val="656D76"/>
          <w:sz w:val="18"/>
        </w:rPr>
        <w:t>layer：player_value_intervention · mutex_group：retention_intervention</w:t>
      </w:r>
    </w:p>
    <w:p>
      <w:pPr>
        <w:pBdr>
          <w:bottom w:val="single" w:sz="6" w:space="4" w:color="1F2328"/>
        </w:pBdr>
      </w:pPr>
      <w:r>
        <w:rPr>
          <w:rFonts w:ascii="Calibri" w:hAnsi="Calibri" w:eastAsia="PingFang SC"/>
          <w:b/>
          <w:sz w:val="34"/>
        </w:rPr>
        <w:t>1. 假设（Hypothesis）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2FB"/>
          </w:tcPr>
          <w:p>
            <w:r/>
            <w:r>
              <w:rPr>
                <w:rFonts w:ascii="Calibri" w:hAnsi="Calibri" w:eastAsia="PingFang SC"/>
                <w:sz w:val="19"/>
              </w:rPr>
              <w:t>给处于不同生命周期状态（HMM：T1 / S1-low / S2-engaged / S3-escaped）的玩家开启个性化挽留策略（ON），相较不开启（OFF/holdout），能显著提升其 D7 留存与转化，且不恶化净收入、付费与风控护栏。</w:t>
            </w:r>
          </w:p>
        </w:tc>
      </w:tr>
    </w:tbl>
    <w:p/>
    <w:p>
      <w:r>
        <w:rPr>
          <w:rFonts w:ascii="Calibri" w:hAnsi="Calibri" w:eastAsia="PingFang SC"/>
          <w:b/>
          <w:i w:val="0"/>
          <w:sz w:val="21"/>
        </w:rPr>
        <w:t>派生子假设（每 HMM 状态独立检验）：</w:t>
      </w:r>
    </w:p>
    <w:p>
      <w:pPr>
        <w:pStyle w:val="ListBullet"/>
      </w:pPr>
      <w:r>
        <w:rPr>
          <w:rFonts w:ascii="Calibri" w:hAnsi="Calibri" w:eastAsia="PingFang SC"/>
          <w:sz w:val="21"/>
        </w:rPr>
        <w:t>H-S3（escaped/流失）：挽留对高流失风险人群提升最大（重点验证）。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H-S1（low）：挽留能把低活跃拉回活跃。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H-S2（engaged）：挽留对已活跃人群边际提升有限（可能无效，验证是否浪费成本）。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H-T1（初始）：挽留对新客/首触早期留存的影响（含义待确认）。</w:t>
      </w:r>
    </w:p>
    <w:p>
      <w:r>
        <w:rPr>
          <w:rFonts w:ascii="Calibri" w:hAnsi="Calibri" w:eastAsia="PingFang SC"/>
          <w:b w:val="0"/>
          <w:i/>
          <w:color w:val="656D76"/>
          <w:sz w:val="21"/>
        </w:rPr>
        <w:t>启动后冻结，改变假设 → 新建实验。</w:t>
      </w:r>
    </w:p>
    <w:p>
      <w:pPr>
        <w:pBdr>
          <w:bottom w:val="single" w:sz="6" w:space="4" w:color="1F2328"/>
        </w:pBdr>
      </w:pPr>
      <w:r>
        <w:rPr>
          <w:rFonts w:ascii="Calibri" w:hAnsi="Calibri" w:eastAsia="PingFang SC"/>
          <w:b/>
          <w:sz w:val="34"/>
        </w:rPr>
        <w:t>2. 背景与目标</w:t>
      </w:r>
    </w:p>
    <w:p>
      <w:r>
        <w:rPr>
          <w:rFonts w:ascii="Calibri" w:hAnsi="Calibri" w:eastAsia="PingFang SC"/>
          <w:b w:val="0"/>
          <w:i w:val="0"/>
          <w:sz w:val="21"/>
        </w:rPr>
        <w:t>个性化挽留系统已上线并按生命周期给玩家打 CR_FISHING_V1:Tk 标签、施加加成，但当前没有干净对照来量化“挽留带来多少增量、对哪类人有效”。本实验建立挽留 ON vs OFF 的随机对照，并用处理无关的 HMM 状态分层，回答：挽留的因果增量，以及对哪种生命周期状态最该投入。</w:t>
      </w:r>
    </w:p>
    <w:p>
      <w:pPr>
        <w:pBdr>
          <w:bottom w:val="single" w:sz="6" w:space="4" w:color="1F2328"/>
        </w:pBdr>
      </w:pPr>
      <w:r>
        <w:rPr>
          <w:rFonts w:ascii="Calibri" w:hAnsi="Calibri" w:eastAsia="PingFang SC"/>
          <w:b/>
          <w:sz w:val="34"/>
        </w:rPr>
        <w:t>3. 分析人群与分组</w:t>
      </w:r>
    </w:p>
    <w:p>
      <w:pPr>
        <w:pStyle w:val="ListBullet"/>
      </w:pPr>
      <w:r>
        <w:rPr>
          <w:rFonts w:ascii="Calibri" w:hAnsi="Calibri" w:eastAsia="PingFang SC"/>
          <w:sz w:val="21"/>
        </w:rPr>
        <w:t>subject_type：FM01 玩家账号（当前用户 ID 体系，不依赖 OneID）。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eligibility（筛选逻辑）：① 排除 风控（sticky，套利农场已含在内）；② 排除 dynamic_rtp 臂（吃 RTP，混淆）；③ 剩余 = 挽留臂(ON) + holdout(OFF)，两臂均 RTP-off。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分层维度（HMM，处理无关，冻结）：T1 / S1 low / S2 engaged / S3 escaped，从行为序列算出、与是否被挽留无关 → 两臂都能算 → 无 post-treatment 偏差。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处理臂：Control = 挽留 OFF（holdout）；Variant = 挽留策略 ON。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终端格：4 状态 × 2 臂 = 8 格。</w:t>
      </w:r>
    </w:p>
    <w:p>
      <w:r>
        <w:rPr>
          <w:rFonts w:ascii="Calibri" w:hAnsi="Calibri" w:eastAsia="PingFang SC"/>
          <w:b w:val="0"/>
          <w:i w:val="0"/>
          <w:color w:val="656D76"/>
          <w:sz w:val="19"/>
        </w:rPr>
        <w:t>分割逻辑：全体 →（风控? 是→出局 / 否）→ 实验人群 →（dynamic_rtp 臂：单独 RTP 实验）+（挽留 AB：挽留ON+holdout OFF，均 RTP-off）→ 按 HMM 状态 T1/S1/S2/S3 各分 OFF|ON。</w:t>
      </w:r>
    </w:p>
    <w:p>
      <w:pPr>
        <w:pBdr>
          <w:bottom w:val="single" w:sz="6" w:space="4" w:color="1F2328"/>
        </w:pBdr>
      </w:pPr>
      <w:r>
        <w:rPr>
          <w:rFonts w:ascii="Calibri" w:hAnsi="Calibri" w:eastAsia="PingFang SC"/>
          <w:b/>
          <w:sz w:val="34"/>
        </w:rPr>
        <w:t>4. 变量（Control / Variant）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</w:r>
          </w:p>
        </w:tc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内容</w:t>
            </w:r>
          </w:p>
        </w:tc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约束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Control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不施加个性化挽留（holdout，保持基准体验）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可追溯的基准配置版本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Variant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开启现行个性化挽留策略 CR_FISHING_V1（含加成/触达）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Phase 1 仅一个 Variant；策略实质变化则结束重开</w:t>
            </w:r>
          </w:p>
        </w:tc>
      </w:tr>
    </w:tbl>
    <w:p/>
    <w:p>
      <w:r>
        <w:rPr>
          <w:rFonts w:ascii="Calibri" w:hAnsi="Calibri" w:eastAsia="PingFang SC"/>
          <w:b w:val="0"/>
          <w:i/>
          <w:color w:val="656D76"/>
          <w:sz w:val="19"/>
        </w:rPr>
        <w:t>若后续比“挽留策略 A vs B”，属另一实验（两臂皆 ON，在挽留臂内再切），本实验不含。</w:t>
      </w:r>
    </w:p>
    <w:p>
      <w:pPr>
        <w:pBdr>
          <w:bottom w:val="single" w:sz="6" w:space="4" w:color="1F2328"/>
        </w:pBdr>
      </w:pPr>
      <w:r>
        <w:rPr>
          <w:rFonts w:ascii="Calibri" w:hAnsi="Calibri" w:eastAsia="PingFang SC"/>
          <w:b/>
          <w:sz w:val="34"/>
        </w:rPr>
        <w:t>5. 指标</w:t>
      </w:r>
    </w:p>
    <w:p>
      <w:r>
        <w:rPr>
          <w:rFonts w:ascii="Calibri" w:hAnsi="Calibri" w:eastAsia="PingFang SC"/>
          <w:b/>
          <w:i w:val="0"/>
          <w:color w:val="0969DA"/>
          <w:sz w:val="21"/>
        </w:rPr>
        <w:t>5.1 主指标（启动前冻结）</w:t>
      </w:r>
    </w:p>
    <w:p>
      <w:r>
        <w:rPr>
          <w:rFonts w:ascii="Calibri" w:hAnsi="Calibri" w:eastAsia="PingFang SC"/>
          <w:b w:val="0"/>
          <w:i w:val="0"/>
          <w:sz w:val="21"/>
        </w:rPr>
        <w:t>D7 留存率：cohort 玩家在入组日 +7 自然日仍有任意 FM01 有效投注的比例。统计主体=玩家；分析人群=ITT；窗口=D7；时区=北京(UTC+8)。</w:t>
      </w:r>
    </w:p>
    <w:p>
      <w:r>
        <w:rPr>
          <w:rFonts w:ascii="Calibri" w:hAnsi="Calibri" w:eastAsia="PingFang SC"/>
          <w:b/>
          <w:i w:val="0"/>
          <w:color w:val="0969DA"/>
          <w:sz w:val="21"/>
        </w:rPr>
        <w:t>5.2 次要指标（观察，不判胜负）</w:t>
      </w:r>
    </w:p>
    <w:p>
      <w:r>
        <w:rPr>
          <w:rFonts w:ascii="Calibri" w:hAnsi="Calibri" w:eastAsia="PingFang SC"/>
          <w:b w:val="0"/>
          <w:i w:val="0"/>
          <w:sz w:val="21"/>
        </w:rPr>
        <w:t>D1、D3 留存；状态跃迁率（S3→S2/S1 回流、S1→S2 提升）；人均投注次数/额。</w:t>
      </w:r>
    </w:p>
    <w:p>
      <w:r>
        <w:rPr>
          <w:rFonts w:ascii="Calibri" w:hAnsi="Calibri" w:eastAsia="PingFang SC"/>
          <w:b/>
          <w:i w:val="0"/>
          <w:color w:val="0969DA"/>
          <w:sz w:val="21"/>
        </w:rPr>
        <w:t>5.3 护栏指标（每项设停止阈值）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护栏</w:t>
            </w:r>
          </w:p>
        </w:tc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口径</w:t>
            </w:r>
          </w:p>
        </w:tc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停止阈值（示例，待批准）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人均净收入 / ARPU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(投注−派彩)/人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Variant 相对 Control 下降 &gt; 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付费率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付费用户占比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下降 &gt; 3pp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整层 RTP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派彩/投注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Variant RTP 越界（如 &gt;100%，防放水被套利）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客诉 / 投诉率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投诉工单/人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显著上升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曝光完整性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exposure/assignment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&lt; 阈值触发数据质量 invalid</w:t>
            </w:r>
          </w:p>
        </w:tc>
      </w:tr>
    </w:tbl>
    <w:p/>
    <w:p>
      <w:pPr>
        <w:pBdr>
          <w:bottom w:val="single" w:sz="6" w:space="4" w:color="1F2328"/>
        </w:pBdr>
      </w:pPr>
      <w:r>
        <w:rPr>
          <w:rFonts w:ascii="Calibri" w:hAnsi="Calibri" w:eastAsia="PingFang SC"/>
          <w:b/>
          <w:sz w:val="34"/>
        </w:rPr>
        <w:t>6. 统计设计</w:t>
      </w:r>
    </w:p>
    <w:p>
      <w:pPr>
        <w:pStyle w:val="ListBullet"/>
      </w:pPr>
      <w:r>
        <w:rPr>
          <w:rFonts w:ascii="Calibri" w:hAnsi="Calibri" w:eastAsia="PingFang SC"/>
          <w:sz w:val="21"/>
        </w:rPr>
        <w:t>analysis_population：ITT（默认）。未曝光的 assignment 仍进主分析，曝光完整性作诊断。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固定周期：预设 minimum_duration 与目标样本，到达前不因普通显著性提前停。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alpha = 0.05（双侧），power = 0.8（具体值由数据负责人批准）。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分层分析：每个 HMM 状态内做两比例检验（ON vs OFF）；多状态用预注册多重比较校正（如 Holm）。</w:t>
      </w:r>
    </w:p>
    <w:p>
      <w:r>
        <w:rPr>
          <w:rFonts w:ascii="Calibri" w:hAnsi="Calibri" w:eastAsia="PingFang SC"/>
          <w:b/>
          <w:i w:val="0"/>
          <w:color w:val="0969DA"/>
          <w:sz w:val="21"/>
        </w:rPr>
        <w:t>6.1 每臂样本量需求（主指标 D7 留存）</w:t>
      </w:r>
    </w:p>
    <w:p>
      <w:r>
        <w:rPr>
          <w:rFonts w:ascii="Calibri" w:hAnsi="Calibri" w:eastAsia="PingFang SC"/>
          <w:b w:val="0"/>
          <w:i w:val="0"/>
          <w:sz w:val="19"/>
        </w:rPr>
        <w:t>n/arm = (z_α/2 + z_β)² · [p1(1-p1)+p2(1-p2)] / (p1-p2)²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HMM 状态</w:t>
            </w:r>
          </w:p>
        </w:tc>
        <w:tc>
          <w:tcPr>
            <w:tcW w:type="dxa" w:w="1728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基线 D7（待标定）</w:t>
            </w:r>
          </w:p>
        </w:tc>
        <w:tc>
          <w:tcPr>
            <w:tcW w:type="dxa" w:w="1728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MDE +3pp</w:t>
            </w:r>
          </w:p>
        </w:tc>
        <w:tc>
          <w:tcPr>
            <w:tcW w:type="dxa" w:w="1728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MDE +5pp</w:t>
            </w:r>
          </w:p>
        </w:tc>
        <w:tc>
          <w:tcPr>
            <w:tcW w:type="dxa" w:w="1728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MDE +8pp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T1 初始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2,399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903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374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S1 low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1,771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683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291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S2 engaged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3,760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1,374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546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S3 escaped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1,056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432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  <w:sz w:val="19"/>
              </w:rPr>
              <w:t>197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C5"/>
          </w:tcPr>
          <w:p>
            <w:r/>
            <w:r>
              <w:rPr>
                <w:rFonts w:ascii="Calibri" w:hAnsi="Calibri" w:eastAsia="PingFang SC"/>
                <w:sz w:val="19"/>
              </w:rPr>
              <w:t>关键约束：需求为每臂每状态。Control 来自 holdout（人群较小），是样本瓶颈——单波不够则跨波累计到目标样本再读数。最终数字待 HMM 各状态实际人数分布 + 真实基线 D7 标定后锁定。脚本：jobs/ab_testing/ab_sample_size.py。</w:t>
            </w:r>
          </w:p>
        </w:tc>
      </w:tr>
    </w:tbl>
    <w:p/>
    <w:p>
      <w:pPr>
        <w:pBdr>
          <w:bottom w:val="single" w:sz="6" w:space="4" w:color="1F2328"/>
        </w:pBdr>
      </w:pPr>
      <w:r>
        <w:rPr>
          <w:rFonts w:ascii="Calibri" w:hAnsi="Calibri" w:eastAsia="PingFang SC"/>
          <w:b/>
          <w:sz w:val="34"/>
        </w:rPr>
        <w:t>7. 数据质量与 SRM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双层 SRM：assignment 层 + exposure 层分别比对实际 vs 预设比例。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分状态 SRM：8 个终端格实际比例与预期比对，任一 P0 失败 → 结论锁定。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曝光口径：ON/OFF 两臂同一曝光触发口径，去重。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右截断：末尾入组 cohort 的 D7 未成熟时不计入主分析（见 §9）。</w:t>
      </w:r>
    </w:p>
    <w:p>
      <w:pPr>
        <w:pBdr>
          <w:bottom w:val="single" w:sz="6" w:space="4" w:color="1F2328"/>
        </w:pBdr>
      </w:pPr>
      <w:r>
        <w:rPr>
          <w:rFonts w:ascii="Calibri" w:hAnsi="Calibri" w:eastAsia="PingFang SC"/>
          <w:b/>
          <w:sz w:val="34"/>
        </w:rPr>
        <w:t>8. 灰度扩量与紧急停止</w:t>
      </w:r>
    </w:p>
    <w:p>
      <w:pPr>
        <w:pStyle w:val="ListBullet"/>
      </w:pPr>
      <w:r>
        <w:rPr>
          <w:rFonts w:ascii="Calibri" w:hAnsi="Calibri" w:eastAsia="PingFang SC"/>
          <w:sz w:val="21"/>
        </w:rPr>
        <w:t>ramp_plan：小流量起步 → 每阶段检查（SRM/护栏/RTP/QA/上阶段最短观察）→ 逐步扩量；扩量不改变已分组用户组别。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emergency_stop_rule：触发 = 护栏越界 / 严重 SRM / RTP 异常放水 / 客诉激增。停止后新增决策回到基准（挽留 OFF）；已产生加成/订单不回滚；恢复需新批准。</w:t>
      </w:r>
    </w:p>
    <w:p>
      <w:pPr>
        <w:pBdr>
          <w:bottom w:val="single" w:sz="6" w:space="4" w:color="1F2328"/>
        </w:pBdr>
      </w:pPr>
      <w:r>
        <w:rPr>
          <w:rFonts w:ascii="Calibri" w:hAnsi="Calibri" w:eastAsia="PingFang SC"/>
          <w:b/>
          <w:sz w:val="34"/>
        </w:rPr>
        <w:t>9. 时间线与验证窗口（示例，日期以排期为准）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阶段</w:t>
            </w:r>
          </w:p>
        </w:tc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日期（示例）</w:t>
            </w:r>
          </w:p>
        </w:tc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内容 / 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G0 设计冻结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2026-08-20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假设/指标/HMM 口径/护栏阈值/样本量关闭 to_be_confirmed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QA + 数据链路就绪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08-20 ~ 08-27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测试身份验证分组；assignment/exposure 双事件打通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灰度 ramp 起步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2026-08-28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小流量；查 SRM/护栏/RTP，健康后扩量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全量运行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2026-09-04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达比例上限；进入正式 cohort 累计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最短运行 minimum_duration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14 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09-04 ~ 09-18 主 cohort 入组窗口（覆盖 2 个完整周周期）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D7 验证窗口成熟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2026-09-25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最后入组 cohort（09-18）+7 天 → 主指标可读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结论评审 readout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2026-09-26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主指标/护栏/SRM/区间/样本成熟度出报告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决策 &amp; rollout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2026-09-28+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ship→灰度全量 / extend / stop / investigate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C5"/>
          </w:tcPr>
          <w:p>
            <w:r/>
            <w:r>
              <w:rPr>
                <w:rFonts w:ascii="Calibri" w:hAnsi="Calibri" w:eastAsia="PingFang SC"/>
                <w:sz w:val="19"/>
              </w:rPr>
              <w:t>验证时间（观测窗口）口径：</w:t>
            </w:r>
          </w:p>
          <w:p>
            <w:r>
              <w:rPr>
                <w:rFonts w:ascii="Calibri" w:hAnsi="Calibri" w:eastAsia="PingFang SC"/>
                <w:sz w:val="19"/>
              </w:rPr>
              <w:t>• 每个 cohort 的 D1/D3/D7 分别在其入组日 +1/+3/+7 成熟。</w:t>
            </w:r>
          </w:p>
          <w:p>
            <w:r>
              <w:rPr>
                <w:rFonts w:ascii="Calibri" w:hAnsi="Calibri" w:eastAsia="PingFang SC"/>
                <w:sz w:val="19"/>
              </w:rPr>
              <w:t>• 主指标 D7 需等窗口内最后一个 cohort 也满 7 天才完整（示例 09-25）。</w:t>
            </w:r>
          </w:p>
          <w:p>
            <w:r>
              <w:rPr>
                <w:rFonts w:ascii="Calibri" w:hAnsi="Calibri" w:eastAsia="PingFang SC"/>
                <w:sz w:val="19"/>
              </w:rPr>
              <w:t>• 实验末尾 7 天入组的 cohort，D7 未成熟 → 右截断，不进主分析或触发 extend。</w:t>
            </w:r>
          </w:p>
          <w:p>
            <w:r>
              <w:rPr>
                <w:rFonts w:ascii="Calibri" w:hAnsi="Calibri" w:eastAsia="PingFang SC"/>
                <w:sz w:val="19"/>
              </w:rPr>
              <w:t>• minimum_duration 取 14 天以覆盖完整周内节律（工作日/周末差异），避免周期偏差。</w:t>
            </w:r>
          </w:p>
        </w:tc>
      </w:tr>
    </w:tbl>
    <w:p/>
    <w:p>
      <w:pPr>
        <w:pBdr>
          <w:bottom w:val="single" w:sz="6" w:space="4" w:color="1F2328"/>
        </w:pBdr>
      </w:pPr>
      <w:r>
        <w:rPr>
          <w:rFonts w:ascii="Calibri" w:hAnsi="Calibri" w:eastAsia="PingFang SC"/>
          <w:b/>
          <w:sz w:val="34"/>
        </w:rPr>
        <w:t>10. 决策框架（ship / extend / stop / investigate）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主指标(D7)</w:t>
            </w:r>
          </w:p>
        </w:tc>
        <w:tc>
          <w:tcPr>
            <w:tcW w:type="dxa" w:w="216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护栏</w:t>
            </w:r>
          </w:p>
        </w:tc>
        <w:tc>
          <w:tcPr>
            <w:tcW w:type="dxa" w:w="216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数据质量</w:t>
            </w:r>
          </w:p>
        </w:tc>
        <w:tc>
          <w:tcPr>
            <w:tcW w:type="dxa" w:w="216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达统计+业务门槛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可接受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正常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ship（该状态开挽留）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方向对但样本/窗口不足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正常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extend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效果≈0 或负向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正常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stop（该状态不投挽留，省成本）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正向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越界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investigate（权衡）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无效/联合SRM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investigate（锁定排查）</w:t>
            </w:r>
          </w:p>
        </w:tc>
      </w:tr>
    </w:tbl>
    <w:p/>
    <w:p>
      <w:r>
        <w:rPr>
          <w:rFonts w:ascii="Calibri" w:hAnsi="Calibri" w:eastAsia="PingFang SC"/>
          <w:b w:val="0"/>
          <w:i/>
          <w:color w:val="656D76"/>
          <w:sz w:val="19"/>
        </w:rPr>
        <w:t>允许分状态差异化结论：如 S3/S1 ship、S2 stop（对已活跃人群挽留无增量则不投）。</w:t>
      </w:r>
    </w:p>
    <w:p>
      <w:pPr>
        <w:pBdr>
          <w:bottom w:val="single" w:sz="6" w:space="4" w:color="1F2328"/>
        </w:pBdr>
      </w:pPr>
      <w:r>
        <w:rPr>
          <w:rFonts w:ascii="Calibri" w:hAnsi="Calibri" w:eastAsia="PingFang SC"/>
          <w:b/>
          <w:sz w:val="34"/>
        </w:rPr>
        <w:t>11. 风险与开放问题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编号</w:t>
            </w:r>
          </w:p>
        </w:tc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问题 / 风险</w:t>
            </w:r>
          </w:p>
        </w:tc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20"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OQ-1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T1 状态确切含义与 HMM 四状态判定阈值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需给定义，写死分层口径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OQ-2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HMM 各状态实际人数分布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标定后回填 §6.1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OQ-3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真实基线 D7（各状态）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历史数据标定，替换示例值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OQ-4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holdout(OFF) 人群偏小 → 跨波累计或调 MDE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数据负责人定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OQ-5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挽留 OFF 是否涉及玩家权益/合规（停发已承诺加成）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风控/合规确认</w:t>
            </w:r>
          </w:p>
        </w:tc>
      </w:tr>
    </w:tbl>
    <w:p/>
    <w:p>
      <w:pPr>
        <w:pBdr>
          <w:bottom w:val="single" w:sz="6" w:space="4" w:color="1F2328"/>
        </w:pBdr>
      </w:pPr>
      <w:r>
        <w:rPr>
          <w:rFonts w:ascii="Calibri" w:hAnsi="Calibri" w:eastAsia="PingFang SC"/>
          <w:b/>
          <w:sz w:val="34"/>
        </w:rPr>
        <w:t>12. 附录：数据口径与复算</w:t>
      </w:r>
    </w:p>
    <w:p>
      <w:pPr>
        <w:pStyle w:val="ListBullet"/>
      </w:pPr>
      <w:r>
        <w:rPr>
          <w:rFonts w:ascii="Calibri" w:hAnsi="Calibri" w:eastAsia="PingFang SC"/>
          <w:sz w:val="21"/>
        </w:rPr>
        <w:t>组别/分割口径：AB分组方案设计_v0.1.md</w:t>
      </w:r>
    </w:p>
    <w:p>
      <w:pPr>
        <w:pStyle w:val="ListBullet"/>
      </w:pPr>
      <w:r>
        <w:rPr>
          <w:rFonts w:ascii="Calibri" w:hAnsi="Calibri" w:eastAsia="PingFang SC"/>
          <w:sz w:val="21"/>
        </w:rPr>
        <w:t>样本量脚本：jobs/ab_testing/ab_sample_size.py</w:t>
      </w:r>
    </w:p>
    <w:p>
      <w:pPr>
        <w:pStyle w:val="ListBullet"/>
      </w:pPr>
      <w:r>
        <w:rPr>
          <w:rFonts w:ascii="Calibri" w:hAnsi="Calibri" w:eastAsia="PingFang SC"/>
          <w:sz w:val="21"/>
        </w:rPr>
        <w:t>留存/行为口径（时区 UTC+8、BASE_FILTER、右截断）：沿用 jobs/fishing/fm01_grouping.py 及既有留存分析脚本。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HMM 状态：由挽留侧模型产出 T1 / S1 / S2 / S3，作为外部输入接入分层（口径待接口确认）。</w:t>
      </w:r>
    </w:p>
    <w:p>
      <w:r>
        <w:rPr>
          <w:rFonts w:ascii="Calibri" w:hAnsi="Calibri" w:eastAsia="PingFang SC"/>
          <w:b w:val="0"/>
          <w:i w:val="0"/>
          <w:color w:val="656D76"/>
          <w:sz w:val="17"/>
        </w:rPr>
        <w:t>FM01 个性化挽留策略 A/B 实验设计 v1.0 · 2026-08-13 ·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