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NON-RENEWAL</w:t>
      </w:r>
    </w:p>
    <w:p>
      <w:r>
        <w:t>Date: 1 September 2026</w:t>
      </w:r>
    </w:p>
    <w:p>
      <w:r>
        <w:t>To: Harbourline Freight Systems LLC</w:t>
      </w:r>
    </w:p>
    <w:p>
      <w:r>
        <w:t>From: Northwind Logistics Group PLC</w:t>
      </w:r>
    </w:p>
    <w:p>
      <w:r>
        <w:t>Re: Master Services Agreement dated 1 January 2026, as amended by Amendment No. 1</w:t>
      </w:r>
    </w:p>
    <w:p>
      <w:r>
        <w:t>Under Article VII of the above Agreement, Northwind Logistics Group PLC gives notice that it will not renew the Agreement beyond its initial term.</w:t>
      </w:r>
    </w:p>
    <w:p>
      <w:r>
        <w:t>The Agreement will therefore expire on 1 January 2027, being one hundred and twenty-two (122) days from the date of this notice.</w:t>
      </w:r>
    </w:p>
    <w:p>
      <w:r>
        <w:t>Services under SOW-221 continue to their scheduled completion on 31 December 2026. Final invoicing, including reconciliation of pass-through port charges, should be submitted in accordance with Article IV.</w:t>
      </w:r>
    </w:p>
    <w:p>
      <w:r>
        <w:t>Supplier is asked to return Client chassis interchange records and any customs powers of attorney within thirty days of expiry.</w:t>
      </w:r>
    </w:p>
    <w:p>
      <w:r>
        <w:t>M. Adeyemi</w:t>
      </w:r>
    </w:p>
    <w:p>
      <w:r>
        <w:t>Director of Supply Chain, Northwind Logistics Group PLC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