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i w:val="false"/>
          <w:iCs w:val="false"/>
          <w:sz w:val="40"/>
          <w:szCs w:val="40"/>
        </w:rPr>
        <w:t xml:space="preserve">CCR Platform — Production-Lite Design Document</w:t>
      </w:r>
    </w:p>
    <w:p>
      <w:pPr>
        <w:spacing w:after="40"/>
      </w:pPr>
      <w:r>
        <w:rPr>
          <w:b w:val="false"/>
          <w:bCs w:val="false"/>
          <w:i w:val="false"/>
          <w:iCs w:val="false"/>
          <w:color w:val="555555"/>
          <w:sz w:val="22"/>
          <w:szCs w:val="22"/>
        </w:rPr>
        <w:t xml:space="preserve">Culture and Morality Lab  |  Department of Psychological and Brain Sciences  |  UMass Amherst</w:t>
      </w:r>
    </w:p>
    <w:p>
      <w:pPr>
        <w:spacing w:after="40"/>
      </w:pPr>
      <w:r>
        <w:rPr>
          <w:b/>
          <w:bCs/>
          <w:i w:val="false"/>
          <w:iCs w:val="false"/>
          <w:color w:val="7A1F3D"/>
          <w:sz w:val="22"/>
          <w:szCs w:val="22"/>
        </w:rPr>
        <w:t xml:space="preserve">Version 1.2 — For Review; decisions requested in Section 22</w:t>
      </w:r>
    </w:p>
    <w:p>
      <w:pPr>
        <w:spacing w:after="200"/>
      </w:pPr>
      <w:r>
        <w:rPr>
          <w:b w:val="false"/>
          <w:bCs w:val="false"/>
          <w:i w:val="false"/>
          <w:iCs w:val="false"/>
          <w:color w:val="555555"/>
          <w:sz w:val="20"/>
          <w:szCs w:val="20"/>
        </w:rPr>
        <w:t xml:space="preserve">Owner: Deva Anand    Reviewer: Dr. Mohammad Atari    Date: July 9,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C8" w:sz="1"/>
              <w:left w:val="single" w:color="C8C8C8" w:sz="1"/>
              <w:bottom w:val="single" w:color="C8C8C8" w:sz="1"/>
              <w:right w:val="single" w:color="C8C8C8" w:sz="1"/>
            </w:tcBorders>
            <w:shd w:fill="F6EBEF" w:val="clear"/>
            <w:tcMar>
              <w:top w:type="dxa" w:w="100"/>
              <w:left w:type="dxa" w:w="140"/>
              <w:bottom w:type="dxa" w:w="100"/>
              <w:right w:type="dxa" w:w="140"/>
            </w:tcMar>
          </w:tcPr>
          <w:p>
            <w:pPr>
              <w:spacing w:after="60"/>
            </w:pPr>
            <w:r>
              <w:rPr>
                <w:b/>
                <w:bCs/>
                <w:i w:val="false"/>
                <w:iCs w:val="false"/>
                <w:sz w:val="21"/>
                <w:szCs w:val="21"/>
              </w:rPr>
              <w:t xml:space="preserve">Document purpose</w:t>
            </w:r>
          </w:p>
          <w:p>
            <w:pPr>
              <w:spacing w:after="40"/>
            </w:pPr>
            <w:r>
              <w:rPr>
                <w:b w:val="false"/>
                <w:bCs w:val="false"/>
                <w:i w:val="false"/>
                <w:iCs w:val="false"/>
                <w:sz w:val="20"/>
                <w:szCs w:val="20"/>
              </w:rPr>
              <w:t xml:space="preserve">Design of record for evolving the working CCR demo into a production-lite public research platform: reliable enough for real researchers, transparent enough for scientific use, and simple enough for a small lab to maintain at low cost.</w:t>
            </w:r>
          </w:p>
          <w:p>
            <w:pPr>
              <w:spacing w:after="40"/>
            </w:pPr>
            <w:r>
              <w:rPr>
                <w:b w:val="false"/>
                <w:bCs w:val="false"/>
                <w:i w:val="false"/>
                <w:iCs w:val="false"/>
                <w:sz w:val="20"/>
                <w:szCs w:val="20"/>
              </w:rPr>
              <w:t xml:space="preserve">A separate internal implementation playbook (docs/implementation-playbook.md) covers AI-assisted coding mechanics in detail; this document owns the product and architecture decisions.</w:t>
            </w:r>
          </w:p>
        </w:tc>
      </w:tr>
    </w:tbl>
    <w:p>
      <w:pPr>
        <w:spacing w:after="120"/>
      </w:pPr>
    </w:p>
    <w:p>
      <w:pPr>
        <w:pStyle w:val="Heading1"/>
      </w:pPr>
      <w:r>
        <w:t xml:space="preserve">1. Executive Summary</w:t>
      </w:r>
    </w:p>
    <w:p>
      <w:pPr>
        <w:spacing w:after="120" w:before="0"/>
      </w:pPr>
      <w:r>
        <w:rPr>
          <w:b w:val="false"/>
          <w:bCs w:val="false"/>
          <w:i w:val="false"/>
          <w:iCs w:val="false"/>
          <w:sz w:val="21"/>
          <w:szCs w:val="21"/>
        </w:rPr>
        <w:t xml:space="preserve">The CCR Platform lets psychology and computational social science researchers upload a corpus, select or define psychological constructs, run Contextualized Construct Representation (CCR) analysis, inspect results, and export reproducible outputs.</w:t>
      </w:r>
    </w:p>
    <w:p>
      <w:pPr>
        <w:spacing w:after="120" w:before="0"/>
      </w:pPr>
      <w:r>
        <w:rPr>
          <w:b w:val="false"/>
          <w:bCs w:val="false"/>
          <w:i w:val="false"/>
          <w:iCs w:val="false"/>
          <w:sz w:val="21"/>
          <w:szCs w:val="21"/>
        </w:rPr>
        <w:t xml:space="preserve">The product promise is not “run embeddings in a website.” It is: </w:t>
      </w:r>
      <w:r>
        <w:rPr>
          <w:b/>
          <w:bCs/>
          <w:i w:val="false"/>
          <w:iCs w:val="false"/>
          <w:sz w:val="21"/>
          <w:szCs w:val="21"/>
        </w:rPr>
        <w:t xml:space="preserve">a researcher can run CCR through a friendly interface, inspect whether the result makes sense, and download everything needed to reproduce the analysis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C8" w:sz="1"/>
              <w:left w:val="single" w:color="C8C8C8" w:sz="1"/>
              <w:bottom w:val="single" w:color="C8C8C8" w:sz="1"/>
              <w:right w:val="single" w:color="C8C8C8" w:sz="1"/>
            </w:tcBorders>
            <w:shd w:fill="F6EBEF" w:val="clear"/>
            <w:tcMar>
              <w:top w:type="dxa" w:w="100"/>
              <w:left w:type="dxa" w:w="140"/>
              <w:bottom w:type="dxa" w:w="100"/>
              <w:right w:type="dxa" w:w="140"/>
            </w:tcMar>
          </w:tcPr>
          <w:p>
            <w:pPr>
              <w:spacing w:after="60"/>
            </w:pPr>
            <w:r>
              <w:rPr>
                <w:b/>
                <w:bCs/>
                <w:i w:val="false"/>
                <w:iCs w:val="false"/>
                <w:sz w:val="21"/>
                <w:szCs w:val="21"/>
              </w:rPr>
              <w:t xml:space="preserve">Core recommendation</w:t>
            </w:r>
          </w:p>
          <w:p>
            <w:pPr>
              <w:spacing w:after="40"/>
            </w:pPr>
            <w:r>
              <w:rPr>
                <w:b w:val="false"/>
                <w:bCs w:val="false"/>
                <w:i w:val="false"/>
                <w:iCs w:val="false"/>
                <w:sz w:val="20"/>
                <w:szCs w:val="20"/>
              </w:rPr>
              <w:t xml:space="preserve">Use a strangler refactor, not a rewrite. Keep the live demo usable while extracting a clean CCR engine, adding tests and golden evals around current behavior, then replacing storage, auth, and deployment behind stable interfaces.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Design area</w:t>
            </w:r>
          </w:p>
        </w:tc>
        <w:tc>
          <w:tcPr>
            <w:tcW w:type="dxa" w:w="706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v1.0 recommendation</w:t>
            </w:r>
          </w:p>
        </w:tc>
      </w:tr>
      <w:tr>
        <w:tc>
          <w:tcPr>
            <w:tcW w:type="dxa" w:w="2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GitHub ownership</w:t>
            </w:r>
          </w:p>
        </w:tc>
        <w:tc>
          <w:tcPr>
            <w:tcW w:type="dxa" w:w="7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Move the stable repo to Culture-and-Morality-Lab/ccr-platform once access is granted.</w:t>
            </w:r>
          </w:p>
        </w:tc>
      </w:tr>
      <w:tr>
        <w:tc>
          <w:tcPr>
            <w:tcW w:type="dxa" w:w="2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Auth</w:t>
            </w:r>
          </w:p>
        </w:tc>
        <w:tc>
          <w:tcPr>
            <w:tcW w:type="dxa" w:w="7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Managed provider supporting Google sign-in AND email/password. Never hand-roll password storage, reset flows, or verification email.</w:t>
            </w:r>
          </w:p>
        </w:tc>
      </w:tr>
      <w:tr>
        <w:tc>
          <w:tcPr>
            <w:tcW w:type="dxa" w:w="2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Queue</w:t>
            </w:r>
          </w:p>
        </w:tc>
        <w:tc>
          <w:tcPr>
            <w:tcW w:type="dxa" w:w="7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Postgres jobs table with SELECT ... FOR UPDATE SKIP LOCKED, leases, and a sweeper. No Redis until real pressure exists.</w:t>
            </w:r>
          </w:p>
        </w:tc>
      </w:tr>
      <w:tr>
        <w:tc>
          <w:tcPr>
            <w:tcW w:type="dxa" w:w="2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Storage</w:t>
            </w:r>
          </w:p>
        </w:tc>
        <w:tc>
          <w:tcPr>
            <w:tcW w:type="dxa" w:w="7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Postgres for metadata; S3-compatible object storage for uploads and generated exports.</w:t>
            </w:r>
          </w:p>
        </w:tc>
      </w:tr>
      <w:tr>
        <w:tc>
          <w:tcPr>
            <w:tcW w:type="dxa" w:w="2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Models</w:t>
            </w:r>
          </w:p>
        </w:tc>
        <w:tc>
          <w:tcPr>
            <w:tcW w:type="dxa" w:w="7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Config-driven model registry. MiniLM stays the default (CCR reference model); e5-large-v2 is the strong English option; multilingual-E5 for non-English.</w:t>
            </w:r>
          </w:p>
        </w:tc>
      </w:tr>
      <w:tr>
        <w:tc>
          <w:tcPr>
            <w:tcW w:type="dxa" w:w="2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Reverse scoring</w:t>
            </w:r>
          </w:p>
        </w:tc>
        <w:tc>
          <w:tcPr>
            <w:tcW w:type="dxa" w:w="7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V1 exports raw similarities + reverse-scored flags; adjustment strategy is a recorded parameter with a conservative default until the lab decides.</w:t>
            </w:r>
          </w:p>
        </w:tc>
      </w:tr>
      <w:tr>
        <w:tc>
          <w:tcPr>
            <w:tcW w:type="dxa" w:w="2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Cost</w:t>
            </w:r>
          </w:p>
        </w:tc>
        <w:tc>
          <w:tcPr>
            <w:tcW w:type="dxa" w:w="7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$0 prototype now; ~$25–40/month production-lite; favor predictable, annual-friendly services.</w:t>
            </w:r>
          </w:p>
        </w:tc>
      </w:tr>
      <w:tr>
        <w:tc>
          <w:tcPr>
            <w:tcW w:type="dxa" w:w="2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Rollout</w:t>
            </w:r>
          </w:p>
        </w:tc>
        <w:tc>
          <w:tcPr>
            <w:tcW w:type="dxa" w:w="7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Everything is staged: each component starts in its simplest form with a designed, zero-rework upgrade path and a named trigger (see §4.1).</w:t>
            </w:r>
          </w:p>
        </w:tc>
      </w:tr>
      <w:tr>
        <w:tc>
          <w:tcPr>
            <w:tcW w:type="dxa" w:w="2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AI-assisted work</w:t>
            </w:r>
          </w:p>
        </w:tc>
        <w:tc>
          <w:tcPr>
            <w:tcW w:type="dxa" w:w="7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Repo acts as the control system: specs, tests, golden evals, CLAUDE.md. Speed with guardrails.</w:t>
            </w:r>
          </w:p>
        </w:tc>
      </w:tr>
    </w:tbl>
    <w:p>
      <w:pPr>
        <w:spacing w:after="120"/>
      </w:pPr>
    </w:p>
    <w:p>
      <w:pPr>
        <w:pStyle w:val="Heading1"/>
      </w:pPr>
      <w:r>
        <w:t xml:space="preserve">2. Confirmed Decisions from Slack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4660"/>
      </w:tblGrid>
      <w:tr>
        <w:trPr>
          <w:tblHeader/>
        </w:trPr>
        <w:tc>
          <w:tcPr>
            <w:tcW w:type="dxa" w:w="13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Topic</w:t>
            </w:r>
          </w:p>
        </w:tc>
        <w:tc>
          <w:tcPr>
            <w:tcW w:type="dxa" w:w="34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Decision (Mohammad)</w:t>
            </w:r>
          </w:p>
        </w:tc>
        <w:tc>
          <w:tcPr>
            <w:tcW w:type="dxa" w:w="466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Design consequence</w:t>
            </w:r>
          </w:p>
        </w:tc>
      </w:tr>
      <w:tr>
        <w:tc>
          <w:tcPr>
            <w:tcW w:type="dxa" w:w="1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GitHub</w:t>
            </w:r>
          </w:p>
        </w:tc>
        <w:tc>
          <w:tcPr>
            <w:tcW w:type="dxa" w:w="34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Lab org is Culture-and-Morality-Lab (recently inactive).</w:t>
            </w:r>
          </w:p>
        </w:tc>
        <w:tc>
          <w:tcPr>
            <w:tcW w:type="dxa" w:w="46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Production repo becomes lab-owned; personal repo can stay as a fast-iteration fork.</w:t>
            </w:r>
          </w:p>
        </w:tc>
      </w:tr>
      <w:tr>
        <w:tc>
          <w:tcPr>
            <w:tcW w:type="dxa" w:w="1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Billing</w:t>
            </w:r>
          </w:p>
        </w:tc>
        <w:tc>
          <w:tcPr>
            <w:tcW w:type="dxa" w:w="34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Prefers long-term services; annual over monthly.</w:t>
            </w:r>
          </w:p>
        </w:tc>
        <w:tc>
          <w:tcPr>
            <w:tcW w:type="dxa" w:w="46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Cost options must show annual-friendly, fixed-price services; avoid usage-billed surprises.</w:t>
            </w:r>
          </w:p>
        </w:tc>
      </w:tr>
      <w:tr>
        <w:tc>
          <w:tcPr>
            <w:tcW w:type="dxa" w:w="1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Sign-in</w:t>
            </w:r>
          </w:p>
        </w:tc>
        <w:tc>
          <w:tcPr>
            <w:tcW w:type="dxa" w:w="34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Offer both Google and username/password.</w:t>
            </w:r>
          </w:p>
        </w:tc>
        <w:tc>
          <w:tcPr>
            <w:tcW w:type="dxa" w:w="46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Managed auth provider required; custom password auth ruled out (hidden security + email work).</w:t>
            </w:r>
          </w:p>
        </w:tc>
      </w:tr>
      <w:tr>
        <w:tc>
          <w:tcPr>
            <w:tcW w:type="dxa" w:w="1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Language</w:t>
            </w:r>
          </w:p>
        </w:tc>
        <w:tc>
          <w:tcPr>
            <w:tcW w:type="dxa" w:w="34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English default; multilingual option; warn if a language is not covered by the multilingual model.</w:t>
            </w:r>
          </w:p>
        </w:tc>
        <w:tc>
          <w:tcPr>
            <w:tcW w:type="dxa" w:w="46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Language selector defaults to English; registry stores resolvable language sets; coverage warnings are a hard requirement.</w:t>
            </w:r>
          </w:p>
        </w:tc>
      </w:tr>
      <w:tr>
        <w:tc>
          <w:tcPr>
            <w:tcW w:type="dxa" w:w="1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Models</w:t>
            </w:r>
          </w:p>
        </w:tc>
        <w:tc>
          <w:tcPr>
            <w:tcW w:type="dxa" w:w="34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Stronger English model suggested: intfloat/e5-large.</w:t>
            </w:r>
          </w:p>
        </w:tc>
        <w:tc>
          <w:tcPr>
            <w:tcW w:type="dxa" w:w="46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Registry must encode model-specific usage (E5 prefixes); recommend e5-large-v2 (see §13).</w:t>
            </w:r>
          </w:p>
        </w:tc>
      </w:tr>
    </w:tbl>
    <w:p>
      <w:pPr>
        <w:spacing w:after="120"/>
      </w:pPr>
    </w:p>
    <w:p>
      <w:pPr>
        <w:pStyle w:val="Heading1"/>
      </w:pPr>
      <w:r>
        <w:t xml:space="preserve">3. Non-Negotiable Design Principles</w:t>
      </w:r>
    </w:p>
    <w:p>
      <w:pPr>
        <w:pStyle w:val="ListParagraph"/>
        <w:numPr>
          <w:ilvl w:val="0"/>
          <w:numId w:val="2"/>
        </w:numPr>
        <w:spacing w:after="60"/>
      </w:pPr>
      <w:r>
        <w:rPr>
          <w:b/>
          <w:bCs/>
          <w:i w:val="false"/>
          <w:iCs w:val="false"/>
          <w:sz w:val="21"/>
          <w:szCs w:val="21"/>
        </w:rPr>
        <w:t xml:space="preserve">Reproducibility first: </w:t>
      </w:r>
      <w:r>
        <w:rPr>
          <w:b w:val="false"/>
          <w:bCs w:val="false"/>
          <w:i w:val="false"/>
          <w:iCs w:val="false"/>
          <w:sz w:val="21"/>
          <w:szCs w:val="21"/>
        </w:rPr>
        <w:t xml:space="preserve">every run records model + pinned revision, construct snapshot, item hash, language, preprocessing, warnings, platform version, and a generated Python script.</w:t>
      </w:r>
    </w:p>
    <w:p>
      <w:pPr>
        <w:pStyle w:val="ListParagraph"/>
        <w:numPr>
          <w:ilvl w:val="0"/>
          <w:numId w:val="2"/>
        </w:numPr>
        <w:spacing w:after="60"/>
      </w:pPr>
      <w:r>
        <w:rPr>
          <w:b/>
          <w:bCs/>
          <w:i w:val="false"/>
          <w:iCs w:val="false"/>
          <w:sz w:val="21"/>
          <w:szCs w:val="21"/>
        </w:rPr>
        <w:t xml:space="preserve">Scientific honesty: </w:t>
      </w:r>
      <w:r>
        <w:rPr>
          <w:b w:val="false"/>
          <w:bCs w:val="false"/>
          <w:i w:val="false"/>
          <w:iCs w:val="false"/>
          <w:sz w:val="21"/>
          <w:szCs w:val="21"/>
        </w:rPr>
        <w:t xml:space="preserve">surface limitations, language/model assumptions, and reverse-scoring ambiguity instead of hiding them.</w:t>
      </w:r>
    </w:p>
    <w:p>
      <w:pPr>
        <w:pStyle w:val="ListParagraph"/>
        <w:numPr>
          <w:ilvl w:val="0"/>
          <w:numId w:val="2"/>
        </w:numPr>
        <w:spacing w:after="60"/>
      </w:pPr>
      <w:r>
        <w:rPr>
          <w:b/>
          <w:bCs/>
          <w:i w:val="false"/>
          <w:iCs w:val="false"/>
          <w:sz w:val="21"/>
          <w:szCs w:val="21"/>
        </w:rPr>
        <w:t xml:space="preserve">Boring architecture: </w:t>
      </w:r>
      <w:r>
        <w:rPr>
          <w:b w:val="false"/>
          <w:bCs w:val="false"/>
          <w:i w:val="false"/>
          <w:iCs w:val="false"/>
          <w:sz w:val="21"/>
          <w:szCs w:val="21"/>
        </w:rPr>
        <w:t xml:space="preserve">no Kubernetes, microservices, Redis, custom auth, or GPUs until real usage requires them; every simple choice has a named upgrade trigger.</w:t>
      </w:r>
    </w:p>
    <w:p>
      <w:pPr>
        <w:pStyle w:val="ListParagraph"/>
        <w:numPr>
          <w:ilvl w:val="0"/>
          <w:numId w:val="2"/>
        </w:numPr>
        <w:spacing w:after="60"/>
      </w:pPr>
      <w:r>
        <w:rPr>
          <w:b/>
          <w:bCs/>
          <w:i w:val="false"/>
          <w:iCs w:val="false"/>
          <w:sz w:val="21"/>
          <w:szCs w:val="21"/>
        </w:rPr>
        <w:t xml:space="preserve">Strangler refactor over rewrite: </w:t>
      </w:r>
      <w:r>
        <w:rPr>
          <w:b w:val="false"/>
          <w:bCs w:val="false"/>
          <w:i w:val="false"/>
          <w:iCs w:val="false"/>
          <w:sz w:val="21"/>
          <w:szCs w:val="21"/>
        </w:rPr>
        <w:t xml:space="preserve">the live demo must not rot while a parallel rewrite happens.</w:t>
      </w:r>
    </w:p>
    <w:p>
      <w:pPr>
        <w:pStyle w:val="ListParagraph"/>
        <w:numPr>
          <w:ilvl w:val="0"/>
          <w:numId w:val="2"/>
        </w:numPr>
        <w:spacing w:after="60"/>
      </w:pPr>
      <w:r>
        <w:rPr>
          <w:b/>
          <w:bCs/>
          <w:i w:val="false"/>
          <w:iCs w:val="false"/>
          <w:sz w:val="21"/>
          <w:szCs w:val="21"/>
        </w:rPr>
        <w:t xml:space="preserve">Repo as control system: </w:t>
      </w:r>
      <w:r>
        <w:rPr>
          <w:b w:val="false"/>
          <w:bCs w:val="false"/>
          <w:i w:val="false"/>
          <w:iCs w:val="false"/>
          <w:sz w:val="21"/>
          <w:szCs w:val="21"/>
        </w:rPr>
        <w:t xml:space="preserve">specs, contracts, tests, golden evals, and CLAUDE.md make AI-assisted coding safe.</w:t>
      </w:r>
    </w:p>
    <w:p>
      <w:pPr>
        <w:pStyle w:val="ListParagraph"/>
        <w:numPr>
          <w:ilvl w:val="0"/>
          <w:numId w:val="2"/>
        </w:numPr>
        <w:spacing w:after="60"/>
      </w:pPr>
      <w:r>
        <w:rPr>
          <w:b/>
          <w:bCs/>
          <w:i w:val="false"/>
          <w:iCs w:val="false"/>
          <w:sz w:val="21"/>
          <w:szCs w:val="21"/>
        </w:rPr>
        <w:t xml:space="preserve">Low-cost but durable: </w:t>
      </w:r>
      <w:r>
        <w:rPr>
          <w:b w:val="false"/>
          <w:bCs w:val="false"/>
          <w:i w:val="false"/>
          <w:iCs w:val="false"/>
          <w:sz w:val="21"/>
          <w:szCs w:val="21"/>
        </w:rPr>
        <w:t xml:space="preserve">predictable, annual-friendly services; do not overpay before usage exists.</w:t>
      </w:r>
    </w:p>
    <w:p>
      <w:pPr>
        <w:spacing w:after="120"/>
      </w:pPr>
    </w:p>
    <w:p>
      <w:pPr>
        <w:pStyle w:val="Heading1"/>
      </w:pPr>
      <w:r>
        <w:t xml:space="preserve">4. Scope and Capacity-Honest Cut-Line</w:t>
      </w:r>
    </w:p>
    <w:p>
      <w:pPr>
        <w:spacing w:after="120" w:before="0"/>
      </w:pPr>
      <w:r>
        <w:rPr>
          <w:b w:val="false"/>
          <w:bCs w:val="false"/>
          <w:i w:val="false"/>
          <w:iCs w:val="false"/>
          <w:sz w:val="21"/>
          <w:szCs w:val="21"/>
        </w:rPr>
        <w:t xml:space="preserve">This is built by one person at up to 20 hours/week. A design that lists every desirable feature as v1 is a wish list, not a plan. The cut-line below is the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600"/>
        <w:gridCol w:w="2560"/>
      </w:tblGrid>
      <w:tr>
        <w:trPr>
          <w:tblHeader/>
        </w:trPr>
        <w:tc>
          <w:tcPr>
            <w:tcW w:type="dxa" w:w="17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Phase</w:t>
            </w:r>
          </w:p>
        </w:tc>
        <w:tc>
          <w:tcPr>
            <w:tcW w:type="dxa" w:w="15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Target</w:t>
            </w:r>
          </w:p>
        </w:tc>
        <w:tc>
          <w:tcPr>
            <w:tcW w:type="dxa" w:w="36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Included</w:t>
            </w:r>
          </w:p>
        </w:tc>
        <w:tc>
          <w:tcPr>
            <w:tcW w:type="dxa" w:w="256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Deferred</w:t>
            </w:r>
          </w:p>
        </w:tc>
      </w:tr>
      <w:tr>
        <w:tc>
          <w:tcPr>
            <w:tcW w:type="dxa" w:w="1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0 — Visible progress</w:t>
            </w:r>
          </w:p>
        </w:tc>
        <w:tc>
          <w:tcPr>
            <w:tcW w:type="dxa" w:w="1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Week 1–2</w:t>
            </w:r>
          </w:p>
        </w:tc>
        <w:tc>
          <w:tcPr>
            <w:tcW w:type="dxa" w:w="36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Descriptive stats, warning engine, language selector, static model registry (MiniLM default + e5-large-v2 + multilingual-E5), Python script export, README/worklog.</w:t>
            </w:r>
          </w:p>
        </w:tc>
        <w:tc>
          <w:tcPr>
            <w:tcW w:type="dxa" w:w="25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Auth, persistence, admin dashboard, cloud migration.</w:t>
            </w:r>
          </w:p>
        </w:tc>
      </w:tr>
      <w:tr>
        <w:tc>
          <w:tcPr>
            <w:tcW w:type="dxa" w:w="1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1 — Engine hardening</w:t>
            </w:r>
          </w:p>
        </w:tc>
        <w:tc>
          <w:tcPr>
            <w:tcW w:type="dxa" w:w="1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Weeks 3–5</w:t>
            </w:r>
          </w:p>
        </w:tc>
        <w:tc>
          <w:tcPr>
            <w:tcW w:type="dxa" w:w="36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Extract ccr_engine package, golden datasets, ccr_wrapper parity tests, registry validation, pinned revisions, reproducibility metadata.</w:t>
            </w:r>
          </w:p>
        </w:tc>
        <w:tc>
          <w:tcPr>
            <w:tcW w:type="dxa" w:w="25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Accounts, large-upload infrastructure.</w:t>
            </w:r>
          </w:p>
        </w:tc>
      </w:tr>
      <w:tr>
        <w:tc>
          <w:tcPr>
            <w:tcW w:type="dxa" w:w="1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2 — Persistence + auth</w:t>
            </w:r>
          </w:p>
        </w:tc>
        <w:tc>
          <w:tcPr>
            <w:tcW w:type="dxa" w:w="1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Weeks 6–9 (after sign-off)</w:t>
            </w:r>
          </w:p>
        </w:tc>
        <w:tc>
          <w:tcPr>
            <w:tcW w:type="dxa" w:w="36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Managed auth (Google + password), projects, Postgres metadata + jobs, object storage, TTL cleanup.</w:t>
            </w:r>
          </w:p>
        </w:tc>
        <w:tc>
          <w:tcPr>
            <w:tcW w:type="dxa" w:w="25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Admin analytics, public content pages unless lab provides wording.</w:t>
            </w:r>
          </w:p>
        </w:tc>
      </w:tr>
      <w:tr>
        <w:tc>
          <w:tcPr>
            <w:tcW w:type="dxa" w:w="1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3 — Production-lite launch</w:t>
            </w:r>
          </w:p>
        </w:tc>
        <w:tc>
          <w:tcPr>
            <w:tcW w:type="dxa" w:w="1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After stability</w:t>
            </w:r>
          </w:p>
        </w:tc>
        <w:tc>
          <w:tcPr>
            <w:tcW w:type="dxa" w:w="36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Lab-owned repo, cost-approved hosting, backups, monitoring, privacy wording, verified-constructs workflow.</w:t>
            </w:r>
          </w:p>
        </w:tc>
        <w:tc>
          <w:tcPr>
            <w:tcW w:type="dxa" w:w="25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Kubernetes, GPU scaling, collaboration features.</w:t>
            </w:r>
          </w:p>
        </w:tc>
      </w:tr>
    </w:tbl>
    <w:p>
      <w:pPr>
        <w:spacing w:after="60"/>
      </w:pPr>
    </w:p>
    <w:p>
      <w:pPr>
        <w:pStyle w:val="Heading2"/>
      </w:pPr>
      <w:r>
        <w:t xml:space="preserve">4.1 Staged rollout map — start simple, upgrade without rework</w:t>
      </w:r>
    </w:p>
    <w:p>
      <w:pPr>
        <w:spacing w:after="120" w:before="0"/>
      </w:pPr>
      <w:r>
        <w:rPr>
          <w:b w:val="false"/>
          <w:bCs w:val="false"/>
          <w:i w:val="false"/>
          <w:iCs w:val="false"/>
          <w:sz w:val="21"/>
          <w:szCs w:val="21"/>
        </w:rPr>
        <w:t xml:space="preserve">Every component starts in its simplest workable form and has a designed upgrade path with a named trigger. “Zero rework” is an engineering requirement, not a hope: each start-state is chosen so the upgrade is additive (same interface, same data model), never a migration of regret.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900"/>
        <w:gridCol w:w="2460"/>
      </w:tblGrid>
      <w:tr>
        <w:trPr>
          <w:tblHeader/>
        </w:trPr>
        <w:tc>
          <w:tcPr>
            <w:tcW w:type="dxa" w:w="13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Area</w:t>
            </w:r>
          </w:p>
        </w:tc>
        <w:tc>
          <w:tcPr>
            <w:tcW w:type="dxa" w:w="27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Start with (day one)</w:t>
            </w:r>
          </w:p>
        </w:tc>
        <w:tc>
          <w:tcPr>
            <w:tcW w:type="dxa" w:w="29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Upgrade (and its trigger)</w:t>
            </w:r>
          </w:p>
        </w:tc>
        <w:tc>
          <w:tcPr>
            <w:tcW w:type="dxa" w:w="246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Why zero rework</w:t>
            </w:r>
          </w:p>
        </w:tc>
      </w:tr>
      <w:tr>
        <w:tc>
          <w:tcPr>
            <w:tcW w:type="dxa" w:w="1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Auth</w:t>
            </w:r>
          </w:p>
        </w:tc>
        <w:tc>
          <w:tcPr>
            <w:tcW w:type="dxa" w:w="2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Supabase Auth with Google sign-in ONLY — no email infrastructure needed; covers virtually all UMass users.</w:t>
            </w:r>
          </w:p>
        </w:tc>
        <w:tc>
          <w:tcPr>
            <w:tcW w:type="dxa" w:w="2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Enable email/password in the same provider (configure email templates). Trigger: first non-Google user, or lab timeline.</w:t>
            </w:r>
          </w:p>
        </w:tc>
        <w:tc>
          <w:tcPr>
            <w:tcW w:type="dxa" w:w="2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Same provider, same users table — a second flow is switched on, nothing is migrated.</w:t>
            </w:r>
          </w:p>
        </w:tc>
      </w:tr>
      <w:tr>
        <w:tc>
          <w:tcPr>
            <w:tcW w:type="dxa" w:w="1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Database</w:t>
            </w:r>
          </w:p>
        </w:tc>
        <w:tc>
          <w:tcPr>
            <w:tcW w:type="dxa" w:w="2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SQLite (running demo) until Phase 2.</w:t>
            </w:r>
          </w:p>
        </w:tc>
        <w:tc>
          <w:tcPr>
            <w:tcW w:type="dxa" w:w="2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Supabase Postgres at Phase 2 start. Trigger: accounts/persistence work begins.</w:t>
            </w:r>
          </w:p>
        </w:tc>
        <w:tc>
          <w:tcPr>
            <w:tcW w:type="dxa" w:w="2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Schema is Postgres-portable by design; Alembic migrations from day one of Phase 2.</w:t>
            </w:r>
          </w:p>
        </w:tc>
      </w:tr>
      <w:tr>
        <w:tc>
          <w:tcPr>
            <w:tcW w:type="dxa" w:w="1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Job execution</w:t>
            </w:r>
          </w:p>
        </w:tc>
        <w:tc>
          <w:tcPr>
            <w:tcW w:type="dxa" w:w="2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Inline for anonymous (hard caps) + ONE worker on the Postgres jobs table.</w:t>
            </w:r>
          </w:p>
        </w:tc>
        <w:tc>
          <w:tcPr>
            <w:tcW w:type="dxa" w:w="2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More workers (same table — SKIP LOCKED is already concurrency-safe); Celery/Redis only if scheduling or throughput demands. Trigger: sustained queue depth.</w:t>
            </w:r>
          </w:p>
        </w:tc>
        <w:tc>
          <w:tcPr>
            <w:tcW w:type="dxa" w:w="2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Job state lives in the DB, not the worker; the executor is swappable without touching the API.</w:t>
            </w:r>
          </w:p>
        </w:tc>
      </w:tr>
      <w:tr>
        <w:tc>
          <w:tcPr>
            <w:tcW w:type="dxa" w:w="1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File storage</w:t>
            </w:r>
          </w:p>
        </w:tc>
        <w:tc>
          <w:tcPr>
            <w:tcW w:type="dxa" w:w="2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Local disk behind a storage interface (save/get/delete/signed-URL).</w:t>
            </w:r>
          </w:p>
        </w:tc>
        <w:tc>
          <w:tcPr>
            <w:tcW w:type="dxa" w:w="2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Object storage (R2) at Phase 2; presigned direct uploads when files outgrow the API. Trigger: persistence / large files.</w:t>
            </w:r>
          </w:p>
        </w:tc>
        <w:tc>
          <w:tcPr>
            <w:tcW w:type="dxa" w:w="2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All access already goes through the interface; the backend is a config change.</w:t>
            </w:r>
          </w:p>
        </w:tc>
      </w:tr>
      <w:tr>
        <w:tc>
          <w:tcPr>
            <w:tcW w:type="dxa" w:w="1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Models</w:t>
            </w:r>
          </w:p>
        </w:tc>
        <w:tc>
          <w:tcPr>
            <w:tcW w:type="dxa" w:w="2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MiniLM only resident (CCR reference model; fast tier).</w:t>
            </w:r>
          </w:p>
        </w:tc>
        <w:tc>
          <w:tcPr>
            <w:tcW w:type="dxa" w:w="2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e5-large-v2 and multilingual-E5 as registry entries with lazy loading; GPU worker only if latency actually hurts. Trigger: user demand / measured latency.</w:t>
            </w:r>
          </w:p>
        </w:tc>
        <w:tc>
          <w:tcPr>
            <w:tcW w:type="dxa" w:w="2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Registry-driven: adding a model is a YAML entry + cache warm, not code.</w:t>
            </w:r>
          </w:p>
        </w:tc>
      </w:tr>
      <w:tr>
        <w:tc>
          <w:tcPr>
            <w:tcW w:type="dxa" w:w="1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Language support</w:t>
            </w:r>
          </w:p>
        </w:tc>
        <w:tc>
          <w:tcPr>
            <w:tcW w:type="dxa" w:w="2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English default, selector present.</w:t>
            </w:r>
          </w:p>
        </w:tc>
        <w:tc>
          <w:tcPr>
            <w:tcW w:type="dxa" w:w="2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Multilingual path with detection + coverage warnings. Trigger: first non-English corpus need.</w:t>
            </w:r>
          </w:p>
        </w:tc>
        <w:tc>
          <w:tcPr>
            <w:tcW w:type="dxa" w:w="2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Language sets already live in the registry; warnings engine already structured.</w:t>
            </w:r>
          </w:p>
        </w:tc>
      </w:tr>
      <w:tr>
        <w:tc>
          <w:tcPr>
            <w:tcW w:type="dxa" w:w="1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Anonymous tier</w:t>
            </w:r>
          </w:p>
        </w:tc>
        <w:tc>
          <w:tcPr>
            <w:tcW w:type="dxa" w:w="2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Sample data + tiny uploads, strict starter caps (§5.1).</w:t>
            </w:r>
          </w:p>
        </w:tc>
        <w:tc>
          <w:tcPr>
            <w:tcW w:type="dxa" w:w="2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Raise caps or move anonymous runs onto the queue. Trigger: abuse or load evidence.</w:t>
            </w:r>
          </w:p>
        </w:tc>
        <w:tc>
          <w:tcPr>
            <w:tcW w:type="dxa" w:w="2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Caps are env-configurable; run path is the same engine either way.</w:t>
            </w:r>
          </w:p>
        </w:tc>
      </w:tr>
      <w:tr>
        <w:tc>
          <w:tcPr>
            <w:tcW w:type="dxa" w:w="1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Construct library</w:t>
            </w:r>
          </w:p>
        </w:tc>
        <w:tc>
          <w:tcPr>
            <w:tcW w:type="dxa" w:w="2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Seeded, versioned YAML files with citations, validated by script (no UI).</w:t>
            </w:r>
          </w:p>
        </w:tc>
        <w:tc>
          <w:tcPr>
            <w:tcW w:type="dxa" w:w="2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Verification workflow, then admin UI in Phase 3. Trigger: assistant's questionnaires arriving in volume.</w:t>
            </w:r>
          </w:p>
        </w:tc>
        <w:tc>
          <w:tcPr>
            <w:tcW w:type="dxa" w:w="2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Same construct schema throughout; the admin UI is a veneer over the library package.</w:t>
            </w:r>
          </w:p>
        </w:tc>
      </w:tr>
      <w:tr>
        <w:tc>
          <w:tcPr>
            <w:tcW w:type="dxa" w:w="1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Frontend</w:t>
            </w:r>
          </w:p>
        </w:tc>
        <w:tc>
          <w:tcPr>
            <w:tcW w:type="dxa" w:w="2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Current React/Vite JavaScript.</w:t>
            </w:r>
          </w:p>
        </w:tc>
        <w:tc>
          <w:tcPr>
            <w:tcW w:type="dxa" w:w="2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TypeScript during Phase 2 cleanup; apps/ split only when auth forces API changes. Trigger: Phase 2.</w:t>
            </w:r>
          </w:p>
        </w:tc>
        <w:tc>
          <w:tcPr>
            <w:tcW w:type="dxa" w:w="2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No behavior change — typing and layout are additive refactors behind tests.</w:t>
            </w:r>
          </w:p>
        </w:tc>
      </w:tr>
      <w:tr>
        <w:tc>
          <w:tcPr>
            <w:tcW w:type="dxa" w:w="1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Email</w:t>
            </w:r>
          </w:p>
        </w:tc>
        <w:tc>
          <w:tcPr>
            <w:tcW w:type="dxa" w:w="2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None (Google-only auth requires none).</w:t>
            </w:r>
          </w:p>
        </w:tc>
        <w:tc>
          <w:tcPr>
            <w:tcW w:type="dxa" w:w="2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Provider-bundled email when password flow is enabled; Resend/Postmark only if job-completion notifications are wanted. Trigger: password flow / user request.</w:t>
            </w:r>
          </w:p>
        </w:tc>
        <w:tc>
          <w:tcPr>
            <w:tcW w:type="dxa" w:w="2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Email enters only through the auth provider's templates — never custom SMTP code.</w:t>
            </w:r>
          </w:p>
        </w:tc>
      </w:tr>
      <w:tr>
        <w:tc>
          <w:tcPr>
            <w:tcW w:type="dxa" w:w="1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Hosting</w:t>
            </w:r>
          </w:p>
        </w:tc>
        <w:tc>
          <w:tcPr>
            <w:tcW w:type="dxa" w:w="2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HF Space free tier (demo/staging).</w:t>
            </w:r>
          </w:p>
        </w:tc>
        <w:tc>
          <w:tcPr>
            <w:tcW w:type="dxa" w:w="2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Option B production-lite after §22 sign-off; custom domain + backups at launch. Trigger: PI approval.</w:t>
            </w:r>
          </w:p>
        </w:tc>
        <w:tc>
          <w:tcPr>
            <w:tcW w:type="dxa" w:w="2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Everything is containerized; the image moves, the code doesn't change.</w:t>
            </w:r>
          </w:p>
        </w:tc>
      </w:tr>
      <w:tr>
        <w:tc>
          <w:tcPr>
            <w:tcW w:type="dxa" w:w="1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Repo ownership</w:t>
            </w:r>
          </w:p>
        </w:tc>
        <w:tc>
          <w:tcPr>
            <w:tcW w:type="dxa" w:w="2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Personal repo for fast iteration.</w:t>
            </w:r>
          </w:p>
        </w:tc>
        <w:tc>
          <w:tcPr>
            <w:tcW w:type="dxa" w:w="2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Transfer to Culture-and-Morality-Lab org at the end of Phase 1 (stable + tested). Trigger: engine hardening complete.</w:t>
            </w:r>
          </w:p>
        </w:tc>
        <w:tc>
          <w:tcPr>
            <w:tcW w:type="dxa" w:w="2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GitHub transfer preserves history, issues, and remotes.</w:t>
            </w:r>
          </w:p>
        </w:tc>
      </w:tr>
      <w:tr>
        <w:tc>
          <w:tcPr>
            <w:tcW w:type="dxa" w:w="1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Monitoring</w:t>
            </w:r>
          </w:p>
        </w:tc>
        <w:tc>
          <w:tcPr>
            <w:tcW w:type="dxa" w:w="2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Uptime check + error logs + weekly manual failed-jobs review.</w:t>
            </w:r>
          </w:p>
        </w:tc>
        <w:tc>
          <w:tcPr>
            <w:tcW w:type="dxa" w:w="2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Alerting and digests when someone depends on the platform daily. Trigger: real users.</w:t>
            </w:r>
          </w:p>
        </w:tc>
        <w:tc>
          <w:tcPr>
            <w:tcW w:type="dxa" w:w="2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Structured logging from day one means later tooling reads what already exists.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C8" w:sz="1"/>
              <w:left w:val="single" w:color="C8C8C8" w:sz="1"/>
              <w:bottom w:val="single" w:color="C8C8C8" w:sz="1"/>
              <w:right w:val="single" w:color="C8C8C8" w:sz="1"/>
            </w:tcBorders>
            <w:shd w:fill="F6EBEF" w:val="clear"/>
            <w:tcMar>
              <w:top w:type="dxa" w:w="100"/>
              <w:left w:type="dxa" w:w="140"/>
              <w:bottom w:type="dxa" w:w="100"/>
              <w:right w:type="dxa" w:w="140"/>
            </w:tcMar>
          </w:tcPr>
          <w:p>
            <w:pPr>
              <w:spacing w:after="60"/>
            </w:pPr>
            <w:r>
              <w:rPr>
                <w:b/>
                <w:bCs/>
                <w:i w:val="false"/>
                <w:iCs w:val="false"/>
                <w:sz w:val="21"/>
                <w:szCs w:val="21"/>
              </w:rPr>
              <w:t xml:space="preserve">The principle behind every row</w:t>
            </w:r>
          </w:p>
          <w:p>
            <w:pPr>
              <w:spacing w:after="40"/>
            </w:pPr>
            <w:r>
              <w:rPr>
                <w:b w:val="false"/>
                <w:bCs w:val="false"/>
                <w:i w:val="false"/>
                <w:iCs w:val="false"/>
                <w:sz w:val="20"/>
                <w:szCs w:val="20"/>
              </w:rPr>
              <w:t xml:space="preserve">Own the boring state you already have (Postgres jobs, YAML constructs, local files behind an interface); outsource the dangerous flows you don't want to own (password auth, email delivery, backups). Start-states are chosen so upgrades are additive — if an upgrade would require a migration of user data or a rewrite of an interface, the start-state was wrong and was rejected.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In scope for production-lite v1</w:t>
            </w:r>
          </w:p>
        </w:tc>
        <w:tc>
          <w:tcPr>
            <w:tcW w:type="dxa" w:w="468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Not in scope for v1</w:t>
            </w:r>
          </w:p>
        </w:tc>
      </w:tr>
      <w:tr>
        <w:tc>
          <w:tcPr>
            <w:tcW w:type="dxa" w:w="468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Anonymous light analysis with strict limits</w:t>
            </w:r>
          </w:p>
        </w:tc>
        <w:tc>
          <w:tcPr>
            <w:tcW w:type="dxa" w:w="468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Public marketplace of datasets or constructs</w:t>
            </w:r>
          </w:p>
        </w:tc>
      </w:tr>
      <w:tr>
        <w:tc>
          <w:tcPr>
            <w:tcW w:type="dxa" w:w="468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Login for larger/multiple uploads (Google + password)</w:t>
            </w:r>
          </w:p>
        </w:tc>
        <w:tc>
          <w:tcPr>
            <w:tcW w:type="dxa" w:w="468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Payment system</w:t>
            </w:r>
          </w:p>
        </w:tc>
      </w:tr>
      <w:tr>
        <w:tc>
          <w:tcPr>
            <w:tcW w:type="dxa" w:w="468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CCR analysis, warnings, stats, script export</w:t>
            </w:r>
          </w:p>
        </w:tc>
        <w:tc>
          <w:tcPr>
            <w:tcW w:type="dxa" w:w="468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Automatic causal or clinical interpretation</w:t>
            </w:r>
          </w:p>
        </w:tc>
      </w:tr>
      <w:tr>
        <w:tc>
          <w:tcPr>
            <w:tcW w:type="dxa" w:w="468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Predefined (verified) and custom constructs</w:t>
            </w:r>
          </w:p>
        </w:tc>
        <w:tc>
          <w:tcPr>
            <w:tcW w:type="dxa" w:w="468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LLM-generated interpretation as default output</w:t>
            </w:r>
          </w:p>
        </w:tc>
      </w:tr>
      <w:tr>
        <w:tc>
          <w:tcPr>
            <w:tcW w:type="dxa" w:w="468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Model registry: English default + multilingual options</w:t>
            </w:r>
          </w:p>
        </w:tc>
        <w:tc>
          <w:tcPr>
            <w:tcW w:type="dxa" w:w="468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GPU or distributed inference</w:t>
            </w:r>
          </w:p>
        </w:tc>
      </w:tr>
      <w:tr>
        <w:tc>
          <w:tcPr>
            <w:tcW w:type="dxa" w:w="468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Postgres-backed async jobs</w:t>
            </w:r>
          </w:p>
        </w:tc>
        <w:tc>
          <w:tcPr>
            <w:tcW w:type="dxa" w:w="468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Kubernetes or microservices</w:t>
            </w:r>
          </w:p>
        </w:tc>
      </w:tr>
    </w:tbl>
    <w:p>
      <w:pPr>
        <w:spacing w:after="120"/>
      </w:pPr>
    </w:p>
    <w:p>
      <w:pPr>
        <w:pStyle w:val="Heading1"/>
      </w:pPr>
      <w:r>
        <w:t xml:space="preserve">5. User Roles and Product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360"/>
      </w:tblGrid>
      <w:tr>
        <w:trPr>
          <w:tblHeader/>
        </w:trPr>
        <w:tc>
          <w:tcPr>
            <w:tcW w:type="dxa" w:w="17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Role</w:t>
            </w:r>
          </w:p>
        </w:tc>
        <w:tc>
          <w:tcPr>
            <w:tcW w:type="dxa" w:w="43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Can do</w:t>
            </w:r>
          </w:p>
        </w:tc>
        <w:tc>
          <w:tcPr>
            <w:tcW w:type="dxa" w:w="336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Limits</w:t>
            </w:r>
          </w:p>
        </w:tc>
      </w:tr>
      <w:tr>
        <w:tc>
          <w:tcPr>
            <w:tcW w:type="dxa" w:w="1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Anonymous user</w:t>
            </w:r>
          </w:p>
        </w:tc>
        <w:tc>
          <w:tcPr>
            <w:tcW w:type="dxa" w:w="4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Run the sample dataset or one small upload; inspect warnings; download outputs.</w:t>
            </w:r>
          </w:p>
        </w:tc>
        <w:tc>
          <w:tcPr>
            <w:tcW w:type="dxa" w:w="33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No saved projects; strict file/row caps; short retention; clear no-sensitive-data warning.</w:t>
            </w:r>
          </w:p>
        </w:tc>
      </w:tr>
      <w:tr>
        <w:tc>
          <w:tcPr>
            <w:tcW w:type="dxa" w:w="1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Registered researcher</w:t>
            </w:r>
          </w:p>
        </w:tc>
        <w:tc>
          <w:tcPr>
            <w:tcW w:type="dxa" w:w="4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Create projects, upload multiple files, save run history, define custom constructs, export scripts/results.</w:t>
            </w:r>
          </w:p>
        </w:tc>
        <w:tc>
          <w:tcPr>
            <w:tcW w:type="dxa" w:w="33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Quotas and retention policy apply.</w:t>
            </w:r>
          </w:p>
        </w:tc>
      </w:tr>
      <w:tr>
        <w:tc>
          <w:tcPr>
            <w:tcW w:type="dxa" w:w="1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Lab admin</w:t>
            </w:r>
          </w:p>
        </w:tc>
        <w:tc>
          <w:tcPr>
            <w:tcW w:type="dxa" w:w="4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Verify constructs (wording, reverse-scored flags, citations), manage library entries, review failed jobs.</w:t>
            </w:r>
          </w:p>
        </w:tc>
        <w:tc>
          <w:tcPr>
            <w:tcW w:type="dxa" w:w="33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No casual inspection of user-uploaded text; support access is logged.</w:t>
            </w:r>
          </w:p>
        </w:tc>
      </w:tr>
      <w:tr>
        <w:tc>
          <w:tcPr>
            <w:tcW w:type="dxa" w:w="1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Maintainer</w:t>
            </w:r>
          </w:p>
        </w:tc>
        <w:tc>
          <w:tcPr>
            <w:tcW w:type="dxa" w:w="4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Deploy, migrate, inspect logs, rotate secrets, manage model cache.</w:t>
            </w:r>
          </w:p>
        </w:tc>
        <w:tc>
          <w:tcPr>
            <w:tcW w:type="dxa" w:w="33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Operational role; does not decide scoring methodology alone.</w:t>
            </w:r>
          </w:p>
        </w:tc>
      </w:tr>
    </w:tbl>
    <w:p>
      <w:pPr>
        <w:spacing w:after="60"/>
      </w:pPr>
    </w:p>
    <w:p>
      <w:pPr>
        <w:pStyle w:val="Heading2"/>
      </w:pPr>
      <w:r>
        <w:t xml:space="preserve">5.1 Anonymous light workflow (runs inline, strictly capped)</w:t>
      </w:r>
    </w:p>
    <w:p>
      <w:pPr>
        <w:pStyle w:val="ListParagraph"/>
        <w:numPr>
          <w:ilvl w:val="0"/>
          <w:numId w:val="3"/>
        </w:numPr>
        <w:spacing w:after="60"/>
      </w:pPr>
      <w:r>
        <w:rPr>
          <w:b w:val="false"/>
          <w:bCs w:val="false"/>
          <w:i w:val="false"/>
          <w:iCs w:val="false"/>
          <w:sz w:val="21"/>
          <w:szCs w:val="21"/>
        </w:rPr>
        <w:t xml:space="preserve">User opens Try CCR and loads sample data or uploads one small CSV/XLSX.</w:t>
      </w:r>
    </w:p>
    <w:p>
      <w:pPr>
        <w:pStyle w:val="ListParagraph"/>
        <w:numPr>
          <w:ilvl w:val="0"/>
          <w:numId w:val="3"/>
        </w:numPr>
        <w:spacing w:after="60"/>
      </w:pPr>
      <w:r>
        <w:rPr>
          <w:b w:val="false"/>
          <w:bCs w:val="false"/>
          <w:i w:val="false"/>
          <w:iCs w:val="false"/>
          <w:sz w:val="21"/>
          <w:szCs w:val="21"/>
        </w:rPr>
        <w:t xml:space="preserve">User selects text column, language, construct, and model.</w:t>
      </w:r>
    </w:p>
    <w:p>
      <w:pPr>
        <w:pStyle w:val="ListParagraph"/>
        <w:numPr>
          <w:ilvl w:val="0"/>
          <w:numId w:val="3"/>
        </w:numPr>
        <w:spacing w:after="60"/>
      </w:pPr>
      <w:r>
        <w:rPr>
          <w:b w:val="false"/>
          <w:bCs w:val="false"/>
          <w:i w:val="false"/>
          <w:iCs w:val="false"/>
          <w:sz w:val="21"/>
          <w:szCs w:val="21"/>
        </w:rPr>
        <w:t xml:space="preserve">System validates the file and runs the warning engine.</w:t>
      </w:r>
    </w:p>
    <w:p>
      <w:pPr>
        <w:pStyle w:val="ListParagraph"/>
        <w:numPr>
          <w:ilvl w:val="0"/>
          <w:numId w:val="3"/>
        </w:numPr>
        <w:spacing w:after="60"/>
      </w:pPr>
      <w:r>
        <w:rPr>
          <w:b w:val="false"/>
          <w:bCs w:val="false"/>
          <w:i w:val="false"/>
          <w:iCs w:val="false"/>
          <w:sz w:val="21"/>
          <w:szCs w:val="21"/>
        </w:rPr>
        <w:t xml:space="preserve">Analysis runs </w:t>
      </w:r>
      <w:r>
        <w:rPr>
          <w:b/>
          <w:bCs/>
          <w:i w:val="false"/>
          <w:iCs w:val="false"/>
          <w:sz w:val="21"/>
          <w:szCs w:val="21"/>
        </w:rPr>
        <w:t xml:space="preserve">inline in the web process</w:t>
      </w:r>
      <w:r>
        <w:rPr>
          <w:b w:val="false"/>
          <w:bCs w:val="false"/>
          <w:i w:val="false"/>
          <w:iCs w:val="false"/>
          <w:sz w:val="21"/>
          <w:szCs w:val="21"/>
        </w:rPr>
        <w:t xml:space="preserve"> — permitted only because anonymous caps guarantee small inputs; anything above the caps requires sign-in.</w:t>
      </w:r>
    </w:p>
    <w:p>
      <w:pPr>
        <w:pStyle w:val="ListParagraph"/>
        <w:numPr>
          <w:ilvl w:val="0"/>
          <w:numId w:val="3"/>
        </w:numPr>
        <w:spacing w:after="60"/>
      </w:pPr>
      <w:r>
        <w:rPr>
          <w:b w:val="false"/>
          <w:bCs w:val="false"/>
          <w:i w:val="false"/>
          <w:iCs w:val="false"/>
          <w:sz w:val="21"/>
          <w:szCs w:val="21"/>
        </w:rPr>
        <w:t xml:space="preserve">Results: item-level loadings, descriptive stats, distribution, top/bottom texts, warnings, downloads.</w:t>
      </w:r>
    </w:p>
    <w:p>
      <w:pPr>
        <w:pStyle w:val="ListParagraph"/>
        <w:numPr>
          <w:ilvl w:val="0"/>
          <w:numId w:val="3"/>
        </w:numPr>
        <w:spacing w:after="60"/>
      </w:pPr>
      <w:r>
        <w:rPr>
          <w:b w:val="false"/>
          <w:bCs w:val="false"/>
          <w:i w:val="false"/>
          <w:iCs w:val="false"/>
          <w:sz w:val="21"/>
          <w:szCs w:val="21"/>
        </w:rPr>
        <w:t xml:space="preserve">Anonymous uploads AND anonymous run rows expire automatically on the same TTL.</w:t>
      </w:r>
    </w:p>
    <w:p>
      <w:pPr>
        <w:spacing w:after="60"/>
      </w:pPr>
    </w:p>
    <w:p>
      <w:pPr>
        <w:spacing w:after="120" w:before="0"/>
      </w:pPr>
      <w:r>
        <w:rPr>
          <w:b/>
          <w:bCs/>
          <w:i w:val="false"/>
          <w:iCs w:val="false"/>
          <w:sz w:val="21"/>
          <w:szCs w:val="21"/>
        </w:rPr>
        <w:t xml:space="preserve">Default anonymous caps (starter values — enforceable on day one; PI may adjust in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Limit</w:t>
            </w:r>
          </w:p>
        </w:tc>
        <w:tc>
          <w:tcPr>
            <w:tcW w:type="dxa" w:w="468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Initial value</w:t>
            </w:r>
          </w:p>
        </w:tc>
      </w:tr>
      <w:tr>
        <w:tc>
          <w:tcPr>
            <w:tcW w:type="dxa" w:w="468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Max file size</w:t>
            </w:r>
          </w:p>
        </w:tc>
        <w:tc>
          <w:tcPr>
            <w:tcW w:type="dxa" w:w="468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2 MB</w:t>
            </w:r>
          </w:p>
        </w:tc>
      </w:tr>
      <w:tr>
        <w:tc>
          <w:tcPr>
            <w:tcW w:type="dxa" w:w="468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Max rows</w:t>
            </w:r>
          </w:p>
        </w:tc>
        <w:tc>
          <w:tcPr>
            <w:tcW w:type="dxa" w:w="468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500</w:t>
            </w:r>
          </w:p>
        </w:tc>
      </w:tr>
      <w:tr>
        <w:tc>
          <w:tcPr>
            <w:tcW w:type="dxa" w:w="468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Max text length per row</w:t>
            </w:r>
          </w:p>
        </w:tc>
        <w:tc>
          <w:tcPr>
            <w:tcW w:type="dxa" w:w="468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5,000 characters</w:t>
            </w:r>
          </w:p>
        </w:tc>
      </w:tr>
      <w:tr>
        <w:tc>
          <w:tcPr>
            <w:tcW w:type="dxa" w:w="468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Max runtime per run</w:t>
            </w:r>
          </w:p>
        </w:tc>
        <w:tc>
          <w:tcPr>
            <w:tcW w:type="dxa" w:w="468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60 seconds (hard timeout)</w:t>
            </w:r>
          </w:p>
        </w:tc>
      </w:tr>
      <w:tr>
        <w:tc>
          <w:tcPr>
            <w:tcW w:type="dxa" w:w="468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Max anonymous runs per IP per day</w:t>
            </w:r>
          </w:p>
        </w:tc>
        <w:tc>
          <w:tcPr>
            <w:tcW w:type="dxa" w:w="468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10</w:t>
            </w:r>
          </w:p>
        </w:tc>
      </w:tr>
      <w:tr>
        <w:tc>
          <w:tcPr>
            <w:tcW w:type="dxa" w:w="468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Retention (files + run rows)</w:t>
            </w:r>
          </w:p>
        </w:tc>
        <w:tc>
          <w:tcPr>
            <w:tcW w:type="dxa" w:w="468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48 hours (24–72 h range, PI to confirm)</w:t>
            </w:r>
          </w:p>
        </w:tc>
      </w:tr>
      <w:tr>
        <w:tc>
          <w:tcPr>
            <w:tcW w:type="dxa" w:w="468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Models available anonymously</w:t>
            </w:r>
          </w:p>
        </w:tc>
        <w:tc>
          <w:tcPr>
            <w:tcW w:type="dxa" w:w="468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MiniLM only (fast tier); heavy models require sign-in</w:t>
            </w:r>
          </w:p>
        </w:tc>
      </w:tr>
    </w:tbl>
    <w:p>
      <w:pPr>
        <w:pStyle w:val="Heading2"/>
      </w:pPr>
      <w:r>
        <w:t xml:space="preserve">5.2 Registered project workflow (runs via the job queue)</w:t>
      </w:r>
    </w:p>
    <w:p>
      <w:pPr>
        <w:pStyle w:val="ListParagraph"/>
        <w:numPr>
          <w:ilvl w:val="0"/>
          <w:numId w:val="4"/>
        </w:numPr>
        <w:spacing w:after="60"/>
      </w:pPr>
      <w:r>
        <w:rPr>
          <w:b w:val="false"/>
          <w:bCs w:val="false"/>
          <w:i w:val="false"/>
          <w:iCs w:val="false"/>
          <w:sz w:val="21"/>
          <w:szCs w:val="21"/>
        </w:rPr>
        <w:t xml:space="preserve">User signs in with Google or email/password through managed auth.</w:t>
      </w:r>
    </w:p>
    <w:p>
      <w:pPr>
        <w:pStyle w:val="ListParagraph"/>
        <w:numPr>
          <w:ilvl w:val="0"/>
          <w:numId w:val="4"/>
        </w:numPr>
        <w:spacing w:after="60"/>
      </w:pPr>
      <w:r>
        <w:rPr>
          <w:b w:val="false"/>
          <w:bCs w:val="false"/>
          <w:i w:val="false"/>
          <w:iCs w:val="false"/>
          <w:sz w:val="21"/>
          <w:szCs w:val="21"/>
        </w:rPr>
        <w:t xml:space="preserve">User creates a project and uploads one or more datasets.</w:t>
      </w:r>
    </w:p>
    <w:p>
      <w:pPr>
        <w:pStyle w:val="ListParagraph"/>
        <w:numPr>
          <w:ilvl w:val="0"/>
          <w:numId w:val="4"/>
        </w:numPr>
        <w:spacing w:after="60"/>
      </w:pPr>
      <w:r>
        <w:rPr>
          <w:b w:val="false"/>
          <w:bCs w:val="false"/>
          <w:i w:val="false"/>
          <w:iCs w:val="false"/>
          <w:sz w:val="21"/>
          <w:szCs w:val="21"/>
        </w:rPr>
        <w:t xml:space="preserve">User selects dataset, text column, language, construct, and model.</w:t>
      </w:r>
    </w:p>
    <w:p>
      <w:pPr>
        <w:pStyle w:val="ListParagraph"/>
        <w:numPr>
          <w:ilvl w:val="0"/>
          <w:numId w:val="4"/>
        </w:numPr>
        <w:spacing w:after="60"/>
      </w:pPr>
      <w:r>
        <w:rPr>
          <w:b w:val="false"/>
          <w:bCs w:val="false"/>
          <w:i w:val="false"/>
          <w:iCs w:val="false"/>
          <w:sz w:val="21"/>
          <w:szCs w:val="21"/>
        </w:rPr>
        <w:t xml:space="preserve">Backend creates a durable job row in Postgres.</w:t>
      </w:r>
    </w:p>
    <w:p>
      <w:pPr>
        <w:pStyle w:val="ListParagraph"/>
        <w:numPr>
          <w:ilvl w:val="0"/>
          <w:numId w:val="4"/>
        </w:numPr>
        <w:spacing w:after="60"/>
      </w:pPr>
      <w:r>
        <w:rPr>
          <w:b w:val="false"/>
          <w:bCs w:val="false"/>
          <w:i w:val="false"/>
          <w:iCs w:val="false"/>
          <w:sz w:val="21"/>
          <w:szCs w:val="21"/>
        </w:rPr>
        <w:t xml:space="preserve">Worker claims the job (SKIP LOCKED + lease), runs ccr_engine, writes outputs to object storage.</w:t>
      </w:r>
    </w:p>
    <w:p>
      <w:pPr>
        <w:pStyle w:val="ListParagraph"/>
        <w:numPr>
          <w:ilvl w:val="0"/>
          <w:numId w:val="4"/>
        </w:numPr>
        <w:spacing w:after="60"/>
      </w:pPr>
      <w:r>
        <w:rPr>
          <w:b w:val="false"/>
          <w:bCs w:val="false"/>
          <w:i w:val="false"/>
          <w:iCs w:val="false"/>
          <w:sz w:val="21"/>
          <w:szCs w:val="21"/>
        </w:rPr>
        <w:t xml:space="preserve">User views the run dashboard and exports results, metadata, warnings, and the reproduction script.</w:t>
      </w:r>
    </w:p>
    <w:p>
      <w:pPr>
        <w:spacing w:after="120"/>
      </w:pPr>
    </w:p>
    <w:p>
      <w:pPr>
        <w:pStyle w:val="Heading1"/>
      </w:pPr>
      <w:r>
        <w:t xml:space="preserve">6. Architecture Overview</w:t>
      </w:r>
    </w:p>
    <w:p>
      <w:pPr>
        <w:shd w:fill="F4F4F4" w:val="clear"/>
        <w:spacing w:after="0" w:line="240"/>
      </w:pPr>
      <w:r>
        <w:rPr>
          <w:rFonts w:ascii="Courier New" w:cs="Courier New" w:eastAsia="Courier New" w:hAnsi="Courier New"/>
          <w:sz w:val="17"/>
          <w:szCs w:val="17"/>
        </w:rPr>
        <w:t xml:space="preserve">Browser</w:t>
      </w:r>
    </w:p>
    <w:p>
      <w:pPr>
        <w:shd w:fill="F4F4F4" w:val="clear"/>
        <w:spacing w:after="0" w:line="240"/>
      </w:pPr>
      <w:r>
        <w:rPr>
          <w:rFonts w:ascii="Courier New" w:cs="Courier New" w:eastAsia="Courier New" w:hAnsi="Courier New"/>
          <w:sz w:val="17"/>
          <w:szCs w:val="17"/>
        </w:rPr>
        <w:t xml:space="preserve">  │</w:t>
      </w:r>
    </w:p>
    <w:p>
      <w:pPr>
        <w:shd w:fill="F4F4F4" w:val="clear"/>
        <w:spacing w:after="0" w:line="240"/>
      </w:pPr>
      <w:r>
        <w:rPr>
          <w:rFonts w:ascii="Courier New" w:cs="Courier New" w:eastAsia="Courier New" w:hAnsi="Courier New"/>
          <w:sz w:val="17"/>
          <w:szCs w:val="17"/>
        </w:rPr>
        <w:t xml:space="preserve">  ▼</w:t>
      </w:r>
    </w:p>
    <w:p>
      <w:pPr>
        <w:shd w:fill="F4F4F4" w:val="clear"/>
        <w:spacing w:after="0" w:line="240"/>
      </w:pPr>
      <w:r>
        <w:rPr>
          <w:rFonts w:ascii="Courier New" w:cs="Courier New" w:eastAsia="Courier New" w:hAnsi="Courier New"/>
          <w:sz w:val="17"/>
          <w:szCs w:val="17"/>
        </w:rPr>
        <w:t xml:space="preserve">Web app (current React/Vite JavaScript UI, served by FastAPI)</w:t>
      </w:r>
    </w:p>
    <w:p>
      <w:pPr>
        <w:shd w:fill="F4F4F4" w:val="clear"/>
        <w:spacing w:after="0" w:line="240"/>
      </w:pPr>
      <w:r>
        <w:rPr>
          <w:rFonts w:ascii="Courier New" w:cs="Courier New" w:eastAsia="Courier New" w:hAnsi="Courier New"/>
          <w:sz w:val="17"/>
          <w:szCs w:val="17"/>
        </w:rPr>
        <w:t xml:space="preserve">  │</w:t>
      </w:r>
    </w:p>
    <w:p>
      <w:pPr>
        <w:shd w:fill="F4F4F4" w:val="clear"/>
        <w:spacing w:after="0" w:line="240"/>
      </w:pPr>
      <w:r>
        <w:rPr>
          <w:rFonts w:ascii="Courier New" w:cs="Courier New" w:eastAsia="Courier New" w:hAnsi="Courier New"/>
          <w:sz w:val="17"/>
          <w:szCs w:val="17"/>
        </w:rPr>
        <w:t xml:space="preserve">  ▼</w:t>
      </w:r>
    </w:p>
    <w:p>
      <w:pPr>
        <w:shd w:fill="F4F4F4" w:val="clear"/>
        <w:spacing w:after="0" w:line="240"/>
      </w:pPr>
      <w:r>
        <w:rPr>
          <w:rFonts w:ascii="Courier New" w:cs="Courier New" w:eastAsia="Courier New" w:hAnsi="Courier New"/>
          <w:sz w:val="17"/>
          <w:szCs w:val="17"/>
        </w:rPr>
        <w:t xml:space="preserve">FastAPI backend</w:t>
      </w:r>
    </w:p>
    <w:p>
      <w:pPr>
        <w:shd w:fill="F4F4F4" w:val="clear"/>
        <w:spacing w:after="0" w:line="240"/>
      </w:pPr>
      <w:r>
        <w:rPr>
          <w:rFonts w:ascii="Courier New" w:cs="Courier New" w:eastAsia="Courier New" w:hAnsi="Courier New"/>
          <w:sz w:val="17"/>
          <w:szCs w:val="17"/>
        </w:rPr>
        <w:t xml:space="preserve">  ├─ Managed auth adapter</w:t>
      </w:r>
    </w:p>
    <w:p>
      <w:pPr>
        <w:shd w:fill="F4F4F4" w:val="clear"/>
        <w:spacing w:after="0" w:line="240"/>
      </w:pPr>
      <w:r>
        <w:rPr>
          <w:rFonts w:ascii="Courier New" w:cs="Courier New" w:eastAsia="Courier New" w:hAnsi="Courier New"/>
          <w:sz w:val="17"/>
          <w:szCs w:val="17"/>
        </w:rPr>
        <w:t xml:space="preserve">  ├─ Postgres: metadata + jobs table (queue)</w:t>
      </w:r>
    </w:p>
    <w:p>
      <w:pPr>
        <w:shd w:fill="F4F4F4" w:val="clear"/>
        <w:spacing w:after="0" w:line="240"/>
      </w:pPr>
      <w:r>
        <w:rPr>
          <w:rFonts w:ascii="Courier New" w:cs="Courier New" w:eastAsia="Courier New" w:hAnsi="Courier New"/>
          <w:sz w:val="17"/>
          <w:szCs w:val="17"/>
        </w:rPr>
        <w:t xml:space="preserve">  ├─ Object storage: uploads / results / scripts</w:t>
      </w:r>
    </w:p>
    <w:p>
      <w:pPr>
        <w:shd w:fill="F4F4F4" w:val="clear"/>
        <w:spacing w:after="0" w:line="240"/>
      </w:pPr>
      <w:r>
        <w:rPr>
          <w:rFonts w:ascii="Courier New" w:cs="Courier New" w:eastAsia="Courier New" w:hAnsi="Courier New"/>
          <w:sz w:val="17"/>
          <w:szCs w:val="17"/>
        </w:rPr>
        <w:t xml:space="preserve">  └─ packages/ccr_engine (pure analysis package)</w:t>
      </w:r>
    </w:p>
    <w:p>
      <w:pPr>
        <w:shd w:fill="F4F4F4" w:val="clear"/>
        <w:spacing w:after="0" w:line="240"/>
      </w:pPr>
      <w:r>
        <w:rPr>
          <w:rFonts w:ascii="Courier New" w:cs="Courier New" w:eastAsia="Courier New" w:hAnsi="Courier New"/>
          <w:sz w:val="17"/>
          <w:szCs w:val="17"/>
        </w:rPr>
        <w:t xml:space="preserve">  │</w:t>
      </w:r>
    </w:p>
    <w:p>
      <w:pPr>
        <w:shd w:fill="F4F4F4" w:val="clear"/>
        <w:spacing w:after="0" w:line="240"/>
      </w:pPr>
      <w:r>
        <w:rPr>
          <w:rFonts w:ascii="Courier New" w:cs="Courier New" w:eastAsia="Courier New" w:hAnsi="Courier New"/>
          <w:sz w:val="17"/>
          <w:szCs w:val="17"/>
        </w:rPr>
        <w:t xml:space="preserve">  ▼</w:t>
      </w:r>
    </w:p>
    <w:p>
      <w:pPr>
        <w:shd w:fill="F4F4F4" w:val="clear"/>
        <w:spacing w:after="0" w:line="240"/>
      </w:pPr>
      <w:r>
        <w:rPr>
          <w:rFonts w:ascii="Courier New" w:cs="Courier New" w:eastAsia="Courier New" w:hAnsi="Courier New"/>
          <w:sz w:val="17"/>
          <w:szCs w:val="17"/>
        </w:rPr>
        <w:t xml:space="preserve">Worker process</w:t>
      </w:r>
    </w:p>
    <w:p>
      <w:pPr>
        <w:shd w:fill="F4F4F4" w:val="clear"/>
        <w:spacing w:after="0" w:line="240"/>
      </w:pPr>
      <w:r>
        <w:rPr>
          <w:rFonts w:ascii="Courier New" w:cs="Courier New" w:eastAsia="Courier New" w:hAnsi="Courier New"/>
          <w:sz w:val="17"/>
          <w:szCs w:val="17"/>
        </w:rPr>
        <w:t xml:space="preserve">  ├─ Claims jobs via SELECT ... FOR UPDATE SKIP LOCKED</w:t>
      </w:r>
    </w:p>
    <w:p>
      <w:pPr>
        <w:shd w:fill="F4F4F4" w:val="clear"/>
        <w:spacing w:after="0" w:line="240"/>
      </w:pPr>
      <w:r>
        <w:rPr>
          <w:rFonts w:ascii="Courier New" w:cs="Courier New" w:eastAsia="Courier New" w:hAnsi="Courier New"/>
          <w:sz w:val="17"/>
          <w:szCs w:val="17"/>
        </w:rPr>
        <w:t xml:space="preserve">  ├─ Leases, attempts, expiry sweep, dead-letter</w:t>
      </w:r>
    </w:p>
    <w:p>
      <w:pPr>
        <w:shd w:fill="F4F4F4" w:val="clear"/>
        <w:spacing w:after="0" w:line="240"/>
      </w:pPr>
      <w:r>
        <w:rPr>
          <w:rFonts w:ascii="Courier New" w:cs="Courier New" w:eastAsia="Courier New" w:hAnsi="Courier New"/>
          <w:sz w:val="17"/>
          <w:szCs w:val="17"/>
        </w:rPr>
        <w:t xml:space="preserve">  └─ Runs CCR pipeline, writes outputs + metadata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Component</w:t>
            </w:r>
          </w:p>
        </w:tc>
        <w:tc>
          <w:tcPr>
            <w:tcW w:type="dxa" w:w="24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Choice</w:t>
            </w:r>
          </w:p>
        </w:tc>
        <w:tc>
          <w:tcPr>
            <w:tcW w:type="dxa" w:w="546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Reason / rejected alternative</w:t>
            </w:r>
          </w:p>
        </w:tc>
      </w:tr>
      <w:tr>
        <w:tc>
          <w:tcPr>
            <w:tcW w:type="dxa" w:w="1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Frontend</w:t>
            </w:r>
          </w:p>
        </w:tc>
        <w:tc>
          <w:tcPr>
            <w:tcW w:type="dxa" w:w="24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Current React/Vite JavaScript</w:t>
            </w:r>
          </w:p>
        </w:tc>
        <w:tc>
          <w:tcPr>
            <w:tcW w:type="dxa" w:w="5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No silent stack churn; TypeScript only during Phase 2 cleanup if worth it.</w:t>
            </w:r>
          </w:p>
        </w:tc>
      </w:tr>
      <w:tr>
        <w:tc>
          <w:tcPr>
            <w:tcW w:type="dxa" w:w="1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Backend</w:t>
            </w:r>
          </w:p>
        </w:tc>
        <w:tc>
          <w:tcPr>
            <w:tcW w:type="dxa" w:w="24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FastAPI</w:t>
            </w:r>
          </w:p>
        </w:tc>
        <w:tc>
          <w:tcPr>
            <w:tcW w:type="dxa" w:w="5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Python-native, typed contracts; same language as the analysis stack and generated scripts.</w:t>
            </w:r>
          </w:p>
        </w:tc>
      </w:tr>
      <w:tr>
        <w:tc>
          <w:tcPr>
            <w:tcW w:type="dxa" w:w="1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Core analysis</w:t>
            </w:r>
          </w:p>
        </w:tc>
        <w:tc>
          <w:tcPr>
            <w:tcW w:type="dxa" w:w="24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packages/ccr_engine</w:t>
            </w:r>
          </w:p>
        </w:tc>
        <w:tc>
          <w:tcPr>
            <w:tcW w:type="dxa" w:w="5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Scientific logic independent of UI/API/deployment; callable from web, worker, tests, CLI, generated scripts.</w:t>
            </w:r>
          </w:p>
        </w:tc>
      </w:tr>
      <w:tr>
        <w:tc>
          <w:tcPr>
            <w:tcW w:type="dxa" w:w="1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Database</w:t>
            </w:r>
          </w:p>
        </w:tc>
        <w:tc>
          <w:tcPr>
            <w:tcW w:type="dxa" w:w="24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PostgreSQL</w:t>
            </w:r>
          </w:p>
        </w:tc>
        <w:tc>
          <w:tcPr>
            <w:tcW w:type="dxa" w:w="5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Users/projects/runs/constructs/jobs are relational; JSONB holds snapshots. SQLite remains only in the demo.</w:t>
            </w:r>
          </w:p>
        </w:tc>
      </w:tr>
      <w:tr>
        <w:tc>
          <w:tcPr>
            <w:tcW w:type="dxa" w:w="1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Queue</w:t>
            </w:r>
          </w:p>
        </w:tc>
        <w:tc>
          <w:tcPr>
            <w:tcW w:type="dxa" w:w="24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Postgres jobs table</w:t>
            </w:r>
          </w:p>
        </w:tc>
        <w:tc>
          <w:tcPr>
            <w:tcW w:type="dxa" w:w="5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One fewer stateful service than Redis/RQ; durable job history; upgrade trigger = multiple workers or scheduling needs.</w:t>
            </w:r>
          </w:p>
        </w:tc>
      </w:tr>
      <w:tr>
        <w:tc>
          <w:tcPr>
            <w:tcW w:type="dxa" w:w="1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Files</w:t>
            </w:r>
          </w:p>
        </w:tc>
        <w:tc>
          <w:tcPr>
            <w:tcW w:type="dxa" w:w="24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S3-compatible object storage</w:t>
            </w:r>
          </w:p>
        </w:tc>
        <w:tc>
          <w:tcPr>
            <w:tcW w:type="dxa" w:w="5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Uploads/results do not belong in Postgres; R2's zero-egress pricing suits export downloads.</w:t>
            </w:r>
          </w:p>
        </w:tc>
      </w:tr>
      <w:tr>
        <w:tc>
          <w:tcPr>
            <w:tcW w:type="dxa" w:w="1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Auth</w:t>
            </w:r>
          </w:p>
        </w:tc>
        <w:tc>
          <w:tcPr>
            <w:tcW w:type="dxa" w:w="24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Managed provider</w:t>
            </w:r>
          </w:p>
        </w:tc>
        <w:tc>
          <w:tcPr>
            <w:tcW w:type="dxa" w:w="5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Google + password without owning reset flows, verification email, or session security.</w:t>
            </w:r>
          </w:p>
        </w:tc>
      </w:tr>
    </w:tbl>
    <w:p>
      <w:pPr>
        <w:spacing w:after="120"/>
      </w:pPr>
    </w:p>
    <w:p>
      <w:pPr>
        <w:pStyle w:val="Heading1"/>
      </w:pPr>
      <w:r>
        <w:t xml:space="preserve">7. Migration Plan from the Current Demo</w:t>
      </w:r>
    </w:p>
    <w:p>
      <w:pPr>
        <w:spacing w:after="120" w:before="0"/>
      </w:pPr>
      <w:r>
        <w:rPr>
          <w:b w:val="false"/>
          <w:bCs w:val="false"/>
          <w:i w:val="false"/>
          <w:iCs w:val="false"/>
          <w:sz w:val="21"/>
          <w:szCs w:val="21"/>
        </w:rPr>
        <w:t xml:space="preserve">The current demo is a valuable public artifact (the PI links people to it). Do not break it with a parallel rewrite.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rPr>
          <w:tblHeader/>
        </w:trPr>
        <w:tc>
          <w:tcPr>
            <w:tcW w:type="dxa" w:w="7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Step</w:t>
            </w:r>
          </w:p>
        </w:tc>
        <w:tc>
          <w:tcPr>
            <w:tcW w:type="dxa" w:w="42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Action</w:t>
            </w:r>
          </w:p>
        </w:tc>
        <w:tc>
          <w:tcPr>
            <w:tcW w:type="dxa" w:w="446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Success condition</w:t>
            </w:r>
          </w:p>
        </w:tc>
      </w:tr>
      <w:tr>
        <w:tc>
          <w:tcPr>
            <w:tcW w:type="dxa" w:w="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1</w:t>
            </w:r>
          </w:p>
        </w:tc>
        <w:tc>
          <w:tcPr>
            <w:tcW w:type="dxa" w:w="42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Freeze current demo behavior with golden datasets.</w:t>
            </w:r>
          </w:p>
        </w:tc>
        <w:tc>
          <w:tcPr>
            <w:tcW w:type="dxa" w:w="4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Known inputs produce stable output shapes and warnings.</w:t>
            </w:r>
          </w:p>
        </w:tc>
      </w:tr>
      <w:tr>
        <w:tc>
          <w:tcPr>
            <w:tcW w:type="dxa" w:w="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2</w:t>
            </w:r>
          </w:p>
        </w:tc>
        <w:tc>
          <w:tcPr>
            <w:tcW w:type="dxa" w:w="42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Extract pure ccr_engine package.</w:t>
            </w:r>
          </w:p>
        </w:tc>
        <w:tc>
          <w:tcPr>
            <w:tcW w:type="dxa" w:w="4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Same analysis runs from backend, tests, CLI, and generated script.</w:t>
            </w:r>
          </w:p>
        </w:tc>
      </w:tr>
      <w:tr>
        <w:tc>
          <w:tcPr>
            <w:tcW w:type="dxa" w:w="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3</w:t>
            </w:r>
          </w:p>
        </w:tc>
        <w:tc>
          <w:tcPr>
            <w:tcW w:type="dxa" w:w="42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Add ccr_wrapper parity tests.</w:t>
            </w:r>
          </w:p>
        </w:tc>
        <w:tc>
          <w:tcPr>
            <w:tcW w:type="dxa" w:w="4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Reference implementation and platform engine match within float tolerance.</w:t>
            </w:r>
          </w:p>
        </w:tc>
      </w:tr>
      <w:tr>
        <w:tc>
          <w:tcPr>
            <w:tcW w:type="dxa" w:w="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4</w:t>
            </w:r>
          </w:p>
        </w:tc>
        <w:tc>
          <w:tcPr>
            <w:tcW w:type="dxa" w:w="42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Move model behavior into static models.yaml + loader.</w:t>
            </w:r>
          </w:p>
        </w:tc>
        <w:tc>
          <w:tcPr>
            <w:tcW w:type="dxa" w:w="4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Dropdown, warnings, prefixes, and script export read one config.</w:t>
            </w:r>
          </w:p>
        </w:tc>
      </w:tr>
      <w:tr>
        <w:tc>
          <w:tcPr>
            <w:tcW w:type="dxa" w:w="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5</w:t>
            </w:r>
          </w:p>
        </w:tc>
        <w:tc>
          <w:tcPr>
            <w:tcW w:type="dxa" w:w="42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Swap persistence behind interfaces.</w:t>
            </w:r>
          </w:p>
        </w:tc>
        <w:tc>
          <w:tcPr>
            <w:tcW w:type="dxa" w:w="4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Postgres/object storage ready without UI rewrite.</w:t>
            </w:r>
          </w:p>
        </w:tc>
      </w:tr>
      <w:tr>
        <w:tc>
          <w:tcPr>
            <w:tcW w:type="dxa" w:w="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6</w:t>
            </w:r>
          </w:p>
        </w:tc>
        <w:tc>
          <w:tcPr>
            <w:tcW w:type="dxa" w:w="42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Add managed auth and projects.</w:t>
            </w:r>
          </w:p>
        </w:tc>
        <w:tc>
          <w:tcPr>
            <w:tcW w:type="dxa" w:w="4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Anonymous mode still works; authenticated runs persist.</w:t>
            </w:r>
          </w:p>
        </w:tc>
      </w:tr>
      <w:tr>
        <w:tc>
          <w:tcPr>
            <w:tcW w:type="dxa" w:w="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7</w:t>
            </w:r>
          </w:p>
        </w:tc>
        <w:tc>
          <w:tcPr>
            <w:tcW w:type="dxa" w:w="42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Transfer stable repo to the lab org.</w:t>
            </w:r>
          </w:p>
        </w:tc>
        <w:tc>
          <w:tcPr>
            <w:tcW w:type="dxa" w:w="4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Mainline repo is lab-owned and documented.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C8" w:sz="1"/>
              <w:left w:val="single" w:color="C8C8C8" w:sz="1"/>
              <w:bottom w:val="single" w:color="C8C8C8" w:sz="1"/>
              <w:right w:val="single" w:color="C8C8C8" w:sz="1"/>
            </w:tcBorders>
            <w:shd w:fill="F6EBEF" w:val="clear"/>
            <w:tcMar>
              <w:top w:type="dxa" w:w="100"/>
              <w:left w:type="dxa" w:w="140"/>
              <w:bottom w:type="dxa" w:w="100"/>
              <w:right w:type="dxa" w:w="140"/>
            </w:tcMar>
          </w:tcPr>
          <w:p>
            <w:pPr>
              <w:spacing w:after="60"/>
            </w:pPr>
            <w:r>
              <w:rPr>
                <w:b/>
                <w:bCs/>
                <w:i w:val="false"/>
                <w:iCs w:val="false"/>
                <w:sz w:val="21"/>
                <w:szCs w:val="21"/>
              </w:rPr>
              <w:t xml:space="preserve">Incremental restructure rule</w:t>
            </w:r>
          </w:p>
          <w:p>
            <w:pPr>
              <w:spacing w:after="40"/>
            </w:pPr>
            <w:r>
              <w:rPr>
                <w:b w:val="false"/>
                <w:bCs w:val="false"/>
                <w:i w:val="false"/>
                <w:iCs w:val="false"/>
                <w:sz w:val="20"/>
                <w:szCs w:val="20"/>
              </w:rPr>
              <w:t xml:space="preserve">No big-bang repo restructure. Extract packages/ccr_engine first; move to apps/web + apps/api only when auth/persistence forces the split. Use a workspace setup or editable installs — AI-generated sys.path hacks are a rejected pattern.</w:t>
            </w:r>
          </w:p>
        </w:tc>
      </w:tr>
    </w:tbl>
    <w:p>
      <w:pPr>
        <w:spacing w:after="120"/>
      </w:pPr>
    </w:p>
    <w:p>
      <w:pPr>
        <w:pStyle w:val="Heading1"/>
      </w:pPr>
      <w:r>
        <w:t xml:space="preserve">8. Authentication and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C8" w:sz="1"/>
              <w:left w:val="single" w:color="C8C8C8" w:sz="1"/>
              <w:bottom w:val="single" w:color="C8C8C8" w:sz="1"/>
              <w:right w:val="single" w:color="C8C8C8" w:sz="1"/>
            </w:tcBorders>
            <w:shd w:fill="F6EBEF" w:val="clear"/>
            <w:tcMar>
              <w:top w:type="dxa" w:w="100"/>
              <w:left w:type="dxa" w:w="140"/>
              <w:bottom w:type="dxa" w:w="100"/>
              <w:right w:type="dxa" w:w="140"/>
            </w:tcMar>
          </w:tcPr>
          <w:p>
            <w:pPr>
              <w:spacing w:after="60"/>
            </w:pPr>
            <w:r>
              <w:rPr>
                <w:b/>
                <w:bCs/>
                <w:i w:val="false"/>
                <w:iCs w:val="false"/>
                <w:sz w:val="21"/>
                <w:szCs w:val="21"/>
              </w:rPr>
              <w:t xml:space="preserve">Auth decision</w:t>
            </w:r>
          </w:p>
          <w:p>
            <w:pPr>
              <w:spacing w:after="40"/>
            </w:pPr>
            <w:r>
              <w:rPr>
                <w:b w:val="false"/>
                <w:bCs w:val="false"/>
                <w:i w:val="false"/>
                <w:iCs w:val="false"/>
                <w:sz w:val="20"/>
                <w:szCs w:val="20"/>
              </w:rPr>
              <w:t xml:space="preserve">Support Google sign-in and email/password via a managed auth provider. Building password auth in-house means hashing, reset flows, verification, lockouts, session management, token rotation, and transactional email — hidden work and security risk for a small lab platform.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700"/>
        <w:gridCol w:w="2360"/>
      </w:tblGrid>
      <w:tr>
        <w:trPr>
          <w:tblHeader/>
        </w:trPr>
        <w:tc>
          <w:tcPr>
            <w:tcW w:type="dxa" w:w="15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Option</w:t>
            </w:r>
          </w:p>
        </w:tc>
        <w:tc>
          <w:tcPr>
            <w:tcW w:type="dxa" w:w="28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Pros</w:t>
            </w:r>
          </w:p>
        </w:tc>
        <w:tc>
          <w:tcPr>
            <w:tcW w:type="dxa" w:w="27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Cons</w:t>
            </w:r>
          </w:p>
        </w:tc>
        <w:tc>
          <w:tcPr>
            <w:tcW w:type="dxa" w:w="236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Recommendation</w:t>
            </w:r>
          </w:p>
        </w:tc>
      </w:tr>
      <w:tr>
        <w:tc>
          <w:tcPr>
            <w:tcW w:type="dxa" w:w="1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Supabase Auth</w:t>
            </w:r>
          </w:p>
        </w:tc>
        <w:tc>
          <w:tcPr>
            <w:tcW w:type="dxa" w:w="28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Google + password, email flows included, Postgres-friendly, generous tiers.</w:t>
            </w:r>
          </w:p>
        </w:tc>
        <w:tc>
          <w:tcPr>
            <w:tcW w:type="dxa" w:w="2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Ties auth to the Supabase ecosystem if used heavily.</w:t>
            </w:r>
          </w:p>
        </w:tc>
        <w:tc>
          <w:tcPr>
            <w:tcW w:type="dxa" w:w="23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Strong default, especially if Supabase provides Postgres/storage too.</w:t>
            </w:r>
          </w:p>
        </w:tc>
      </w:tr>
      <w:tr>
        <w:tc>
          <w:tcPr>
            <w:tcW w:type="dxa" w:w="1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Clerk</w:t>
            </w:r>
          </w:p>
        </w:tc>
        <w:tc>
          <w:tcPr>
            <w:tcW w:type="dxa" w:w="28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Polished prebuilt auth UI.</w:t>
            </w:r>
          </w:p>
        </w:tc>
        <w:tc>
          <w:tcPr>
            <w:tcW w:type="dxa" w:w="2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Extra vendor separate from DB/storage.</w:t>
            </w:r>
          </w:p>
        </w:tc>
        <w:tc>
          <w:tcPr>
            <w:tcW w:type="dxa" w:w="23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Good if UI speed matters most.</w:t>
            </w:r>
          </w:p>
        </w:tc>
      </w:tr>
      <w:tr>
        <w:tc>
          <w:tcPr>
            <w:tcW w:type="dxa" w:w="1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Auth0</w:t>
            </w:r>
          </w:p>
        </w:tc>
        <w:tc>
          <w:tcPr>
            <w:tcW w:type="dxa" w:w="28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Mature, enterprise-ready.</w:t>
            </w:r>
          </w:p>
        </w:tc>
        <w:tc>
          <w:tcPr>
            <w:tcW w:type="dxa" w:w="2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Overkill at lab scale.</w:t>
            </w:r>
          </w:p>
        </w:tc>
        <w:tc>
          <w:tcPr>
            <w:tcW w:type="dxa" w:w="23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Only if the university already prefers it.</w:t>
            </w:r>
          </w:p>
        </w:tc>
      </w:tr>
      <w:tr>
        <w:tc>
          <w:tcPr>
            <w:tcW w:type="dxa" w:w="1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Custom FastAPI auth</w:t>
            </w:r>
          </w:p>
        </w:tc>
        <w:tc>
          <w:tcPr>
            <w:tcW w:type="dxa" w:w="28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Full control.</w:t>
            </w:r>
          </w:p>
        </w:tc>
        <w:tc>
          <w:tcPr>
            <w:tcW w:type="dxa" w:w="2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Reset/verification/security/email become our burden.</w:t>
            </w:r>
          </w:p>
        </w:tc>
        <w:tc>
          <w:tcPr>
            <w:tcW w:type="dxa" w:w="23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Rejected for v1.</w:t>
            </w:r>
          </w:p>
        </w:tc>
      </w:tr>
    </w:tbl>
    <w:p>
      <w:pPr>
        <w:spacing w:after="60"/>
      </w:pPr>
    </w:p>
    <w:p>
      <w:pPr>
        <w:spacing w:after="120" w:before="0"/>
      </w:pPr>
      <w:r>
        <w:rPr>
          <w:b/>
          <w:bCs/>
          <w:i w:val="false"/>
          <w:iCs w:val="false"/>
          <w:sz w:val="21"/>
          <w:szCs w:val="21"/>
        </w:rPr>
        <w:t xml:space="preserve">Recommended decision (make it easy to approve): </w:t>
      </w:r>
      <w:r>
        <w:rPr>
          <w:b w:val="false"/>
          <w:bCs w:val="false"/>
          <w:i w:val="false"/>
          <w:iCs w:val="false"/>
          <w:sz w:val="21"/>
          <w:szCs w:val="21"/>
        </w:rPr>
        <w:t xml:space="preserve">Supabase Auth, unless the university mandates a specific identity provider or compliance constraint. If Supabase Auth is chosen, </w:t>
      </w:r>
      <w:r>
        <w:rPr>
          <w:b/>
          <w:bCs/>
          <w:i w:val="false"/>
          <w:iCs w:val="false"/>
          <w:sz w:val="21"/>
          <w:szCs w:val="21"/>
        </w:rPr>
        <w:t xml:space="preserve">prefer Supabase Postgres as well</w:t>
      </w:r>
      <w:r>
        <w:rPr>
          <w:b w:val="false"/>
          <w:bCs w:val="false"/>
          <w:i w:val="false"/>
          <w:iCs w:val="false"/>
          <w:sz w:val="21"/>
          <w:szCs w:val="21"/>
        </w:rPr>
        <w:t xml:space="preserve"> — one vendor for auth + DB + backups beats assembling Supabase Auth + Neon + a separate host for no early-stage benefit. Vendor sprawl is a rejected pattern at this scale.</w:t>
      </w:r>
    </w:p>
    <w:p>
      <w:pPr>
        <w:spacing w:after="120" w:before="0"/>
      </w:pPr>
      <w:r>
        <w:rPr>
          <w:b/>
          <w:bCs/>
          <w:i w:val="false"/>
          <w:iCs w:val="false"/>
          <w:sz w:val="21"/>
          <w:szCs w:val="21"/>
        </w:rPr>
        <w:t xml:space="preserve">Staged rollout (see §4.1): </w:t>
      </w:r>
      <w:r>
        <w:rPr>
          <w:b w:val="false"/>
          <w:bCs w:val="false"/>
          <w:i w:val="false"/>
          <w:iCs w:val="false"/>
          <w:sz w:val="21"/>
          <w:szCs w:val="21"/>
        </w:rPr>
        <w:t xml:space="preserve">Google sign-in ships first — it requires zero email infrastructure and covers virtually all campus users. Email/password is enabled second, within the same provider, once email templates are configured. Both of Mohammad's requested options arrive; nothing is migrated in between.</w:t>
      </w:r>
    </w:p>
    <w:p>
      <w:pPr>
        <w:spacing w:after="120" w:before="0"/>
      </w:pPr>
      <w:r>
        <w:rPr>
          <w:b/>
          <w:bCs/>
          <w:i w:val="false"/>
          <w:iCs w:val="false"/>
          <w:sz w:val="21"/>
          <w:szCs w:val="21"/>
        </w:rPr>
        <w:t xml:space="preserve">Session posture: </w:t>
      </w:r>
      <w:r>
        <w:rPr>
          <w:b w:val="false"/>
          <w:bCs w:val="false"/>
          <w:i w:val="false"/>
          <w:iCs w:val="false"/>
          <w:sz w:val="21"/>
          <w:szCs w:val="21"/>
        </w:rPr>
        <w:t xml:space="preserve">provider-issued sessions in httpOnly secure cookies, SameSite=Lax; no long-lived tokens in localStorage. Prefer same-origin serving (FastAPI serves the SPA) to avoid cross-site cookie/CORS complexity.</w:t>
      </w:r>
    </w:p>
    <w:p>
      <w:pPr>
        <w:spacing w:after="120" w:before="0"/>
      </w:pPr>
      <w:r>
        <w:rPr>
          <w:b/>
          <w:bCs/>
          <w:i w:val="false"/>
          <w:iCs w:val="false"/>
          <w:sz w:val="21"/>
          <w:szCs w:val="21"/>
        </w:rPr>
        <w:t xml:space="preserve">Transactional email </w:t>
      </w:r>
      <w:r>
        <w:rPr>
          <w:b w:val="false"/>
          <w:bCs w:val="false"/>
          <w:i w:val="false"/>
          <w:iCs w:val="false"/>
          <w:sz w:val="21"/>
          <w:szCs w:val="21"/>
        </w:rPr>
        <w:t xml:space="preserve">is required by password flows (verification, reset). The managed provider covers these; if job-completed notifications are added later, use Resend/Postmark/SES.</w:t>
      </w:r>
    </w:p>
    <w:p>
      <w:pPr>
        <w:spacing w:after="120"/>
      </w:pPr>
    </w:p>
    <w:p>
      <w:pPr>
        <w:pStyle w:val="Heading1"/>
      </w:pPr>
      <w:r>
        <w:t xml:space="preserve">9. Data Storage, Privacy, and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060"/>
      </w:tblGrid>
      <w:tr>
        <w:trPr>
          <w:tblHeader/>
        </w:trPr>
        <w:tc>
          <w:tcPr>
            <w:tcW w:type="dxa" w:w="24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Data type</w:t>
            </w:r>
          </w:p>
        </w:tc>
        <w:tc>
          <w:tcPr>
            <w:tcW w:type="dxa" w:w="29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Store in</w:t>
            </w:r>
          </w:p>
        </w:tc>
        <w:tc>
          <w:tcPr>
            <w:tcW w:type="dxa" w:w="406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Retention</w:t>
            </w:r>
          </w:p>
        </w:tc>
      </w:tr>
      <w:tr>
        <w:tc>
          <w:tcPr>
            <w:tcW w:type="dxa" w:w="24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User/project metadata</w:t>
            </w:r>
          </w:p>
        </w:tc>
        <w:tc>
          <w:tcPr>
            <w:tcW w:type="dxa" w:w="2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Postgres</w:t>
            </w:r>
          </w:p>
        </w:tc>
        <w:tc>
          <w:tcPr>
            <w:tcW w:type="dxa" w:w="4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Until user/lab deletes account or project.</w:t>
            </w:r>
          </w:p>
        </w:tc>
      </w:tr>
      <w:tr>
        <w:tc>
          <w:tcPr>
            <w:tcW w:type="dxa" w:w="24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Anonymous uploads</w:t>
            </w:r>
          </w:p>
        </w:tc>
        <w:tc>
          <w:tcPr>
            <w:tcW w:type="dxa" w:w="2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Object storage, temp prefix</w:t>
            </w:r>
          </w:p>
        </w:tc>
        <w:tc>
          <w:tcPr>
            <w:tcW w:type="dxa" w:w="4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Auto-delete after a short window (24–72 h, PI to confirm).</w:t>
            </w:r>
          </w:p>
        </w:tc>
      </w:tr>
      <w:tr>
        <w:tc>
          <w:tcPr>
            <w:tcW w:type="dxa" w:w="24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Anonymous run rows</w:t>
            </w:r>
          </w:p>
        </w:tc>
        <w:tc>
          <w:tcPr>
            <w:tcW w:type="dxa" w:w="2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Postgres</w:t>
            </w:r>
          </w:p>
        </w:tc>
        <w:tc>
          <w:tcPr>
            <w:tcW w:type="dxa" w:w="4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Same TTL as anonymous files; cleaned by the same sweeper.</w:t>
            </w:r>
          </w:p>
        </w:tc>
      </w:tr>
      <w:tr>
        <w:tc>
          <w:tcPr>
            <w:tcW w:type="dxa" w:w="24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Authenticated uploads</w:t>
            </w:r>
          </w:p>
        </w:tc>
        <w:tc>
          <w:tcPr>
            <w:tcW w:type="dxa" w:w="2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Object storage, private bucket</w:t>
            </w:r>
          </w:p>
        </w:tc>
        <w:tc>
          <w:tcPr>
            <w:tcW w:type="dxa" w:w="4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User-controlled deletion; lab retention policy needed.</w:t>
            </w:r>
          </w:p>
        </w:tc>
      </w:tr>
      <w:tr>
        <w:tc>
          <w:tcPr>
            <w:tcW w:type="dxa" w:w="24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Results / scripts</w:t>
            </w:r>
          </w:p>
        </w:tc>
        <w:tc>
          <w:tcPr>
            <w:tcW w:type="dxa" w:w="2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Object storage, private bucket</w:t>
            </w:r>
          </w:p>
        </w:tc>
        <w:tc>
          <w:tcPr>
            <w:tcW w:type="dxa" w:w="4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Same retention as the run/project.</w:t>
            </w:r>
          </w:p>
        </w:tc>
      </w:tr>
      <w:tr>
        <w:tc>
          <w:tcPr>
            <w:tcW w:type="dxa" w:w="24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Run metadata + warnings</w:t>
            </w:r>
          </w:p>
        </w:tc>
        <w:tc>
          <w:tcPr>
            <w:tcW w:type="dxa" w:w="2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Postgres JSONB + metadata file</w:t>
            </w:r>
          </w:p>
        </w:tc>
        <w:tc>
          <w:tcPr>
            <w:tcW w:type="dxa" w:w="4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Persist for reproducibility unless the project is deleted.</w:t>
            </w:r>
          </w:p>
        </w:tc>
      </w:tr>
      <w:tr>
        <w:tc>
          <w:tcPr>
            <w:tcW w:type="dxa" w:w="24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Logs</w:t>
            </w:r>
          </w:p>
        </w:tc>
        <w:tc>
          <w:tcPr>
            <w:tcW w:type="dxa" w:w="2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Structured app logs</w:t>
            </w:r>
          </w:p>
        </w:tc>
        <w:tc>
          <w:tcPr>
            <w:tcW w:type="dxa" w:w="4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Never log uploaded text content.</w:t>
            </w:r>
          </w:p>
        </w:tc>
      </w:tr>
    </w:tbl>
    <w:p>
      <w:pPr>
        <w:spacing w:after="60"/>
      </w:pPr>
    </w:p>
    <w:p>
      <w:pPr>
        <w:pStyle w:val="ListParagraph"/>
        <w:numPr>
          <w:ilvl w:val="0"/>
          <w:numId w:val="2"/>
        </w:numPr>
        <w:spacing w:after="60"/>
      </w:pPr>
      <w:r>
        <w:rPr>
          <w:b w:val="false"/>
          <w:bCs w:val="false"/>
          <w:i w:val="false"/>
          <w:iCs w:val="false"/>
          <w:sz w:val="21"/>
          <w:szCs w:val="21"/>
        </w:rPr>
        <w:t xml:space="preserve">Anonymous mode clearly warns users not to upload sensitive or identifiable data.</w:t>
      </w:r>
    </w:p>
    <w:p>
      <w:pPr>
        <w:pStyle w:val="ListParagraph"/>
        <w:numPr>
          <w:ilvl w:val="0"/>
          <w:numId w:val="2"/>
        </w:numPr>
        <w:spacing w:after="60"/>
      </w:pPr>
      <w:r>
        <w:rPr>
          <w:b/>
          <w:bCs/>
          <w:i w:val="false"/>
          <w:iCs w:val="false"/>
          <w:sz w:val="21"/>
          <w:szCs w:val="21"/>
        </w:rPr>
        <w:t xml:space="preserve">Deletion workflow: </w:t>
      </w:r>
      <w:r>
        <w:rPr>
          <w:b w:val="false"/>
          <w:bCs w:val="false"/>
          <w:i w:val="false"/>
          <w:iCs w:val="false"/>
          <w:sz w:val="21"/>
          <w:szCs w:val="21"/>
        </w:rPr>
        <w:t xml:space="preserve">authenticated users can delete a project themselves; deletion removes project metadata, uploaded files, generated outputs, and signed-URL access. Deletion events are logged (who/when/what project) without retaining any uploaded text.</w:t>
      </w:r>
    </w:p>
    <w:p>
      <w:pPr>
        <w:pStyle w:val="ListParagraph"/>
        <w:numPr>
          <w:ilvl w:val="0"/>
          <w:numId w:val="2"/>
        </w:numPr>
        <w:spacing w:after="60"/>
      </w:pPr>
      <w:r>
        <w:rPr>
          <w:b w:val="false"/>
          <w:bCs w:val="false"/>
          <w:i w:val="false"/>
          <w:iCs w:val="false"/>
          <w:sz w:val="21"/>
          <w:szCs w:val="21"/>
        </w:rPr>
        <w:t xml:space="preserve">Admins do not casually inspect uploaded data; support access is logged.</w:t>
      </w:r>
    </w:p>
    <w:p>
      <w:pPr>
        <w:pStyle w:val="ListParagraph"/>
        <w:numPr>
          <w:ilvl w:val="0"/>
          <w:numId w:val="2"/>
        </w:numPr>
        <w:spacing w:after="60"/>
      </w:pPr>
      <w:r>
        <w:rPr>
          <w:b w:val="false"/>
          <w:bCs w:val="false"/>
          <w:i w:val="false"/>
          <w:iCs w:val="false"/>
          <w:sz w:val="21"/>
          <w:szCs w:val="21"/>
        </w:rPr>
        <w:t xml:space="preserve">No HIPAA/IRB/compliance claims unless the lab/university has explicitly reviewed and approved the wording.</w:t>
      </w:r>
    </w:p>
    <w:p>
      <w:pPr>
        <w:pStyle w:val="ListParagraph"/>
        <w:numPr>
          <w:ilvl w:val="0"/>
          <w:numId w:val="2"/>
        </w:numPr>
        <w:spacing w:after="60"/>
      </w:pPr>
      <w:r>
        <w:rPr>
          <w:b w:val="false"/>
          <w:bCs w:val="false"/>
          <w:i w:val="false"/>
          <w:iCs w:val="false"/>
          <w:sz w:val="21"/>
          <w:szCs w:val="21"/>
        </w:rPr>
        <w:t xml:space="preserve">Private buckets and signed URLs for all downloads.</w:t>
      </w:r>
    </w:p>
    <w:p>
      <w:pPr>
        <w:spacing w:after="120"/>
      </w:pPr>
    </w:p>
    <w:p>
      <w:pPr>
        <w:pStyle w:val="Heading1"/>
      </w:pPr>
      <w:r>
        <w:t xml:space="preserve">10. CCR Engine and Pipeline</w:t>
      </w:r>
    </w:p>
    <w:p>
      <w:pPr>
        <w:spacing w:after="120" w:before="0"/>
      </w:pPr>
      <w:r>
        <w:rPr>
          <w:b w:val="false"/>
          <w:bCs w:val="false"/>
          <w:i w:val="false"/>
          <w:iCs w:val="false"/>
          <w:sz w:val="21"/>
          <w:szCs w:val="21"/>
        </w:rPr>
        <w:t xml:space="preserve">The engine is a pure package — the central architectural rule, because the same analysis must be callable from the web app, worker, tests, generated Python scripts, and a future CLI.</w:t>
      </w:r>
    </w:p>
    <w:p>
      <w:pPr>
        <w:shd w:fill="F4F4F4" w:val="clear"/>
        <w:spacing w:after="0" w:line="240"/>
      </w:pPr>
      <w:r>
        <w:rPr>
          <w:rFonts w:ascii="Courier New" w:cs="Courier New" w:eastAsia="Courier New" w:hAnsi="Courier New"/>
          <w:sz w:val="17"/>
          <w:szCs w:val="17"/>
        </w:rPr>
        <w:t xml:space="preserve">result = run_ccr_analysis(</w:t>
      </w:r>
    </w:p>
    <w:p>
      <w:pPr>
        <w:shd w:fill="F4F4F4" w:val="clear"/>
        <w:spacing w:after="0" w:line="240"/>
      </w:pPr>
      <w:r>
        <w:rPr>
          <w:rFonts w:ascii="Courier New" w:cs="Courier New" w:eastAsia="Courier New" w:hAnsi="Courier New"/>
          <w:sz w:val="17"/>
          <w:szCs w:val="17"/>
        </w:rPr>
        <w:t xml:space="preserve">    dataset_path="corpus.csv",</w:t>
      </w:r>
    </w:p>
    <w:p>
      <w:pPr>
        <w:shd w:fill="F4F4F4" w:val="clear"/>
        <w:spacing w:after="0" w:line="240"/>
      </w:pPr>
      <w:r>
        <w:rPr>
          <w:rFonts w:ascii="Courier New" w:cs="Courier New" w:eastAsia="Courier New" w:hAnsi="Courier New"/>
          <w:sz w:val="17"/>
          <w:szCs w:val="17"/>
        </w:rPr>
        <w:t xml:space="preserve">    text_column="text",</w:t>
      </w:r>
    </w:p>
    <w:p>
      <w:pPr>
        <w:shd w:fill="F4F4F4" w:val="clear"/>
        <w:spacing w:after="0" w:line="240"/>
      </w:pPr>
      <w:r>
        <w:rPr>
          <w:rFonts w:ascii="Courier New" w:cs="Courier New" w:eastAsia="Courier New" w:hAnsi="Courier New"/>
          <w:sz w:val="17"/>
          <w:szCs w:val="17"/>
        </w:rPr>
        <w:t xml:space="preserve">    construct=construct_snapshot,      # immutable version + item hash</w:t>
      </w:r>
    </w:p>
    <w:p>
      <w:pPr>
        <w:shd w:fill="F4F4F4" w:val="clear"/>
        <w:spacing w:after="0" w:line="240"/>
      </w:pPr>
      <w:r>
        <w:rPr>
          <w:rFonts w:ascii="Courier New" w:cs="Courier New" w:eastAsia="Courier New" w:hAnsi="Courier New"/>
          <w:sz w:val="17"/>
          <w:szCs w:val="17"/>
        </w:rPr>
        <w:t xml:space="preserve">    model_config=model_config,         # from the registry, incl. prefixes</w:t>
      </w:r>
    </w:p>
    <w:p>
      <w:pPr>
        <w:shd w:fill="F4F4F4" w:val="clear"/>
        <w:spacing w:after="0" w:line="240"/>
      </w:pPr>
      <w:r>
        <w:rPr>
          <w:rFonts w:ascii="Courier New" w:cs="Courier New" w:eastAsia="Courier New" w:hAnsi="Courier New"/>
          <w:sz w:val="17"/>
          <w:szCs w:val="17"/>
        </w:rPr>
        <w:t xml:space="preserve">    language_config=language_config,   # selected language + resolved support set</w:t>
      </w:r>
    </w:p>
    <w:p>
      <w:pPr>
        <w:shd w:fill="F4F4F4" w:val="clear"/>
        <w:spacing w:after="0" w:line="240"/>
      </w:pPr>
      <w:r>
        <w:rPr>
          <w:rFonts w:ascii="Courier New" w:cs="Courier New" w:eastAsia="Courier New" w:hAnsi="Courier New"/>
          <w:sz w:val="17"/>
          <w:szCs w:val="17"/>
        </w:rPr>
        <w:t xml:space="preserve">    preprocessing_config=preprocessing_config,</w:t>
      </w:r>
    </w:p>
    <w:p>
      <w:pPr>
        <w:shd w:fill="F4F4F4" w:val="clear"/>
        <w:spacing w:after="0" w:line="240"/>
      </w:pPr>
      <w:r>
        <w:rPr>
          <w:rFonts w:ascii="Courier New" w:cs="Courier New" w:eastAsia="Courier New" w:hAnsi="Courier New"/>
          <w:sz w:val="17"/>
          <w:szCs w:val="17"/>
        </w:rPr>
        <w:t xml:space="preserve">    output_config=output_config,</w:t>
      </w:r>
    </w:p>
    <w:p>
      <w:pPr>
        <w:shd w:fill="F4F4F4" w:val="clear"/>
        <w:spacing w:after="0" w:line="240"/>
      </w:pPr>
      <w:r>
        <w:rPr>
          <w:rFonts w:ascii="Courier New" w:cs="Courier New" w:eastAsia="Courier New" w:hAnsi="Courier New"/>
          <w:sz w:val="17"/>
          <w:szCs w:val="17"/>
        </w:rP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Step</w:t>
            </w:r>
          </w:p>
        </w:tc>
        <w:tc>
          <w:tcPr>
            <w:tcW w:type="dxa" w:w="706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Details</w:t>
            </w:r>
          </w:p>
        </w:tc>
      </w:tr>
      <w:tr>
        <w:tc>
          <w:tcPr>
            <w:tcW w:type="dxa" w:w="2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1. Load file</w:t>
            </w:r>
          </w:p>
        </w:tc>
        <w:tc>
          <w:tcPr>
            <w:tcW w:type="dxa" w:w="7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CSV/XLSX parsing with explicit encodings, decompression/parsed-size caps, row/cell limits.</w:t>
            </w:r>
          </w:p>
        </w:tc>
      </w:tr>
      <w:tr>
        <w:tc>
          <w:tcPr>
            <w:tcW w:type="dxa" w:w="2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2. Validate schema</w:t>
            </w:r>
          </w:p>
        </w:tc>
        <w:tc>
          <w:tcPr>
            <w:tcW w:type="dxa" w:w="7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Columns, empty file, row count, text-column validity.</w:t>
            </w:r>
          </w:p>
        </w:tc>
      </w:tr>
      <w:tr>
        <w:tc>
          <w:tcPr>
            <w:tcW w:type="dxa" w:w="2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3. Text QA</w:t>
            </w:r>
          </w:p>
        </w:tc>
        <w:tc>
          <w:tcPr>
            <w:tcW w:type="dxa" w:w="7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Missing values, duplicates, short texts, long texts, language checks.</w:t>
            </w:r>
          </w:p>
        </w:tc>
      </w:tr>
      <w:tr>
        <w:tc>
          <w:tcPr>
            <w:tcW w:type="dxa" w:w="2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4. Load construct snapshot</w:t>
            </w:r>
          </w:p>
        </w:tc>
        <w:tc>
          <w:tcPr>
            <w:tcW w:type="dxa" w:w="7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Constructs are versioned append-only; edits create new versions; runs pin version + item hash.</w:t>
            </w:r>
          </w:p>
        </w:tc>
      </w:tr>
      <w:tr>
        <w:tc>
          <w:tcPr>
            <w:tcW w:type="dxa" w:w="2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5. Load model config</w:t>
            </w:r>
          </w:p>
        </w:tc>
        <w:tc>
          <w:tcPr>
            <w:tcW w:type="dxa" w:w="7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Registry supplies prefixes, normalization, dimensions, max length, revision, language support.</w:t>
            </w:r>
          </w:p>
        </w:tc>
      </w:tr>
      <w:tr>
        <w:tc>
          <w:tcPr>
            <w:tcW w:type="dxa" w:w="2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6. Embed items + texts</w:t>
            </w:r>
          </w:p>
        </w:tc>
        <w:tc>
          <w:tcPr>
            <w:tcW w:type="dxa" w:w="7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Cache predefined construct-item embeddings by (model revision, item hash).</w:t>
            </w:r>
          </w:p>
        </w:tc>
      </w:tr>
      <w:tr>
        <w:tc>
          <w:tcPr>
            <w:tcW w:type="dxa" w:w="2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7. Similarity</w:t>
            </w:r>
          </w:p>
        </w:tc>
        <w:tc>
          <w:tcPr>
            <w:tcW w:type="dxa" w:w="7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Cosine similarity; raw text-by-item similarities always preserved.</w:t>
            </w:r>
          </w:p>
        </w:tc>
      </w:tr>
      <w:tr>
        <w:tc>
          <w:tcPr>
            <w:tcW w:type="dxa" w:w="2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8. Scoring</w:t>
            </w:r>
          </w:p>
        </w:tc>
        <w:tc>
          <w:tcPr>
            <w:tcW w:type="dxa" w:w="7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Apply aggregation per the recorded adjustment_strategy (see §11), including the all-reversed block.</w:t>
            </w:r>
          </w:p>
        </w:tc>
      </w:tr>
      <w:tr>
        <w:tc>
          <w:tcPr>
            <w:tcW w:type="dxa" w:w="2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9. Stats + warnings</w:t>
            </w:r>
          </w:p>
        </w:tc>
        <w:tc>
          <w:tcPr>
            <w:tcW w:type="dxa" w:w="7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Descriptive statistics and structured warnings.</w:t>
            </w:r>
          </w:p>
        </w:tc>
      </w:tr>
      <w:tr>
        <w:tc>
          <w:tcPr>
            <w:tcW w:type="dxa" w:w="2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10. Exports</w:t>
            </w:r>
          </w:p>
        </w:tc>
        <w:tc>
          <w:tcPr>
            <w:tcW w:type="dxa" w:w="7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Sanitized CSV/XLSX, metadata.json, warnings.json, reproduction script, pinned environment file.</w:t>
            </w:r>
          </w:p>
        </w:tc>
      </w:tr>
    </w:tbl>
    <w:p>
      <w:pPr>
        <w:spacing w:after="60"/>
      </w:pPr>
    </w:p>
    <w:p>
      <w:pPr>
        <w:spacing w:after="120" w:before="0"/>
      </w:pPr>
      <w:r>
        <w:rPr>
          <w:b/>
          <w:bCs/>
          <w:i w:val="false"/>
          <w:iCs w:val="false"/>
          <w:sz w:val="21"/>
          <w:szCs w:val="21"/>
        </w:rPr>
        <w:t xml:space="preserve">Pooling note: </w:t>
      </w:r>
      <w:r>
        <w:rPr>
          <w:b w:val="false"/>
          <w:bCs w:val="false"/>
          <w:i w:val="false"/>
          <w:iCs w:val="false"/>
          <w:sz w:val="21"/>
          <w:szCs w:val="21"/>
        </w:rPr>
        <w:t xml:space="preserve">the registry's pooling field is descriptive/validation metadata only. Models load through their own sentence-transformers configuration; the engine must never reimplement pooling manually. Assert embedding dimension at load time.</w:t>
      </w:r>
    </w:p>
    <w:p>
      <w:pPr>
        <w:spacing w:after="60"/>
      </w:pPr>
    </w:p>
    <w:p>
      <w:pPr>
        <w:pStyle w:val="Heading2"/>
      </w:pPr>
      <w:r>
        <w:t xml:space="preserve">10.1 Construct snapshot schema (minimum)</w:t>
      </w:r>
    </w:p>
    <w:p>
      <w:pPr>
        <w:shd w:fill="F4F4F4" w:val="clear"/>
        <w:spacing w:after="0" w:line="240"/>
      </w:pPr>
      <w:r>
        <w:rPr>
          <w:rFonts w:ascii="Courier New" w:cs="Courier New" w:eastAsia="Courier New" w:hAnsi="Courier New"/>
          <w:sz w:val="17"/>
          <w:szCs w:val="17"/>
        </w:rPr>
        <w:t xml:space="preserve">{</w:t>
      </w:r>
    </w:p>
    <w:p>
      <w:pPr>
        <w:shd w:fill="F4F4F4" w:val="clear"/>
        <w:spacing w:after="0" w:line="240"/>
      </w:pPr>
      <w:r>
        <w:rPr>
          <w:rFonts w:ascii="Courier New" w:cs="Courier New" w:eastAsia="Courier New" w:hAnsi="Courier New"/>
          <w:sz w:val="17"/>
          <w:szCs w:val="17"/>
        </w:rPr>
        <w:t xml:space="preserve">  "construct_id": "satisfaction_with_life",</w:t>
      </w:r>
    </w:p>
    <w:p>
      <w:pPr>
        <w:shd w:fill="F4F4F4" w:val="clear"/>
        <w:spacing w:after="0" w:line="240"/>
      </w:pPr>
      <w:r>
        <w:rPr>
          <w:rFonts w:ascii="Courier New" w:cs="Courier New" w:eastAsia="Courier New" w:hAnsi="Courier New"/>
          <w:sz w:val="17"/>
          <w:szCs w:val="17"/>
        </w:rPr>
        <w:t xml:space="preserve">  "version": 2,                        // append-only; edits create new versions</w:t>
      </w:r>
    </w:p>
    <w:p>
      <w:pPr>
        <w:shd w:fill="F4F4F4" w:val="clear"/>
        <w:spacing w:after="0" w:line="240"/>
      </w:pPr>
      <w:r>
        <w:rPr>
          <w:rFonts w:ascii="Courier New" w:cs="Courier New" w:eastAsia="Courier New" w:hAnsi="Courier New"/>
          <w:sz w:val="17"/>
          <w:szCs w:val="17"/>
        </w:rPr>
        <w:t xml:space="preserve">  "name": "Satisfaction with Life",</w:t>
      </w:r>
    </w:p>
    <w:p>
      <w:pPr>
        <w:shd w:fill="F4F4F4" w:val="clear"/>
        <w:spacing w:after="0" w:line="240"/>
      </w:pPr>
      <w:r>
        <w:rPr>
          <w:rFonts w:ascii="Courier New" w:cs="Courier New" w:eastAsia="Courier New" w:hAnsi="Courier New"/>
          <w:sz w:val="17"/>
          <w:szCs w:val="17"/>
        </w:rPr>
        <w:t xml:space="preserve">  "language": "en",</w:t>
      </w:r>
    </w:p>
    <w:p>
      <w:pPr>
        <w:shd w:fill="F4F4F4" w:val="clear"/>
        <w:spacing w:after="0" w:line="240"/>
      </w:pPr>
      <w:r>
        <w:rPr>
          <w:rFonts w:ascii="Courier New" w:cs="Courier New" w:eastAsia="Courier New" w:hAnsi="Courier New"/>
          <w:sz w:val="17"/>
          <w:szCs w:val="17"/>
        </w:rPr>
        <w:t xml:space="preserve">  "items": [</w:t>
      </w:r>
    </w:p>
    <w:p>
      <w:pPr>
        <w:shd w:fill="F4F4F4" w:val="clear"/>
        <w:spacing w:after="0" w:line="240"/>
      </w:pPr>
      <w:r>
        <w:rPr>
          <w:rFonts w:ascii="Courier New" w:cs="Courier New" w:eastAsia="Courier New" w:hAnsi="Courier New"/>
          <w:sz w:val="17"/>
          <w:szCs w:val="17"/>
        </w:rPr>
        <w:t xml:space="preserve">    { "item_id": "swl_1",</w:t>
      </w:r>
    </w:p>
    <w:p>
      <w:pPr>
        <w:shd w:fill="F4F4F4" w:val="clear"/>
        <w:spacing w:after="0" w:line="240"/>
      </w:pPr>
      <w:r>
        <w:rPr>
          <w:rFonts w:ascii="Courier New" w:cs="Courier New" w:eastAsia="Courier New" w:hAnsi="Courier New"/>
          <w:sz w:val="17"/>
          <w:szCs w:val="17"/>
        </w:rPr>
        <w:t xml:space="preserve">      "text": "In most ways my life is close to my ideal.",</w:t>
      </w:r>
    </w:p>
    <w:p>
      <w:pPr>
        <w:shd w:fill="F4F4F4" w:val="clear"/>
        <w:spacing w:after="0" w:line="240"/>
      </w:pPr>
      <w:r>
        <w:rPr>
          <w:rFonts w:ascii="Courier New" w:cs="Courier New" w:eastAsia="Courier New" w:hAnsi="Courier New"/>
          <w:sz w:val="17"/>
          <w:szCs w:val="17"/>
        </w:rPr>
        <w:t xml:space="preserve">      "reverse_scored": false }</w:t>
      </w:r>
    </w:p>
    <w:p>
      <w:pPr>
        <w:shd w:fill="F4F4F4" w:val="clear"/>
        <w:spacing w:after="0" w:line="240"/>
      </w:pPr>
      <w:r>
        <w:rPr>
          <w:rFonts w:ascii="Courier New" w:cs="Courier New" w:eastAsia="Courier New" w:hAnsi="Courier New"/>
          <w:sz w:val="17"/>
          <w:szCs w:val="17"/>
        </w:rPr>
        <w:t xml:space="preserve">  ],</w:t>
      </w:r>
    </w:p>
    <w:p>
      <w:pPr>
        <w:shd w:fill="F4F4F4" w:val="clear"/>
        <w:spacing w:after="0" w:line="240"/>
      </w:pPr>
      <w:r>
        <w:rPr>
          <w:rFonts w:ascii="Courier New" w:cs="Courier New" w:eastAsia="Courier New" w:hAnsi="Courier New"/>
          <w:sz w:val="17"/>
          <w:szCs w:val="17"/>
        </w:rPr>
        <w:t xml:space="preserve">  "item_hash": "sha256(normalized item text + order + flags + language + version)",</w:t>
      </w:r>
    </w:p>
    <w:p>
      <w:pPr>
        <w:shd w:fill="F4F4F4" w:val="clear"/>
        <w:spacing w:after="0" w:line="240"/>
      </w:pPr>
      <w:r>
        <w:rPr>
          <w:rFonts w:ascii="Courier New" w:cs="Courier New" w:eastAsia="Courier New" w:hAnsi="Courier New"/>
          <w:sz w:val="17"/>
          <w:szCs w:val="17"/>
        </w:rPr>
        <w:t xml:space="preserve">  "citation": "Diener et al. (1985), J. Personality Assessment",</w:t>
      </w:r>
    </w:p>
    <w:p>
      <w:pPr>
        <w:shd w:fill="F4F4F4" w:val="clear"/>
        <w:spacing w:after="0" w:line="240"/>
      </w:pPr>
      <w:r>
        <w:rPr>
          <w:rFonts w:ascii="Courier New" w:cs="Courier New" w:eastAsia="Courier New" w:hAnsi="Courier New"/>
          <w:sz w:val="17"/>
          <w:szCs w:val="17"/>
        </w:rPr>
        <w:t xml:space="preserve">  "verification_status": "verified",   // draft | needs_verification | verified | archived</w:t>
      </w:r>
    </w:p>
    <w:p>
      <w:pPr>
        <w:shd w:fill="F4F4F4" w:val="clear"/>
        <w:spacing w:after="0" w:line="240"/>
      </w:pPr>
      <w:r>
        <w:rPr>
          <w:rFonts w:ascii="Courier New" w:cs="Courier New" w:eastAsia="Courier New" w:hAnsi="Courier New"/>
          <w:sz w:val="17"/>
          <w:szCs w:val="17"/>
        </w:rPr>
        <w:t xml:space="preserve">  "verified_by": "lab_admin",</w:t>
      </w:r>
    </w:p>
    <w:p>
      <w:pPr>
        <w:shd w:fill="F4F4F4" w:val="clear"/>
        <w:spacing w:after="0" w:line="240"/>
      </w:pPr>
      <w:r>
        <w:rPr>
          <w:rFonts w:ascii="Courier New" w:cs="Courier New" w:eastAsia="Courier New" w:hAnsi="Courier New"/>
          <w:sz w:val="17"/>
          <w:szCs w:val="17"/>
        </w:rPr>
        <w:t xml:space="preserve">  "created_at": "..."</w:t>
      </w:r>
    </w:p>
    <w:p>
      <w:pPr>
        <w:shd w:fill="F4F4F4" w:val="clear"/>
        <w:spacing w:after="0" w:line="240"/>
      </w:pPr>
      <w:r>
        <w:rPr>
          <w:rFonts w:ascii="Courier New" w:cs="Courier New" w:eastAsia="Courier New" w:hAnsi="Courier New"/>
          <w:sz w:val="17"/>
          <w:szCs w:val="17"/>
        </w:rPr>
        <w:t xml:space="preserve">}</w:t>
      </w:r>
    </w:p>
    <w:p>
      <w:pPr>
        <w:spacing w:after="120" w:before="0"/>
      </w:pPr>
      <w:r>
        <w:rPr>
          <w:b w:val="false"/>
          <w:bCs w:val="false"/>
          <w:i w:val="false"/>
          <w:iCs w:val="false"/>
          <w:sz w:val="20"/>
          <w:szCs w:val="20"/>
        </w:rPr>
        <w:t xml:space="preserve">Every run embeds this snapshot verbatim (snapshots-not-FKs); later edits to the library can never change the meaning of a historical run.</w:t>
      </w:r>
    </w:p>
    <w:p>
      <w:pPr>
        <w:spacing w:after="120"/>
      </w:pPr>
    </w:p>
    <w:p>
      <w:pPr>
        <w:pStyle w:val="Heading1"/>
      </w:pPr>
      <w:r>
        <w:t xml:space="preserve">11. Reverse-Scoring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C8" w:sz="1"/>
              <w:left w:val="single" w:color="C8C8C8" w:sz="1"/>
              <w:bottom w:val="single" w:color="C8C8C8" w:sz="1"/>
              <w:right w:val="single" w:color="C8C8C8" w:sz="1"/>
            </w:tcBorders>
            <w:shd w:fill="F6EBEF" w:val="clear"/>
            <w:tcMar>
              <w:top w:type="dxa" w:w="100"/>
              <w:left w:type="dxa" w:w="140"/>
              <w:bottom w:type="dxa" w:w="100"/>
              <w:right w:type="dxa" w:w="140"/>
            </w:tcMar>
          </w:tcPr>
          <w:p>
            <w:pPr>
              <w:spacing w:after="60"/>
            </w:pPr>
            <w:r>
              <w:rPr>
                <w:b/>
                <w:bCs/>
                <w:i w:val="false"/>
                <w:iCs w:val="false"/>
                <w:sz w:val="21"/>
                <w:szCs w:val="21"/>
              </w:rPr>
              <w:t xml:space="preserve">Conservative v1 policy</w:t>
            </w:r>
          </w:p>
          <w:p>
            <w:pPr>
              <w:spacing w:after="40"/>
            </w:pPr>
            <w:r>
              <w:rPr>
                <w:b w:val="false"/>
                <w:bCs w:val="false"/>
                <w:i w:val="false"/>
                <w:iCs w:val="false"/>
                <w:sz w:val="20"/>
                <w:szCs w:val="20"/>
              </w:rPr>
              <w:t xml:space="preserve">Do not silently export adjusted reverse-scored columns as if the methodology were settled. V1 exports raw similarities plus reverse_scored flags. Aggregates exclude reversed items by default (with an explicit warning) until the lab chooses a strategy.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760"/>
      </w:tblGrid>
      <w:tr>
        <w:trPr>
          <w:tblHeader/>
        </w:trPr>
        <w:tc>
          <w:tcPr>
            <w:tcW w:type="dxa" w:w="19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Strategy</w:t>
            </w:r>
          </w:p>
        </w:tc>
        <w:tc>
          <w:tcPr>
            <w:tcW w:type="dxa" w:w="47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Meaning</w:t>
            </w:r>
          </w:p>
        </w:tc>
        <w:tc>
          <w:tcPr>
            <w:tcW w:type="dxa" w:w="276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V1 status</w:t>
            </w:r>
          </w:p>
        </w:tc>
      </w:tr>
      <w:tr>
        <w:tc>
          <w:tcPr>
            <w:tcW w:type="dxa" w:w="1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none</w:t>
            </w:r>
          </w:p>
        </w:tc>
        <w:tc>
          <w:tcPr>
            <w:tcW w:type="dxa" w:w="4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No adjustment; raw similarities + flags only.</w:t>
            </w:r>
          </w:p>
        </w:tc>
        <w:tc>
          <w:tcPr>
            <w:tcW w:type="dxa" w:w="27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Safe baseline.</w:t>
            </w:r>
          </w:p>
        </w:tc>
      </w:tr>
      <w:tr>
        <w:tc>
          <w:tcPr>
            <w:tcW w:type="dxa" w:w="1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exclude_reversed</w:t>
            </w:r>
          </w:p>
        </w:tc>
        <w:tc>
          <w:tcPr>
            <w:tcW w:type="dxa" w:w="4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Aggregate only non-reversed items; warn that reversed items were excluded.</w:t>
            </w:r>
          </w:p>
        </w:tc>
        <w:tc>
          <w:tcPr>
            <w:tcW w:type="dxa" w:w="27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Recommended default when an aggregate is required.</w:t>
            </w:r>
          </w:p>
        </w:tc>
      </w:tr>
      <w:tr>
        <w:tc>
          <w:tcPr>
            <w:tcW w:type="dxa" w:w="1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negate</w:t>
            </w:r>
          </w:p>
        </w:tc>
        <w:tc>
          <w:tcPr>
            <w:tcW w:type="dxa" w:w="4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Multiply reversed-item similarity by −1.</w:t>
            </w:r>
          </w:p>
        </w:tc>
        <w:tc>
          <w:tcPr>
            <w:tcW w:type="dxa" w:w="27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Only with explicit lab approval; never default.</w:t>
            </w:r>
          </w:p>
        </w:tc>
      </w:tr>
      <w:tr>
        <w:tc>
          <w:tcPr>
            <w:tcW w:type="dxa" w:w="1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rephrase_positive</w:t>
            </w:r>
          </w:p>
        </w:tc>
        <w:tc>
          <w:tcPr>
            <w:tcW w:type="dxa" w:w="4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Use positively reworded equivalents of reversed items.</w:t>
            </w:r>
          </w:p>
        </w:tc>
        <w:tc>
          <w:tcPr>
            <w:tcW w:type="dxa" w:w="27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Research decision; never automatic.</w:t>
            </w:r>
          </w:p>
        </w:tc>
      </w:tr>
    </w:tbl>
    <w:p>
      <w:pPr>
        <w:spacing w:after="60"/>
      </w:pPr>
    </w:p>
    <w:p>
      <w:pPr>
        <w:spacing w:after="120" w:before="0"/>
      </w:pPr>
      <w:r>
        <w:rPr>
          <w:b/>
          <w:bCs/>
          <w:i w:val="false"/>
          <w:iCs w:val="false"/>
          <w:sz w:val="21"/>
          <w:szCs w:val="21"/>
        </w:rPr>
        <w:t xml:space="preserve">Edge case: </w:t>
      </w:r>
      <w:r>
        <w:rPr>
          <w:b w:val="false"/>
          <w:bCs w:val="false"/>
          <w:i w:val="false"/>
          <w:iCs w:val="false"/>
          <w:sz w:val="21"/>
          <w:szCs w:val="21"/>
        </w:rPr>
        <w:t xml:space="preserve">if strategy = exclude_reversed and ALL items are reverse-scored, block aggregate generation at construct-selection time with a methodological warning — never emit NaN or a fake aggregate.</w:t>
      </w:r>
    </w:p>
    <w:p>
      <w:pPr>
        <w:shd w:fill="F4F4F4" w:val="clear"/>
        <w:spacing w:after="0" w:line="240"/>
      </w:pPr>
      <w:r>
        <w:rPr>
          <w:rFonts w:ascii="Courier New" w:cs="Courier New" w:eastAsia="Courier New" w:hAnsi="Courier New"/>
          <w:sz w:val="17"/>
          <w:szCs w:val="17"/>
        </w:rPr>
        <w:t xml:space="preserve"># export columns (v1)</w:t>
      </w:r>
    </w:p>
    <w:p>
      <w:pPr>
        <w:shd w:fill="F4F4F4" w:val="clear"/>
        <w:spacing w:after="0" w:line="240"/>
      </w:pPr>
      <w:r>
        <w:rPr>
          <w:rFonts w:ascii="Courier New" w:cs="Courier New" w:eastAsia="Courier New" w:hAnsi="Courier New"/>
          <w:sz w:val="17"/>
          <w:szCs w:val="17"/>
        </w:rPr>
        <w:t xml:space="preserve">sim_item_1_raw, sim_item_2_raw, ...</w:t>
      </w:r>
    </w:p>
    <w:p>
      <w:pPr>
        <w:shd w:fill="F4F4F4" w:val="clear"/>
        <w:spacing w:after="0" w:line="240"/>
      </w:pPr>
      <w:r>
        <w:rPr>
          <w:rFonts w:ascii="Courier New" w:cs="Courier New" w:eastAsia="Courier New" w:hAnsi="Courier New"/>
          <w:sz w:val="17"/>
          <w:szCs w:val="17"/>
        </w:rPr>
        <w:t xml:space="preserve">item_1_reverse_scored, item_2_reverse_scored, ...</w:t>
      </w:r>
    </w:p>
    <w:p>
      <w:pPr>
        <w:shd w:fill="F4F4F4" w:val="clear"/>
        <w:spacing w:after="0" w:line="240"/>
      </w:pPr>
      <w:r>
        <w:rPr>
          <w:rFonts w:ascii="Courier New" w:cs="Courier New" w:eastAsia="Courier New" w:hAnsi="Courier New"/>
          <w:sz w:val="17"/>
          <w:szCs w:val="17"/>
        </w:rPr>
        <w:t xml:space="preserve">construct_score_mean_non_reversed   # only if strategy=exclude_reversed and valid</w:t>
      </w:r>
    </w:p>
    <w:p>
      <w:pPr>
        <w:shd w:fill="F4F4F4" w:val="clear"/>
        <w:spacing w:after="0" w:line="240"/>
      </w:pPr>
      <w:r>
        <w:rPr>
          <w:rFonts w:ascii="Courier New" w:cs="Courier New" w:eastAsia="Courier New" w:hAnsi="Courier New"/>
          <w:sz w:val="17"/>
          <w:szCs w:val="17"/>
        </w:rPr>
        <w:t xml:space="preserve">adjustment_strategy</w:t>
      </w:r>
    </w:p>
    <w:p>
      <w:pPr>
        <w:shd w:fill="F4F4F4" w:val="clear"/>
        <w:spacing w:after="0" w:line="240"/>
      </w:pPr>
      <w:r>
        <w:rPr>
          <w:rFonts w:ascii="Courier New" w:cs="Courier New" w:eastAsia="Courier New" w:hAnsi="Courier New"/>
          <w:sz w:val="17"/>
          <w:szCs w:val="17"/>
        </w:rPr>
        <w:t xml:space="preserve">reverse_scoring_warning</w:t>
      </w:r>
    </w:p>
    <w:p>
      <w:pPr>
        <w:spacing w:after="120"/>
      </w:pPr>
    </w:p>
    <w:p>
      <w:pPr>
        <w:pStyle w:val="Heading1"/>
      </w:pPr>
      <w:r>
        <w:t xml:space="preserve">12. Language Detection and Multilingual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Design point</w:t>
            </w:r>
          </w:p>
        </w:tc>
        <w:tc>
          <w:tcPr>
            <w:tcW w:type="dxa" w:w="706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Recommendation</w:t>
            </w:r>
          </w:p>
        </w:tc>
      </w:tr>
      <w:tr>
        <w:tc>
          <w:tcPr>
            <w:tcW w:type="dxa" w:w="2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Selector</w:t>
            </w:r>
          </w:p>
        </w:tc>
        <w:tc>
          <w:tcPr>
            <w:tcW w:type="dxa" w:w="7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Default English; explicit language selection; multilingual path available.</w:t>
            </w:r>
          </w:p>
        </w:tc>
      </w:tr>
      <w:tr>
        <w:tc>
          <w:tcPr>
            <w:tcW w:type="dxa" w:w="2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Detection level</w:t>
            </w:r>
          </w:p>
        </w:tc>
        <w:tc>
          <w:tcPr>
            <w:tcW w:type="dxa" w:w="7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Corpus-level detection sampled from rows above a minimum length; do not overclaim row-level detection on short texts.</w:t>
            </w:r>
          </w:p>
        </w:tc>
      </w:tr>
      <w:tr>
        <w:tc>
          <w:tcPr>
            <w:tcW w:type="dxa" w:w="2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Short texts</w:t>
            </w:r>
          </w:p>
        </w:tc>
        <w:tc>
          <w:tcPr>
            <w:tcW w:type="dxa" w:w="7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Exactly where detection is unreliable — show “uncertain” rather than guessing.</w:t>
            </w:r>
          </w:p>
        </w:tc>
      </w:tr>
      <w:tr>
        <w:tc>
          <w:tcPr>
            <w:tcW w:type="dxa" w:w="2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Model support</w:t>
            </w:r>
          </w:p>
        </w:tc>
        <w:tc>
          <w:tcPr>
            <w:tcW w:type="dxa" w:w="7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Each registry entry carries supported_languages or a supported_language_set resolved to ISO codes in code (e.g., xlm_roberta_100). A bare “multilingual” label is not machine-checkable and is banned.</w:t>
            </w:r>
          </w:p>
        </w:tc>
      </w:tr>
      <w:tr>
        <w:tc>
          <w:tcPr>
            <w:tcW w:type="dxa" w:w="2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Warnings (code-style IDs)</w:t>
            </w:r>
          </w:p>
        </w:tc>
        <w:tc>
          <w:tcPr>
            <w:tcW w:type="dxa" w:w="7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WRONG_LANGUAGE, LANGUAGE_UNCERTAIN, MULTILINGUAL_CORPUS, MODEL_LANGUAGE_UNSUPPORTED, LOW_RESOURCE_LANGUAGE.</w:t>
            </w:r>
          </w:p>
        </w:tc>
      </w:tr>
      <w:tr>
        <w:tc>
          <w:tcPr>
            <w:tcW w:type="dxa" w:w="2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User override</w:t>
            </w:r>
          </w:p>
        </w:tc>
        <w:tc>
          <w:tcPr>
            <w:tcW w:type="dxa" w:w="7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Users may proceed after warnings unless the model/language pairing is impossible.</w:t>
            </w:r>
          </w:p>
        </w:tc>
      </w:tr>
    </w:tbl>
    <w:p>
      <w:pPr>
        <w:spacing w:after="60"/>
      </w:pPr>
    </w:p>
    <w:p>
      <w:pPr>
        <w:shd w:fill="F4F4F4" w:val="clear"/>
        <w:spacing w:after="0" w:line="240"/>
      </w:pPr>
      <w:r>
        <w:rPr>
          <w:rFonts w:ascii="Courier New" w:cs="Courier New" w:eastAsia="Courier New" w:hAnsi="Courier New"/>
          <w:sz w:val="17"/>
          <w:szCs w:val="17"/>
        </w:rPr>
        <w:t xml:space="preserve">{</w:t>
      </w:r>
    </w:p>
    <w:p>
      <w:pPr>
        <w:shd w:fill="F4F4F4" w:val="clear"/>
        <w:spacing w:after="0" w:line="240"/>
      </w:pPr>
      <w:r>
        <w:rPr>
          <w:rFonts w:ascii="Courier New" w:cs="Courier New" w:eastAsia="Courier New" w:hAnsi="Courier New"/>
          <w:sz w:val="17"/>
          <w:szCs w:val="17"/>
        </w:rPr>
        <w:t xml:space="preserve">  "code": "MODEL_LANGUAGE_UNSUPPORTED",</w:t>
      </w:r>
    </w:p>
    <w:p>
      <w:pPr>
        <w:shd w:fill="F4F4F4" w:val="clear"/>
        <w:spacing w:after="0" w:line="240"/>
      </w:pPr>
      <w:r>
        <w:rPr>
          <w:rFonts w:ascii="Courier New" w:cs="Courier New" w:eastAsia="Courier New" w:hAnsi="Courier New"/>
          <w:sz w:val="17"/>
          <w:szCs w:val="17"/>
        </w:rPr>
        <w:t xml:space="preserve">  "severity": "warning",</w:t>
      </w:r>
    </w:p>
    <w:p>
      <w:pPr>
        <w:shd w:fill="F4F4F4" w:val="clear"/>
        <w:spacing w:after="0" w:line="240"/>
      </w:pPr>
      <w:r>
        <w:rPr>
          <w:rFonts w:ascii="Courier New" w:cs="Courier New" w:eastAsia="Courier New" w:hAnsi="Courier New"/>
          <w:sz w:val="17"/>
          <w:szCs w:val="17"/>
        </w:rPr>
        <w:t xml:space="preserve">  "message": "You selected Spanish, but the selected model supports English only.</w:t>
      </w:r>
    </w:p>
    <w:p>
      <w:pPr>
        <w:shd w:fill="F4F4F4" w:val="clear"/>
        <w:spacing w:after="0" w:line="240"/>
      </w:pPr>
      <w:r>
        <w:rPr>
          <w:rFonts w:ascii="Courier New" w:cs="Courier New" w:eastAsia="Courier New" w:hAnsi="Courier New"/>
          <w:sz w:val="17"/>
          <w:szCs w:val="17"/>
        </w:rPr>
        <w:t xml:space="preserve">              Switch to the multilingual model or proceed with caution.",</w:t>
      </w:r>
    </w:p>
    <w:p>
      <w:pPr>
        <w:shd w:fill="F4F4F4" w:val="clear"/>
        <w:spacing w:after="0" w:line="240"/>
      </w:pPr>
      <w:r>
        <w:rPr>
          <w:rFonts w:ascii="Courier New" w:cs="Courier New" w:eastAsia="Courier New" w:hAnsi="Courier New"/>
          <w:sz w:val="17"/>
          <w:szCs w:val="17"/>
        </w:rPr>
        <w:t xml:space="preserve">  "detected_language": "es",</w:t>
      </w:r>
    </w:p>
    <w:p>
      <w:pPr>
        <w:shd w:fill="F4F4F4" w:val="clear"/>
        <w:spacing w:after="0" w:line="240"/>
      </w:pPr>
      <w:r>
        <w:rPr>
          <w:rFonts w:ascii="Courier New" w:cs="Courier New" w:eastAsia="Courier New" w:hAnsi="Courier New"/>
          <w:sz w:val="17"/>
          <w:szCs w:val="17"/>
        </w:rPr>
        <w:t xml:space="preserve">  "selected_language": "es",</w:t>
      </w:r>
    </w:p>
    <w:p>
      <w:pPr>
        <w:shd w:fill="F4F4F4" w:val="clear"/>
        <w:spacing w:after="0" w:line="240"/>
      </w:pPr>
      <w:r>
        <w:rPr>
          <w:rFonts w:ascii="Courier New" w:cs="Courier New" w:eastAsia="Courier New" w:hAnsi="Courier New"/>
          <w:sz w:val="17"/>
          <w:szCs w:val="17"/>
        </w:rPr>
        <w:t xml:space="preserve">  "model_id": "e5-large-v2"</w:t>
      </w:r>
    </w:p>
    <w:p>
      <w:pPr>
        <w:shd w:fill="F4F4F4" w:val="clear"/>
        <w:spacing w:after="0" w:line="240"/>
      </w:pPr>
      <w:r>
        <w:rPr>
          <w:rFonts w:ascii="Courier New" w:cs="Courier New" w:eastAsia="Courier New" w:hAnsi="Courier New"/>
          <w:sz w:val="17"/>
          <w:szCs w:val="17"/>
        </w:rPr>
        <w:t xml:space="preserve">}</w:t>
      </w:r>
    </w:p>
    <w:p>
      <w:pPr>
        <w:spacing w:after="120"/>
      </w:pPr>
    </w:p>
    <w:p>
      <w:pPr>
        <w:pStyle w:val="Heading1"/>
      </w:pPr>
      <w:r>
        <w:t xml:space="preserve">13. Model Registry and E5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C8" w:sz="1"/>
              <w:left w:val="single" w:color="C8C8C8" w:sz="1"/>
              <w:bottom w:val="single" w:color="C8C8C8" w:sz="1"/>
              <w:right w:val="single" w:color="C8C8C8" w:sz="1"/>
            </w:tcBorders>
            <w:shd w:fill="F6EBEF" w:val="clear"/>
            <w:tcMar>
              <w:top w:type="dxa" w:w="100"/>
              <w:left w:type="dxa" w:w="140"/>
              <w:bottom w:type="dxa" w:w="100"/>
              <w:right w:type="dxa" w:w="140"/>
            </w:tcMar>
          </w:tcPr>
          <w:p>
            <w:pPr>
              <w:spacing w:after="60"/>
            </w:pPr>
            <w:r>
              <w:rPr>
                <w:b/>
                <w:bCs/>
                <w:i w:val="false"/>
                <w:iCs w:val="false"/>
                <w:sz w:val="21"/>
                <w:szCs w:val="21"/>
              </w:rPr>
              <w:t xml:space="preserve">Model registry is required</w:t>
            </w:r>
          </w:p>
          <w:p>
            <w:pPr>
              <w:spacing w:after="40"/>
            </w:pPr>
            <w:r>
              <w:rPr>
                <w:b w:val="false"/>
                <w:bCs w:val="false"/>
                <w:i w:val="false"/>
                <w:iCs w:val="false"/>
                <w:sz w:val="20"/>
                <w:szCs w:val="20"/>
              </w:rPr>
              <w:t xml:space="preserve">No hardcoded model dropdowns. Models differ in dimensions, language support, sequence length, speed, memory, normalization, revision, and required prefixes. One registry drives the UI, backend validation, warnings, metadata, and generated reproduction scripts.</w:t>
            </w:r>
          </w:p>
        </w:tc>
      </w:tr>
    </w:tbl>
    <w:p>
      <w:pPr>
        <w:spacing w:after="60"/>
      </w:pPr>
    </w:p>
    <w:p>
      <w:pPr>
        <w:spacing w:after="120" w:before="0"/>
      </w:pPr>
      <w:r>
        <w:rPr>
          <w:b/>
          <w:bCs/>
          <w:i w:val="false"/>
          <w:iCs w:val="false"/>
          <w:sz w:val="21"/>
          <w:szCs w:val="21"/>
        </w:rPr>
        <w:t xml:space="preserve">E5 decision: </w:t>
      </w:r>
      <w:r>
        <w:rPr>
          <w:b w:val="false"/>
          <w:bCs w:val="false"/>
          <w:i w:val="false"/>
          <w:iCs w:val="false"/>
          <w:sz w:val="21"/>
          <w:szCs w:val="21"/>
        </w:rPr>
        <w:t xml:space="preserve">Mohammad suggested intfloat/e5-large; </w:t>
      </w:r>
      <w:r>
        <w:rPr>
          <w:b/>
          <w:bCs/>
          <w:i w:val="false"/>
          <w:iCs w:val="false"/>
          <w:sz w:val="21"/>
          <w:szCs w:val="21"/>
        </w:rPr>
        <w:t xml:space="preserve">e5-large-v2 is its improved successor and the recommended strong English option</w:t>
      </w:r>
      <w:r>
        <w:rPr>
          <w:b w:val="false"/>
          <w:bCs w:val="false"/>
          <w:i w:val="false"/>
          <w:iCs w:val="false"/>
          <w:sz w:val="21"/>
          <w:szCs w:val="21"/>
        </w:rPr>
        <w:t xml:space="preserve"> unless comparability with earlier lab work requires v1. E5-family models require prefix handling — for symmetric similarity, prepend “query: ” to BOTH construct items and corpus texts.</w:t>
      </w:r>
    </w:p>
    <w:p>
      <w:pPr>
        <w:spacing w:after="120" w:before="0"/>
      </w:pPr>
      <w:r>
        <w:rPr>
          <w:b/>
          <w:bCs/>
          <w:i w:val="false"/>
          <w:iCs w:val="false"/>
          <w:sz w:val="21"/>
          <w:szCs w:val="21"/>
        </w:rPr>
        <w:t xml:space="preserve">Default model decision: </w:t>
      </w:r>
      <w:r>
        <w:rPr>
          <w:b/>
          <w:bCs/>
          <w:i w:val="false"/>
          <w:iCs w:val="false"/>
          <w:sz w:val="21"/>
          <w:szCs w:val="21"/>
        </w:rPr>
        <w:t xml:space="preserve">all-MiniLM-L6-v2 remains the platform default</w:t>
      </w:r>
      <w:r>
        <w:rPr>
          <w:b w:val="false"/>
          <w:bCs w:val="false"/>
          <w:i w:val="false"/>
          <w:iCs w:val="false"/>
          <w:sz w:val="21"/>
          <w:szCs w:val="21"/>
        </w:rPr>
        <w:t xml:space="preserve"> — it is the CCR reference model (results comparable with the published method), and it is fast enough for the inline anonymous tier. e5-large-v2 is a deliberate opt-in: substantially slower on CPU (benchmark on the deployment worker before publishing any speed claims), 1024-dim, 4–8 GB worker 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C8" w:sz="1"/>
              <w:left w:val="single" w:color="C8C8C8" w:sz="1"/>
              <w:bottom w:val="single" w:color="C8C8C8" w:sz="1"/>
              <w:right w:val="single" w:color="C8C8C8" w:sz="1"/>
            </w:tcBorders>
            <w:shd w:fill="F6EBEF" w:val="clear"/>
            <w:tcMar>
              <w:top w:type="dxa" w:w="100"/>
              <w:left w:type="dxa" w:w="140"/>
              <w:bottom w:type="dxa" w:w="100"/>
              <w:right w:type="dxa" w:w="140"/>
            </w:tcMar>
          </w:tcPr>
          <w:p>
            <w:pPr>
              <w:spacing w:after="60"/>
            </w:pPr>
            <w:r>
              <w:rPr>
                <w:b/>
                <w:bCs/>
                <w:i w:val="false"/>
                <w:iCs w:val="false"/>
                <w:sz w:val="21"/>
                <w:szCs w:val="21"/>
              </w:rPr>
              <w:t xml:space="preserve">Model comparability policy (measurement, not metadata)</w:t>
            </w:r>
          </w:p>
          <w:p>
            <w:pPr>
              <w:spacing w:after="40"/>
            </w:pPr>
            <w:r>
              <w:rPr>
                <w:b w:val="false"/>
                <w:bCs w:val="false"/>
                <w:i w:val="false"/>
                <w:iCs w:val="false"/>
                <w:sz w:val="20"/>
                <w:szCs w:val="20"/>
              </w:rPr>
              <w:t xml:space="preserve">The model ID and pinned revision are part of the measurement definition, not implementation detail. CCR scores produced by different model families (e.g., MiniLM vs. E5) must not be compared as equivalent measurements — a higher score under a different model is not “more accurate.”</w:t>
            </w:r>
          </w:p>
          <w:p>
            <w:pPr>
              <w:spacing w:after="40"/>
            </w:pPr>
            <w:r>
              <w:rPr>
                <w:b w:val="false"/>
                <w:bCs w:val="false"/>
                <w:i w:val="false"/>
                <w:iCs w:val="false"/>
                <w:sz w:val="20"/>
                <w:szCs w:val="20"/>
              </w:rPr>
              <w:t xml:space="preserve">Enforcement: every result, export, and generated script displays the model identity prominently; when a user compares runs across different models within a project, the UI shows a cross-model comparability warning.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500"/>
        <w:gridCol w:w="2500"/>
        <w:gridCol w:w="2610"/>
      </w:tblGrid>
      <w:tr>
        <w:trPr>
          <w:tblHeader/>
        </w:trPr>
        <w:tc>
          <w:tcPr>
            <w:tcW w:type="dxa" w:w="175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Field</w:t>
            </w:r>
          </w:p>
        </w:tc>
        <w:tc>
          <w:tcPr>
            <w:tcW w:type="dxa" w:w="25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all-MiniLM-L6-v2 (default)</w:t>
            </w:r>
          </w:p>
        </w:tc>
        <w:tc>
          <w:tcPr>
            <w:tcW w:type="dxa" w:w="25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e5-large-v2</w:t>
            </w:r>
          </w:p>
        </w:tc>
        <w:tc>
          <w:tcPr>
            <w:tcW w:type="dxa" w:w="261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multilingual-e5-base</w:t>
            </w:r>
          </w:p>
        </w:tc>
      </w:tr>
      <w:tr>
        <w:tc>
          <w:tcPr>
            <w:tcW w:type="dxa" w:w="175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provider_model_id</w:t>
            </w:r>
          </w:p>
        </w:tc>
        <w:tc>
          <w:tcPr>
            <w:tcW w:type="dxa" w:w="2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sentence-transformers/all-MiniLM-L6-v2</w:t>
            </w:r>
          </w:p>
        </w:tc>
        <w:tc>
          <w:tcPr>
            <w:tcW w:type="dxa" w:w="2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intfloat/e5-large-v2</w:t>
            </w:r>
          </w:p>
        </w:tc>
        <w:tc>
          <w:tcPr>
            <w:tcW w:type="dxa" w:w="261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intfloat/multilingual-e5-base</w:t>
            </w:r>
          </w:p>
        </w:tc>
      </w:tr>
      <w:tr>
        <w:tc>
          <w:tcPr>
            <w:tcW w:type="dxa" w:w="175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revision</w:t>
            </w:r>
          </w:p>
        </w:tc>
        <w:tc>
          <w:tcPr>
            <w:tcW w:type="dxa" w:w="2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pinned (resolve at registration)</w:t>
            </w:r>
          </w:p>
        </w:tc>
        <w:tc>
          <w:tcPr>
            <w:tcW w:type="dxa" w:w="2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pinned (resolve at registration)</w:t>
            </w:r>
          </w:p>
        </w:tc>
        <w:tc>
          <w:tcPr>
            <w:tcW w:type="dxa" w:w="261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pinned (resolve at registration)</w:t>
            </w:r>
          </w:p>
        </w:tc>
      </w:tr>
      <w:tr>
        <w:tc>
          <w:tcPr>
            <w:tcW w:type="dxa" w:w="175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languages</w:t>
            </w:r>
          </w:p>
        </w:tc>
        <w:tc>
          <w:tcPr>
            <w:tcW w:type="dxa" w:w="2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en</w:t>
            </w:r>
          </w:p>
        </w:tc>
        <w:tc>
          <w:tcPr>
            <w:tcW w:type="dxa" w:w="2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en</w:t>
            </w:r>
          </w:p>
        </w:tc>
        <w:tc>
          <w:tcPr>
            <w:tcW w:type="dxa" w:w="261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supported_language_set: xlm_roberta_100 (resolved to ISO codes)</w:t>
            </w:r>
          </w:p>
        </w:tc>
      </w:tr>
      <w:tr>
        <w:tc>
          <w:tcPr>
            <w:tcW w:type="dxa" w:w="175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dimension / max_seq</w:t>
            </w:r>
          </w:p>
        </w:tc>
        <w:tc>
          <w:tcPr>
            <w:tcW w:type="dxa" w:w="2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384 / 256</w:t>
            </w:r>
          </w:p>
        </w:tc>
        <w:tc>
          <w:tcPr>
            <w:tcW w:type="dxa" w:w="2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1024 / 512</w:t>
            </w:r>
          </w:p>
        </w:tc>
        <w:tc>
          <w:tcPr>
            <w:tcW w:type="dxa" w:w="261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768 / 512</w:t>
            </w:r>
          </w:p>
        </w:tc>
      </w:tr>
      <w:tr>
        <w:tc>
          <w:tcPr>
            <w:tcW w:type="dxa" w:w="175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prefixes</w:t>
            </w:r>
          </w:p>
        </w:tc>
        <w:tc>
          <w:tcPr>
            <w:tcW w:type="dxa" w:w="2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none</w:t>
            </w:r>
          </w:p>
        </w:tc>
        <w:tc>
          <w:tcPr>
            <w:tcW w:type="dxa" w:w="2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“query: ” on items AND texts</w:t>
            </w:r>
          </w:p>
        </w:tc>
        <w:tc>
          <w:tcPr>
            <w:tcW w:type="dxa" w:w="261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“query: ” on items AND texts</w:t>
            </w:r>
          </w:p>
        </w:tc>
      </w:tr>
      <w:tr>
        <w:tc>
          <w:tcPr>
            <w:tcW w:type="dxa" w:w="175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tier (quality / speed)</w:t>
            </w:r>
          </w:p>
        </w:tc>
        <w:tc>
          <w:tcPr>
            <w:tcW w:type="dxa" w:w="2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fast / fast</w:t>
            </w:r>
          </w:p>
        </w:tc>
        <w:tc>
          <w:tcPr>
            <w:tcW w:type="dxa" w:w="2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strong / slow</w:t>
            </w:r>
          </w:p>
        </w:tc>
        <w:tc>
          <w:tcPr>
            <w:tcW w:type="dxa" w:w="261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balanced / medium</w:t>
            </w:r>
          </w:p>
        </w:tc>
      </w:tr>
      <w:tr>
        <w:tc>
          <w:tcPr>
            <w:tcW w:type="dxa" w:w="175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ops</w:t>
            </w:r>
          </w:p>
        </w:tc>
        <w:tc>
          <w:tcPr>
            <w:tcW w:type="dxa" w:w="2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eager load; 2 GB RAM</w:t>
            </w:r>
          </w:p>
        </w:tc>
        <w:tc>
          <w:tcPr>
            <w:tcW w:type="dxa" w:w="2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lazy load; 4–8 GB RAM; max 1 resident heavy model</w:t>
            </w:r>
          </w:p>
        </w:tc>
        <w:tc>
          <w:tcPr>
            <w:tcW w:type="dxa" w:w="261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lazy load; 4 GB RAM</w:t>
            </w:r>
          </w:p>
        </w:tc>
      </w:tr>
      <w:tr>
        <w:tc>
          <w:tcPr>
            <w:tcW w:type="dxa" w:w="175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user-facing warnings</w:t>
            </w:r>
          </w:p>
        </w:tc>
        <w:tc>
          <w:tcPr>
            <w:tcW w:type="dxa" w:w="2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w:t>
            </w:r>
          </w:p>
        </w:tc>
        <w:tc>
          <w:tcPr>
            <w:tcW w:type="dxa" w:w="2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Slower and heavier; scores not comparable across model families.</w:t>
            </w:r>
          </w:p>
        </w:tc>
        <w:tc>
          <w:tcPr>
            <w:tcW w:type="dxa" w:w="261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Coverage/quality varies by language; warn outside resolved set.</w:t>
            </w:r>
          </w:p>
        </w:tc>
      </w:tr>
    </w:tbl>
    <w:p>
      <w:pPr>
        <w:spacing w:after="60"/>
      </w:pPr>
    </w:p>
    <w:p>
      <w:pPr>
        <w:pStyle w:val="ListParagraph"/>
        <w:numPr>
          <w:ilvl w:val="0"/>
          <w:numId w:val="2"/>
        </w:numPr>
        <w:spacing w:after="60"/>
      </w:pPr>
      <w:r>
        <w:rPr>
          <w:b w:val="false"/>
          <w:bCs w:val="false"/>
          <w:i w:val="false"/>
          <w:iCs w:val="false"/>
          <w:sz w:val="21"/>
          <w:szCs w:val="21"/>
        </w:rPr>
        <w:t xml:space="preserve">Do not bake heavy models into the deployment image — use a persistent model cache volume with lazy loading.</w:t>
      </w:r>
    </w:p>
    <w:p>
      <w:pPr>
        <w:pStyle w:val="ListParagraph"/>
        <w:numPr>
          <w:ilvl w:val="0"/>
          <w:numId w:val="2"/>
        </w:numPr>
        <w:spacing w:after="60"/>
      </w:pPr>
      <w:r>
        <w:rPr>
          <w:b w:val="false"/>
          <w:bCs w:val="false"/>
          <w:i w:val="false"/>
          <w:iCs w:val="false"/>
          <w:sz w:val="21"/>
          <w:szCs w:val="21"/>
        </w:rPr>
        <w:t xml:space="preserve">Benchmark time-per-1k-texts on the actual deployment worker before publishing speed claims; never invent timing numbers.</w:t>
      </w:r>
    </w:p>
    <w:p>
      <w:pPr>
        <w:spacing w:after="120"/>
      </w:pPr>
    </w:p>
    <w:p>
      <w:pPr>
        <w:pStyle w:val="Heading1"/>
      </w:pPr>
      <w:r>
        <w:t xml:space="preserve">14. Reproducibility Outputs</w:t>
      </w:r>
    </w:p>
    <w:p>
      <w:pPr>
        <w:spacing w:after="120" w:before="0"/>
      </w:pPr>
      <w:r>
        <w:rPr>
          <w:b w:val="false"/>
          <w:bCs w:val="false"/>
          <w:i w:val="false"/>
          <w:iCs w:val="false"/>
          <w:sz w:val="21"/>
          <w:szCs w:val="21"/>
        </w:rPr>
        <w:t xml:space="preserve">Every run exports: results.csv (or .xlsx), metadata.json, warnings.json, reproduce_analysis.py, and a </w:t>
      </w:r>
      <w:r>
        <w:rPr>
          <w:b/>
          <w:bCs/>
          <w:i w:val="false"/>
          <w:iCs w:val="false"/>
          <w:sz w:val="21"/>
          <w:szCs w:val="21"/>
        </w:rPr>
        <w:t xml:space="preserve">required pinned environment file</w:t>
      </w:r>
      <w:r>
        <w:rPr>
          <w:b w:val="false"/>
          <w:bCs w:val="false"/>
          <w:i w:val="false"/>
          <w:iCs w:val="false"/>
          <w:sz w:val="21"/>
          <w:szCs w:val="21"/>
        </w:rPr>
        <w:t xml:space="preserve"> (exact package versions). An unpinned reproduction script that drifts years later would undermine the platform's core promise.</w:t>
      </w:r>
    </w:p>
    <w:p>
      <w:pPr>
        <w:spacing w:after="120" w:before="0"/>
      </w:pPr>
      <w:r>
        <w:rPr>
          <w:b/>
          <w:bCs/>
          <w:i w:val="false"/>
          <w:iCs w:val="false"/>
          <w:sz w:val="21"/>
          <w:szCs w:val="21"/>
        </w:rPr>
        <w:t xml:space="preserve">Script–registry dependency: </w:t>
      </w:r>
      <w:r>
        <w:rPr>
          <w:b w:val="false"/>
          <w:bCs w:val="false"/>
          <w:i w:val="false"/>
          <w:iCs w:val="false"/>
          <w:sz w:val="21"/>
          <w:szCs w:val="21"/>
        </w:rPr>
        <w:t xml:space="preserve">the generated script consumes the same registry config as the platform. For E5 runs it must include prefix logic, normalization, max-length handling, and the pinned model revision — otherwise the flagship reproducibility artifact is wrong.</w:t>
      </w:r>
    </w:p>
    <w:p>
      <w:pPr>
        <w:spacing w:after="120" w:before="0"/>
      </w:pPr>
      <w:r>
        <w:rPr>
          <w:b/>
          <w:bCs/>
          <w:i w:val="false"/>
          <w:iCs w:val="false"/>
          <w:sz w:val="21"/>
          <w:szCs w:val="21"/>
        </w:rPr>
        <w:t xml:space="preserve">Offline-runnable requirement: </w:t>
      </w:r>
      <w:r>
        <w:rPr>
          <w:b w:val="false"/>
          <w:bCs w:val="false"/>
          <w:i w:val="false"/>
          <w:iCs w:val="false"/>
          <w:sz w:val="21"/>
          <w:szCs w:val="21"/>
        </w:rPr>
        <w:t xml:space="preserve">the reproduction script must run OUTSIDE the platform using only the downloaded input file, metadata.json, the registry entry, the pinned environment file, and the public model revision. It must never require platform credentials; fetching private artifacts from storage is an optional convenience, not a dependency. This is the difference between real reproducibility and “works only inside our app.”</w:t>
      </w:r>
    </w:p>
    <w:p>
      <w:pPr>
        <w:shd w:fill="F4F4F4" w:val="clear"/>
        <w:spacing w:after="0" w:line="240"/>
      </w:pPr>
      <w:r>
        <w:rPr>
          <w:rFonts w:ascii="Courier New" w:cs="Courier New" w:eastAsia="Courier New" w:hAnsi="Courier New"/>
          <w:sz w:val="17"/>
          <w:szCs w:val="17"/>
        </w:rPr>
        <w:t xml:space="preserve">// metadata.json — minimum fields</w:t>
      </w:r>
    </w:p>
    <w:p>
      <w:pPr>
        <w:shd w:fill="F4F4F4" w:val="clear"/>
        <w:spacing w:after="0" w:line="240"/>
      </w:pPr>
      <w:r>
        <w:rPr>
          <w:rFonts w:ascii="Courier New" w:cs="Courier New" w:eastAsia="Courier New" w:hAnsi="Courier New"/>
          <w:sz w:val="17"/>
          <w:szCs w:val="17"/>
        </w:rPr>
        <w:t xml:space="preserve">{</w:t>
      </w:r>
    </w:p>
    <w:p>
      <w:pPr>
        <w:shd w:fill="F4F4F4" w:val="clear"/>
        <w:spacing w:after="0" w:line="240"/>
      </w:pPr>
      <w:r>
        <w:rPr>
          <w:rFonts w:ascii="Courier New" w:cs="Courier New" w:eastAsia="Courier New" w:hAnsi="Courier New"/>
          <w:sz w:val="17"/>
          <w:szCs w:val="17"/>
        </w:rPr>
        <w:t xml:space="preserve">  "run_id": "run_123",</w:t>
      </w:r>
    </w:p>
    <w:p>
      <w:pPr>
        <w:shd w:fill="F4F4F4" w:val="clear"/>
        <w:spacing w:after="0" w:line="240"/>
      </w:pPr>
      <w:r>
        <w:rPr>
          <w:rFonts w:ascii="Courier New" w:cs="Courier New" w:eastAsia="Courier New" w:hAnsi="Courier New"/>
          <w:sz w:val="17"/>
          <w:szCs w:val="17"/>
        </w:rPr>
        <w:t xml:space="preserve">  "platform_version": "1.1.0",</w:t>
      </w:r>
    </w:p>
    <w:p>
      <w:pPr>
        <w:shd w:fill="F4F4F4" w:val="clear"/>
        <w:spacing w:after="0" w:line="240"/>
      </w:pPr>
      <w:r>
        <w:rPr>
          <w:rFonts w:ascii="Courier New" w:cs="Courier New" w:eastAsia="Courier New" w:hAnsi="Courier New"/>
          <w:sz w:val="17"/>
          <w:szCs w:val="17"/>
        </w:rPr>
        <w:t xml:space="preserve">  "output_schema_version": "1.0",     // bump on ANY output-column change</w:t>
      </w:r>
    </w:p>
    <w:p>
      <w:pPr>
        <w:shd w:fill="F4F4F4" w:val="clear"/>
        <w:spacing w:after="0" w:line="240"/>
      </w:pPr>
      <w:r>
        <w:rPr>
          <w:rFonts w:ascii="Courier New" w:cs="Courier New" w:eastAsia="Courier New" w:hAnsi="Courier New"/>
          <w:sz w:val="17"/>
          <w:szCs w:val="17"/>
        </w:rPr>
        <w:t xml:space="preserve">  "created_at": "2026-07-09T15:20:00Z",</w:t>
      </w:r>
    </w:p>
    <w:p>
      <w:pPr>
        <w:shd w:fill="F4F4F4" w:val="clear"/>
        <w:spacing w:after="0" w:line="240"/>
      </w:pPr>
      <w:r>
        <w:rPr>
          <w:rFonts w:ascii="Courier New" w:cs="Courier New" w:eastAsia="Courier New" w:hAnsi="Courier New"/>
          <w:sz w:val="17"/>
          <w:szCs w:val="17"/>
        </w:rPr>
        <w:t xml:space="preserve">  "dataset": { "filename": "corpus.csv", "row_count": 1000,</w:t>
      </w:r>
    </w:p>
    <w:p>
      <w:pPr>
        <w:shd w:fill="F4F4F4" w:val="clear"/>
        <w:spacing w:after="0" w:line="240"/>
      </w:pPr>
      <w:r>
        <w:rPr>
          <w:rFonts w:ascii="Courier New" w:cs="Courier New" w:eastAsia="Courier New" w:hAnsi="Courier New"/>
          <w:sz w:val="17"/>
          <w:szCs w:val="17"/>
        </w:rPr>
        <w:t xml:space="preserve">                "text_column": "text", "n_dropped_empty": 4 },</w:t>
      </w:r>
    </w:p>
    <w:p>
      <w:pPr>
        <w:shd w:fill="F4F4F4" w:val="clear"/>
        <w:spacing w:after="0" w:line="240"/>
      </w:pPr>
      <w:r>
        <w:rPr>
          <w:rFonts w:ascii="Courier New" w:cs="Courier New" w:eastAsia="Courier New" w:hAnsi="Courier New"/>
          <w:sz w:val="17"/>
          <w:szCs w:val="17"/>
        </w:rPr>
        <w:t xml:space="preserve">  "language": { "selected": "en", "detected_summary": "en (0.97)" },</w:t>
      </w:r>
    </w:p>
    <w:p>
      <w:pPr>
        <w:shd w:fill="F4F4F4" w:val="clear"/>
        <w:spacing w:after="0" w:line="240"/>
      </w:pPr>
      <w:r>
        <w:rPr>
          <w:rFonts w:ascii="Courier New" w:cs="Courier New" w:eastAsia="Courier New" w:hAnsi="Courier New"/>
          <w:sz w:val="17"/>
          <w:szCs w:val="17"/>
        </w:rPr>
        <w:t xml:space="preserve">  "model": { "id": "all-minilm-l6-v2",</w:t>
      </w:r>
    </w:p>
    <w:p>
      <w:pPr>
        <w:shd w:fill="F4F4F4" w:val="clear"/>
        <w:spacing w:after="0" w:line="240"/>
      </w:pPr>
      <w:r>
        <w:rPr>
          <w:rFonts w:ascii="Courier New" w:cs="Courier New" w:eastAsia="Courier New" w:hAnsi="Courier New"/>
          <w:sz w:val="17"/>
          <w:szCs w:val="17"/>
        </w:rPr>
        <w:t xml:space="preserve">             "provider_model_id": "sentence-transformers/all-MiniLM-L6-v2",</w:t>
      </w:r>
    </w:p>
    <w:p>
      <w:pPr>
        <w:shd w:fill="F4F4F4" w:val="clear"/>
        <w:spacing w:after="0" w:line="240"/>
      </w:pPr>
      <w:r>
        <w:rPr>
          <w:rFonts w:ascii="Courier New" w:cs="Courier New" w:eastAsia="Courier New" w:hAnsi="Courier New"/>
          <w:sz w:val="17"/>
          <w:szCs w:val="17"/>
        </w:rPr>
        <w:t xml:space="preserve">             "revision": "&lt;pinned&gt;", "usage_config": { "requires_prefix": false } },</w:t>
      </w:r>
    </w:p>
    <w:p>
      <w:pPr>
        <w:shd w:fill="F4F4F4" w:val="clear"/>
        <w:spacing w:after="0" w:line="240"/>
      </w:pPr>
      <w:r>
        <w:rPr>
          <w:rFonts w:ascii="Courier New" w:cs="Courier New" w:eastAsia="Courier New" w:hAnsi="Courier New"/>
          <w:sz w:val="17"/>
          <w:szCs w:val="17"/>
        </w:rPr>
        <w:t xml:space="preserve">  "construct": { "name": "Satisfaction with Life", "version": 2,</w:t>
      </w:r>
    </w:p>
    <w:p>
      <w:pPr>
        <w:shd w:fill="F4F4F4" w:val="clear"/>
        <w:spacing w:after="0" w:line="240"/>
      </w:pPr>
      <w:r>
        <w:rPr>
          <w:rFonts w:ascii="Courier New" w:cs="Courier New" w:eastAsia="Courier New" w:hAnsi="Courier New"/>
          <w:sz w:val="17"/>
          <w:szCs w:val="17"/>
        </w:rPr>
        <w:t xml:space="preserve">                 "item_hash": "sha256...", "items": [ ... ] },</w:t>
      </w:r>
    </w:p>
    <w:p>
      <w:pPr>
        <w:shd w:fill="F4F4F4" w:val="clear"/>
        <w:spacing w:after="0" w:line="240"/>
      </w:pPr>
      <w:r>
        <w:rPr>
          <w:rFonts w:ascii="Courier New" w:cs="Courier New" w:eastAsia="Courier New" w:hAnsi="Courier New"/>
          <w:sz w:val="17"/>
          <w:szCs w:val="17"/>
        </w:rPr>
        <w:t xml:space="preserve">  "preprocessing": { ... },</w:t>
      </w:r>
    </w:p>
    <w:p>
      <w:pPr>
        <w:shd w:fill="F4F4F4" w:val="clear"/>
        <w:spacing w:after="0" w:line="240"/>
      </w:pPr>
      <w:r>
        <w:rPr>
          <w:rFonts w:ascii="Courier New" w:cs="Courier New" w:eastAsia="Courier New" w:hAnsi="Courier New"/>
          <w:sz w:val="17"/>
          <w:szCs w:val="17"/>
        </w:rPr>
        <w:t xml:space="preserve">  "scoring": { "adjustment_strategy": "exclude_reversed",</w:t>
      </w:r>
    </w:p>
    <w:p>
      <w:pPr>
        <w:shd w:fill="F4F4F4" w:val="clear"/>
        <w:spacing w:after="0" w:line="240"/>
      </w:pPr>
      <w:r>
        <w:rPr>
          <w:rFonts w:ascii="Courier New" w:cs="Courier New" w:eastAsia="Courier New" w:hAnsi="Courier New"/>
          <w:sz w:val="17"/>
          <w:szCs w:val="17"/>
        </w:rPr>
        <w:t xml:space="preserve">               "aggregate": "mean_non_reversed" },</w:t>
      </w:r>
    </w:p>
    <w:p>
      <w:pPr>
        <w:shd w:fill="F4F4F4" w:val="clear"/>
        <w:spacing w:after="0" w:line="240"/>
      </w:pPr>
      <w:r>
        <w:rPr>
          <w:rFonts w:ascii="Courier New" w:cs="Courier New" w:eastAsia="Courier New" w:hAnsi="Courier New"/>
          <w:sz w:val="17"/>
          <w:szCs w:val="17"/>
        </w:rPr>
        <w:t xml:space="preserve">  "output_schema": ["id", "text", "sim_item_1_raw", "...", "ccr_score"],</w:t>
      </w:r>
    </w:p>
    <w:p>
      <w:pPr>
        <w:shd w:fill="F4F4F4" w:val="clear"/>
        <w:spacing w:after="0" w:line="240"/>
      </w:pPr>
      <w:r>
        <w:rPr>
          <w:rFonts w:ascii="Courier New" w:cs="Courier New" w:eastAsia="Courier New" w:hAnsi="Courier New"/>
          <w:sz w:val="17"/>
          <w:szCs w:val="17"/>
        </w:rPr>
        <w:t xml:space="preserve">  "warnings": [ ... ]</w:t>
      </w:r>
    </w:p>
    <w:p>
      <w:pPr>
        <w:shd w:fill="F4F4F4" w:val="clear"/>
        <w:spacing w:after="0" w:line="240"/>
      </w:pPr>
      <w:r>
        <w:rPr>
          <w:rFonts w:ascii="Courier New" w:cs="Courier New" w:eastAsia="Courier New" w:hAnsi="Courier New"/>
          <w:sz w:val="17"/>
          <w:szCs w:val="17"/>
        </w:rPr>
        <w:t xml:space="preserve">}</w:t>
      </w:r>
    </w:p>
    <w:p>
      <w:pPr>
        <w:spacing w:after="120"/>
      </w:pPr>
    </w:p>
    <w:p>
      <w:pPr>
        <w:pStyle w:val="Heading1"/>
      </w:pPr>
      <w:r>
        <w:t xml:space="preserve">15. Repository Structure and AI-Assisted Workflow</w:t>
      </w:r>
    </w:p>
    <w:p>
      <w:pPr>
        <w:shd w:fill="F4F4F4" w:val="clear"/>
        <w:spacing w:after="0" w:line="240"/>
      </w:pPr>
      <w:r>
        <w:rPr>
          <w:rFonts w:ascii="Courier New" w:cs="Courier New" w:eastAsia="Courier New" w:hAnsi="Courier New"/>
          <w:sz w:val="17"/>
          <w:szCs w:val="17"/>
        </w:rPr>
        <w:t xml:space="preserve">ccr-platform/</w:t>
      </w:r>
    </w:p>
    <w:p>
      <w:pPr>
        <w:shd w:fill="F4F4F4" w:val="clear"/>
        <w:spacing w:after="0" w:line="240"/>
      </w:pPr>
      <w:r>
        <w:rPr>
          <w:rFonts w:ascii="Courier New" w:cs="Courier New" w:eastAsia="Courier New" w:hAnsi="Courier New"/>
          <w:sz w:val="17"/>
          <w:szCs w:val="17"/>
        </w:rPr>
        <w:t xml:space="preserve">  README.md  CLAUDE.md  DESIGN.md  DECISIONS.md  WORKLOG.md  CHANGELOG.md</w:t>
      </w:r>
    </w:p>
    <w:p>
      <w:pPr>
        <w:shd w:fill="F4F4F4" w:val="clear"/>
        <w:spacing w:after="0" w:line="240"/>
      </w:pPr>
      <w:r>
        <w:rPr>
          <w:rFonts w:ascii="Courier New" w:cs="Courier New" w:eastAsia="Courier New" w:hAnsi="Courier New"/>
          <w:sz w:val="17"/>
          <w:szCs w:val="17"/>
        </w:rPr>
        <w:t xml:space="preserve">  docs/specs/          # 0001-descriptive-stats ... 0005-auth-and-projects</w:t>
      </w:r>
    </w:p>
    <w:p>
      <w:pPr>
        <w:shd w:fill="F4F4F4" w:val="clear"/>
        <w:spacing w:after="0" w:line="240"/>
      </w:pPr>
      <w:r>
        <w:rPr>
          <w:rFonts w:ascii="Courier New" w:cs="Courier New" w:eastAsia="Courier New" w:hAnsi="Courier New"/>
          <w:sz w:val="17"/>
          <w:szCs w:val="17"/>
        </w:rPr>
        <w:t xml:space="preserve">  docs/research/       # reverse-scoring-notes, model-selection-notes</w:t>
      </w:r>
    </w:p>
    <w:p>
      <w:pPr>
        <w:shd w:fill="F4F4F4" w:val="clear"/>
        <w:spacing w:after="0" w:line="240"/>
      </w:pPr>
      <w:r>
        <w:rPr>
          <w:rFonts w:ascii="Courier New" w:cs="Courier New" w:eastAsia="Courier New" w:hAnsi="Courier New"/>
          <w:sz w:val="17"/>
          <w:szCs w:val="17"/>
        </w:rPr>
        <w:t xml:space="preserve">  packages/ccr_engine/       # pure analysis package + tests</w:t>
      </w:r>
    </w:p>
    <w:p>
      <w:pPr>
        <w:shd w:fill="F4F4F4" w:val="clear"/>
        <w:spacing w:after="0" w:line="240"/>
      </w:pPr>
      <w:r>
        <w:rPr>
          <w:rFonts w:ascii="Courier New" w:cs="Courier New" w:eastAsia="Courier New" w:hAnsi="Courier New"/>
          <w:sz w:val="17"/>
          <w:szCs w:val="17"/>
        </w:rPr>
        <w:t xml:space="preserve">  packages/model_registry/   # models.yaml, language_sets.py, validators</w:t>
      </w:r>
    </w:p>
    <w:p>
      <w:pPr>
        <w:shd w:fill="F4F4F4" w:val="clear"/>
        <w:spacing w:after="0" w:line="240"/>
      </w:pPr>
      <w:r>
        <w:rPr>
          <w:rFonts w:ascii="Courier New" w:cs="Courier New" w:eastAsia="Courier New" w:hAnsi="Courier New"/>
          <w:sz w:val="17"/>
          <w:szCs w:val="17"/>
        </w:rPr>
        <w:t xml:space="preserve">  packages/construct_library/ # constructs + schema + validators</w:t>
      </w:r>
    </w:p>
    <w:p>
      <w:pPr>
        <w:shd w:fill="F4F4F4" w:val="clear"/>
        <w:spacing w:after="0" w:line="240"/>
      </w:pPr>
      <w:r>
        <w:rPr>
          <w:rFonts w:ascii="Courier New" w:cs="Courier New" w:eastAsia="Courier New" w:hAnsi="Courier New"/>
          <w:sz w:val="17"/>
          <w:szCs w:val="17"/>
        </w:rPr>
        <w:t xml:space="preserve">  evals/               # golden datasets, expected outputs, parity runner</w:t>
      </w:r>
    </w:p>
    <w:p>
      <w:pPr>
        <w:shd w:fill="F4F4F4" w:val="clear"/>
        <w:spacing w:after="0" w:line="240"/>
      </w:pPr>
      <w:r>
        <w:rPr>
          <w:rFonts w:ascii="Courier New" w:cs="Courier New" w:eastAsia="Courier New" w:hAnsi="Courier New"/>
          <w:sz w:val="17"/>
          <w:szCs w:val="17"/>
        </w:rPr>
        <w:t xml:space="preserve">  apps/                # web/, api/  (Phase 2 split — not immediate)</w:t>
      </w:r>
    </w:p>
    <w:p>
      <w:pPr>
        <w:shd w:fill="F4F4F4" w:val="clear"/>
        <w:spacing w:after="0" w:line="240"/>
      </w:pPr>
      <w:r>
        <w:rPr>
          <w:rFonts w:ascii="Courier New" w:cs="Courier New" w:eastAsia="Courier New" w:hAnsi="Courier New"/>
          <w:sz w:val="17"/>
          <w:szCs w:val="17"/>
        </w:rPr>
        <w:t xml:space="preserve">  workers/             # analysis_worker/  (Phase 2, after Postgres jobs)</w:t>
      </w:r>
    </w:p>
    <w:p>
      <w:pPr>
        <w:spacing w:after="60"/>
      </w:pPr>
    </w:p>
    <w:p>
      <w:pPr>
        <w:spacing w:after="120" w:before="0"/>
      </w:pPr>
      <w:r>
        <w:rPr>
          <w:b/>
          <w:bCs/>
          <w:i w:val="false"/>
          <w:iCs w:val="false"/>
          <w:sz w:val="21"/>
          <w:szCs w:val="21"/>
        </w:rPr>
        <w:t xml:space="preserve">Registry phase split: </w:t>
      </w:r>
      <w:r>
        <w:rPr>
          <w:b w:val="false"/>
          <w:bCs w:val="false"/>
          <w:i w:val="false"/>
          <w:iCs w:val="false"/>
          <w:sz w:val="21"/>
          <w:szCs w:val="21"/>
        </w:rPr>
        <w:t xml:space="preserve">Phase 0 = static models.yaml + loader (drives dropdown, prefixes, warnings, script export — the script generator depends on it, so it lands first). Phase 1 = validation, pinned revisions, measured benchmarks, language-set resolver. Phase 2 = admin management only if needed.</w:t>
      </w:r>
    </w:p>
    <w:p>
      <w:pPr>
        <w:pStyle w:val="Heading2"/>
      </w:pPr>
      <w:r>
        <w:t xml:space="preserve">15.1 Claude Code operating model</w:t>
      </w:r>
    </w:p>
    <w:p>
      <w:pPr>
        <w:spacing w:after="120" w:before="0"/>
      </w:pPr>
      <w:r>
        <w:rPr>
          <w:b w:val="false"/>
          <w:bCs w:val="false"/>
          <w:i w:val="false"/>
          <w:iCs w:val="false"/>
          <w:sz w:val="21"/>
          <w:szCs w:val="21"/>
        </w:rPr>
        <w:t xml:space="preserve">Claude Code is an implementation accelerator, not the source of architectural authority. High-leverage allowed uses: generating small implementation diffs from approved specs; writing unit/integration/golden/parity tests; refactoring behind stable interfaces; drafting migration scripts and validators; generating docs from accepted behavior; running focused debugging loops against failing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960"/>
      </w:tblGrid>
      <w:tr>
        <w:trPr>
          <w:tblHeader/>
        </w:trPr>
        <w:tc>
          <w:tcPr>
            <w:tcW w:type="dxa" w:w="15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Loop step</w:t>
            </w:r>
          </w:p>
        </w:tc>
        <w:tc>
          <w:tcPr>
            <w:tcW w:type="dxa" w:w="39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Human (Deva)</w:t>
            </w:r>
          </w:p>
        </w:tc>
        <w:tc>
          <w:tcPr>
            <w:tcW w:type="dxa" w:w="396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Claude Code</w:t>
            </w:r>
          </w:p>
        </w:tc>
      </w:tr>
      <w:tr>
        <w:tc>
          <w:tcPr>
            <w:tcW w:type="dxa" w:w="1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1. Spec</w:t>
            </w:r>
          </w:p>
        </w:tc>
        <w:tc>
          <w:tcPr>
            <w:tcW w:type="dxa" w:w="3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Writes or approves the feature spec (contracts + tests).</w:t>
            </w:r>
          </w:p>
        </w:tc>
        <w:tc>
          <w:tcPr>
            <w:tcW w:type="dxa" w:w="39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Reviews the spec; surfaces missing cases.</w:t>
            </w:r>
          </w:p>
        </w:tc>
      </w:tr>
      <w:tr>
        <w:tc>
          <w:tcPr>
            <w:tcW w:type="dxa" w:w="1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2. Plan</w:t>
            </w:r>
          </w:p>
        </w:tc>
        <w:tc>
          <w:tcPr>
            <w:tcW w:type="dxa" w:w="3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Approves or edits the plan.</w:t>
            </w:r>
          </w:p>
        </w:tc>
        <w:tc>
          <w:tcPr>
            <w:tcW w:type="dxa" w:w="39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Lists files to change and steps.</w:t>
            </w:r>
          </w:p>
        </w:tc>
      </w:tr>
      <w:tr>
        <w:tc>
          <w:tcPr>
            <w:tcW w:type="dxa" w:w="1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3. Implement</w:t>
            </w:r>
          </w:p>
        </w:tc>
        <w:tc>
          <w:tcPr>
            <w:tcW w:type="dxa" w:w="3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Constrains scope.</w:t>
            </w:r>
          </w:p>
        </w:tc>
        <w:tc>
          <w:tcPr>
            <w:tcW w:type="dxa" w:w="39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Makes the smallest viable diff.</w:t>
            </w:r>
          </w:p>
        </w:tc>
      </w:tr>
      <w:tr>
        <w:tc>
          <w:tcPr>
            <w:tcW w:type="dxa" w:w="1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4. Verify</w:t>
            </w:r>
          </w:p>
        </w:tc>
        <w:tc>
          <w:tcPr>
            <w:tcW w:type="dxa" w:w="3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Runs tests/evals/build.</w:t>
            </w:r>
          </w:p>
        </w:tc>
        <w:tc>
          <w:tcPr>
            <w:tcW w:type="dxa" w:w="39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Fixes failures without changing the spec.</w:t>
            </w:r>
          </w:p>
        </w:tc>
      </w:tr>
      <w:tr>
        <w:tc>
          <w:tcPr>
            <w:tcW w:type="dxa" w:w="1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5. Review</w:t>
            </w:r>
          </w:p>
        </w:tc>
        <w:tc>
          <w:tcPr>
            <w:tcW w:type="dxa" w:w="3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Reads the diff manually.</w:t>
            </w:r>
          </w:p>
        </w:tc>
        <w:tc>
          <w:tcPr>
            <w:tcW w:type="dxa" w:w="39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Explains changed files and risks.</w:t>
            </w:r>
          </w:p>
        </w:tc>
      </w:tr>
      <w:tr>
        <w:tc>
          <w:tcPr>
            <w:tcW w:type="dxa" w:w="1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6. Commit</w:t>
            </w:r>
          </w:p>
        </w:tc>
        <w:tc>
          <w:tcPr>
            <w:tcW w:type="dxa" w:w="3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Commits small PR; merges.</w:t>
            </w:r>
          </w:p>
        </w:tc>
        <w:tc>
          <w:tcPr>
            <w:tcW w:type="dxa" w:w="39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Never self-merges architecture changes.</w:t>
            </w:r>
          </w:p>
        </w:tc>
      </w:tr>
    </w:tbl>
    <w:p>
      <w:pPr>
        <w:spacing w:after="60"/>
      </w:pPr>
    </w:p>
    <w:p>
      <w:pPr>
        <w:spacing w:after="120" w:before="0"/>
      </w:pPr>
      <w:r>
        <w:rPr>
          <w:b/>
          <w:bCs/>
          <w:i w:val="false"/>
          <w:iCs w:val="false"/>
          <w:sz w:val="21"/>
          <w:szCs w:val="21"/>
        </w:rPr>
        <w:t xml:space="preserve">Hard rules (enforced in CLAUDE.md): </w:t>
      </w:r>
      <w:r>
        <w:rPr>
          <w:b w:val="false"/>
          <w:bCs w:val="false"/>
          <w:i w:val="false"/>
          <w:iCs w:val="false"/>
          <w:sz w:val="21"/>
          <w:szCs w:val="21"/>
        </w:rPr>
        <w:t xml:space="preserve">analysis logic only in packages/ccr_engine; model behavior only via the registry (no bypasses); never silently change output column names; never remove warnings to make tests pass; never log uploaded text; no new infrastructure without a DECISIONS.md entry; never edit golden expected outputs unless the human explicitly approves the behavior change.</w:t>
      </w:r>
    </w:p>
    <w:p>
      <w:pPr>
        <w:spacing w:after="120" w:before="0"/>
      </w:pPr>
      <w:r>
        <w:rPr>
          <w:b/>
          <w:bCs/>
          <w:i w:val="false"/>
          <w:iCs w:val="false"/>
          <w:sz w:val="21"/>
          <w:szCs w:val="21"/>
        </w:rPr>
        <w:t xml:space="preserve">Automation: </w:t>
      </w:r>
      <w:r>
        <w:rPr>
          <w:b w:val="false"/>
          <w:bCs w:val="false"/>
          <w:i w:val="false"/>
          <w:iCs w:val="false"/>
          <w:sz w:val="21"/>
          <w:szCs w:val="21"/>
        </w:rPr>
        <w:t xml:space="preserve">pre-commit = formatting, linting, type checks, secret scan. CI = unit tests, golden evals, ccr_wrapper parity, export-sanitization tests, metadata-schema tests. PR checklist = spec link, DECISIONS.md link if architecture changed, test evidence, reproducibility impact.</w:t>
      </w:r>
    </w:p>
    <w:p>
      <w:pPr>
        <w:spacing w:after="120" w:before="0"/>
      </w:pPr>
      <w:r>
        <w:rPr>
          <w:b/>
          <w:bCs/>
          <w:i w:val="false"/>
          <w:iCs w:val="false"/>
          <w:sz w:val="21"/>
          <w:szCs w:val="21"/>
        </w:rPr>
        <w:t xml:space="preserve">Multi-agent pattern (added only once repo structure + tests exist — not day one): </w:t>
      </w:r>
      <w:r>
        <w:rPr>
          <w:b w:val="false"/>
          <w:bCs w:val="false"/>
          <w:i w:val="false"/>
          <w:iCs w:val="false"/>
          <w:sz w:val="21"/>
          <w:szCs w:val="21"/>
        </w:rPr>
        <w:t xml:space="preserve">planner (spec → plan), implementer (smallest diff), test agent (tests/evals), reviewer (architecture violations, schema drift, registry bypasses, reproducibility gaps), docs agent (README/DESIGN/DECISIONS). The full playbook lives in docs/implementation-playbook.md as an internal document.</w:t>
      </w:r>
    </w:p>
    <w:p>
      <w:pPr>
        <w:spacing w:after="120"/>
      </w:pPr>
    </w:p>
    <w:p>
      <w:pPr>
        <w:pStyle w:val="Heading1"/>
      </w:pPr>
      <w:r>
        <w:t xml:space="preserve">16. Testing and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4660"/>
      </w:tblGrid>
      <w:tr>
        <w:trPr>
          <w:tblHeader/>
        </w:trPr>
        <w:tc>
          <w:tcPr>
            <w:tcW w:type="dxa" w:w="19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Test type</w:t>
            </w:r>
          </w:p>
        </w:tc>
        <w:tc>
          <w:tcPr>
            <w:tcW w:type="dxa" w:w="28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Purpose</w:t>
            </w:r>
          </w:p>
        </w:tc>
        <w:tc>
          <w:tcPr>
            <w:tcW w:type="dxa" w:w="466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Examples</w:t>
            </w:r>
          </w:p>
        </w:tc>
      </w:tr>
      <w:tr>
        <w:tc>
          <w:tcPr>
            <w:tcW w:type="dxa" w:w="1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Unit</w:t>
            </w:r>
          </w:p>
        </w:tc>
        <w:tc>
          <w:tcPr>
            <w:tcW w:type="dxa" w:w="28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Function-level correctness.</w:t>
            </w:r>
          </w:p>
        </w:tc>
        <w:tc>
          <w:tcPr>
            <w:tcW w:type="dxa" w:w="46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Stats, warnings, construct hash, registry validation, script generation, sanitizers.</w:t>
            </w:r>
          </w:p>
        </w:tc>
      </w:tr>
      <w:tr>
        <w:tc>
          <w:tcPr>
            <w:tcW w:type="dxa" w:w="1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Integration</w:t>
            </w:r>
          </w:p>
        </w:tc>
        <w:tc>
          <w:tcPr>
            <w:tcW w:type="dxa" w:w="28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End-to-end backend behavior.</w:t>
            </w:r>
          </w:p>
        </w:tc>
        <w:tc>
          <w:tcPr>
            <w:tcW w:type="dxa" w:w="46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Upload → job → engine → outputs → download; failure paths.</w:t>
            </w:r>
          </w:p>
        </w:tc>
      </w:tr>
      <w:tr>
        <w:tc>
          <w:tcPr>
            <w:tcW w:type="dxa" w:w="1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Golden dataset evals</w:t>
            </w:r>
          </w:p>
        </w:tc>
        <w:tc>
          <w:tcPr>
            <w:tcW w:type="dxa" w:w="28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Prevent silent research-behavior drift.</w:t>
            </w:r>
          </w:p>
        </w:tc>
        <w:tc>
          <w:tcPr>
            <w:tcW w:type="dxa" w:w="46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Known corpora produce stable output shape, metadata, warnings; all-reversed edge case.</w:t>
            </w:r>
          </w:p>
        </w:tc>
      </w:tr>
      <w:tr>
        <w:tc>
          <w:tcPr>
            <w:tcW w:type="dxa" w:w="1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Reference parity</w:t>
            </w:r>
          </w:p>
        </w:tc>
        <w:tc>
          <w:tcPr>
            <w:tcW w:type="dxa" w:w="28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The published implementation is the spec.</w:t>
            </w:r>
          </w:p>
        </w:tc>
        <w:tc>
          <w:tcPr>
            <w:tcW w:type="dxa" w:w="46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Same corpus + items through ccr_wrapper and ccr_engine match within float tolerance.</w:t>
            </w:r>
          </w:p>
        </w:tc>
      </w:tr>
      <w:tr>
        <w:tc>
          <w:tcPr>
            <w:tcW w:type="dxa" w:w="1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Frontend</w:t>
            </w:r>
          </w:p>
        </w:tc>
        <w:tc>
          <w:tcPr>
            <w:tcW w:type="dxa" w:w="28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Prevent UX regressions.</w:t>
            </w:r>
          </w:p>
        </w:tc>
        <w:tc>
          <w:tcPr>
            <w:tcW w:type="dxa" w:w="46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Upload form, warnings display, results dashboard, downloads.</w:t>
            </w:r>
          </w:p>
        </w:tc>
      </w:tr>
      <w:tr>
        <w:tc>
          <w:tcPr>
            <w:tcW w:type="dxa" w:w="1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Accessibility</w:t>
            </w:r>
          </w:p>
        </w:tc>
        <w:tc>
          <w:tcPr>
            <w:tcW w:type="dxa" w:w="28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Public lab tool usability.</w:t>
            </w:r>
          </w:p>
        </w:tc>
        <w:tc>
          <w:tcPr>
            <w:tcW w:type="dxa" w:w="46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Keyboard navigation, labels, contrast, chart-table equivalents.</w:t>
            </w:r>
          </w:p>
        </w:tc>
      </w:tr>
    </w:tbl>
    <w:p>
      <w:pPr>
        <w:spacing w:after="60"/>
      </w:pPr>
    </w:p>
    <w:p>
      <w:pPr>
        <w:pStyle w:val="ListParagraph"/>
        <w:numPr>
          <w:ilvl w:val="0"/>
          <w:numId w:val="2"/>
        </w:numPr>
        <w:spacing w:after="60"/>
      </w:pPr>
      <w:r>
        <w:rPr>
          <w:b w:val="false"/>
          <w:bCs w:val="false"/>
          <w:i w:val="false"/>
          <w:iCs w:val="false"/>
          <w:sz w:val="21"/>
          <w:szCs w:val="21"/>
        </w:rPr>
        <w:t xml:space="preserve">Run parity in the same container image as production where possible (BLAS/threading variance).</w:t>
      </w:r>
    </w:p>
    <w:p>
      <w:pPr>
        <w:pStyle w:val="ListParagraph"/>
        <w:numPr>
          <w:ilvl w:val="0"/>
          <w:numId w:val="2"/>
        </w:numPr>
        <w:spacing w:after="60"/>
      </w:pPr>
      <w:r>
        <w:rPr>
          <w:b w:val="false"/>
          <w:bCs w:val="false"/>
          <w:i w:val="false"/>
          <w:iCs w:val="false"/>
          <w:sz w:val="21"/>
          <w:szCs w:val="21"/>
        </w:rPr>
        <w:t xml:space="preserve">Pin Hugging Face model revisions in BOTH the reference and platform paths — never compare a pinned model against a moving main branch.</w:t>
      </w:r>
    </w:p>
    <w:p>
      <w:pPr>
        <w:pStyle w:val="ListParagraph"/>
        <w:numPr>
          <w:ilvl w:val="0"/>
          <w:numId w:val="2"/>
        </w:numPr>
        <w:spacing w:after="60"/>
      </w:pPr>
      <w:r>
        <w:rPr>
          <w:b w:val="false"/>
          <w:bCs w:val="false"/>
          <w:i w:val="false"/>
          <w:iCs w:val="false"/>
          <w:sz w:val="21"/>
          <w:szCs w:val="21"/>
        </w:rPr>
        <w:t xml:space="preserve">Use float tolerance (atol) rather than exact equality; fail hard on output shape, missing metadata, or warning drift.</w:t>
      </w:r>
    </w:p>
    <w:p>
      <w:pPr>
        <w:spacing w:after="120"/>
      </w:pPr>
    </w:p>
    <w:p>
      <w:pPr>
        <w:pStyle w:val="Heading1"/>
      </w:pPr>
      <w:r>
        <w:t xml:space="preserve">17. Operational Safety</w:t>
      </w:r>
    </w:p>
    <w:p>
      <w:pPr>
        <w:pStyle w:val="Heading2"/>
      </w:pPr>
      <w:r>
        <w:t xml:space="preserve">17.1 Export safety</w:t>
      </w:r>
    </w:p>
    <w:p>
      <w:pPr>
        <w:spacing w:after="120" w:before="0"/>
      </w:pPr>
      <w:r>
        <w:rPr>
          <w:b w:val="false"/>
          <w:bCs w:val="false"/>
          <w:i w:val="false"/>
          <w:iCs w:val="false"/>
          <w:sz w:val="21"/>
          <w:szCs w:val="21"/>
        </w:rPr>
        <w:t xml:space="preserve">All CSV/XLSX exports sanitize user-controlled cell values beginning with =, +, −, @, tab, or carriage return before writing spreadsheet-openable files (OWASP CSV injection). Exports echo user-uploaded text back out — this is the textbook injection path.</w:t>
      </w:r>
    </w:p>
    <w:p>
      <w:pPr>
        <w:pStyle w:val="Heading2"/>
      </w:pPr>
      <w:r>
        <w:t xml:space="preserve">17.2 Upload safety</w:t>
      </w:r>
    </w:p>
    <w:p>
      <w:pPr>
        <w:pStyle w:val="ListParagraph"/>
        <w:numPr>
          <w:ilvl w:val="0"/>
          <w:numId w:val="2"/>
        </w:numPr>
        <w:spacing w:after="60"/>
      </w:pPr>
      <w:r>
        <w:rPr>
          <w:b w:val="false"/>
          <w:bCs w:val="false"/>
          <w:i w:val="false"/>
          <w:iCs w:val="false"/>
          <w:sz w:val="21"/>
          <w:szCs w:val="21"/>
        </w:rPr>
        <w:t xml:space="preserve">Validate extension AND MIME type; trust neither alone.</w:t>
      </w:r>
    </w:p>
    <w:p>
      <w:pPr>
        <w:pStyle w:val="ListParagraph"/>
        <w:numPr>
          <w:ilvl w:val="0"/>
          <w:numId w:val="2"/>
        </w:numPr>
        <w:spacing w:after="60"/>
      </w:pPr>
      <w:r>
        <w:rPr>
          <w:b w:val="false"/>
          <w:bCs w:val="false"/>
          <w:i w:val="false"/>
          <w:iCs w:val="false"/>
          <w:sz w:val="21"/>
          <w:szCs w:val="21"/>
        </w:rPr>
        <w:t xml:space="preserve">File-size, row-count, column-count, and parsed-cell-count limits; reject XLSX that decompresses into excessive size (zip-bomb guard).</w:t>
      </w:r>
    </w:p>
    <w:p>
      <w:pPr>
        <w:pStyle w:val="ListParagraph"/>
        <w:numPr>
          <w:ilvl w:val="0"/>
          <w:numId w:val="2"/>
        </w:numPr>
        <w:spacing w:after="60"/>
      </w:pPr>
      <w:r>
        <w:rPr>
          <w:b w:val="false"/>
          <w:bCs w:val="false"/>
          <w:i w:val="false"/>
          <w:iCs w:val="false"/>
          <w:sz w:val="21"/>
          <w:szCs w:val="21"/>
        </w:rPr>
        <w:t xml:space="preserve">Sanitize on export regardless of upload validation.</w:t>
      </w:r>
    </w:p>
    <w:p>
      <w:pPr>
        <w:pStyle w:val="Heading2"/>
      </w:pPr>
      <w:r>
        <w:t xml:space="preserve">17.3 Postgres job leasing and state model</w:t>
      </w:r>
    </w:p>
    <w:p>
      <w:pPr>
        <w:shd w:fill="F4F4F4" w:val="clear"/>
        <w:spacing w:after="0" w:line="240"/>
      </w:pPr>
      <w:r>
        <w:rPr>
          <w:rFonts w:ascii="Courier New" w:cs="Courier New" w:eastAsia="Courier New" w:hAnsi="Courier New"/>
          <w:sz w:val="17"/>
          <w:szCs w:val="17"/>
        </w:rPr>
        <w:t xml:space="preserve">jobs: id, run_id, status, attempts, max_attempts,</w:t>
      </w:r>
    </w:p>
    <w:p>
      <w:pPr>
        <w:shd w:fill="F4F4F4" w:val="clear"/>
        <w:spacing w:after="0" w:line="240"/>
      </w:pPr>
      <w:r>
        <w:rPr>
          <w:rFonts w:ascii="Courier New" w:cs="Courier New" w:eastAsia="Courier New" w:hAnsi="Courier New"/>
          <w:sz w:val="17"/>
          <w:szCs w:val="17"/>
        </w:rPr>
        <w:t xml:space="preserve">      locked_at, lease_expires_at, last_error, created_at, updated_at</w:t>
      </w:r>
    </w:p>
    <w:p>
      <w:pPr>
        <w:shd w:fill="F4F4F4" w:val="clear"/>
        <w:spacing w:after="0" w:line="240"/>
      </w:pPr>
      <w:r>
        <w:rPr>
          <w:rFonts w:ascii="Courier New" w:cs="Courier New" w:eastAsia="Courier New" w:hAnsi="Courier New"/>
          <w:sz w:val="17"/>
          <w:szCs w:val="17"/>
        </w:rPr>
        <w:t xml:space="preserve"> </w:t>
      </w:r>
    </w:p>
    <w:p>
      <w:pPr>
        <w:shd w:fill="F4F4F4" w:val="clear"/>
        <w:spacing w:after="0" w:line="240"/>
      </w:pPr>
      <w:r>
        <w:rPr>
          <w:rFonts w:ascii="Courier New" w:cs="Courier New" w:eastAsia="Courier New" w:hAnsi="Courier New"/>
          <w:sz w:val="17"/>
          <w:szCs w:val="17"/>
        </w:rPr>
        <w:t xml:space="preserve">worker rules:</w:t>
      </w:r>
    </w:p>
    <w:p>
      <w:pPr>
        <w:shd w:fill="F4F4F4" w:val="clear"/>
        <w:spacing w:after="0" w:line="240"/>
      </w:pPr>
      <w:r>
        <w:rPr>
          <w:rFonts w:ascii="Courier New" w:cs="Courier New" w:eastAsia="Courier New" w:hAnsi="Courier New"/>
          <w:sz w:val="17"/>
          <w:szCs w:val="17"/>
        </w:rPr>
        <w:t xml:space="preserve">  - claim queued/failed_retryable jobs via SELECT ... FOR UPDATE SKIP LOCKED</w:t>
      </w:r>
    </w:p>
    <w:p>
      <w:pPr>
        <w:shd w:fill="F4F4F4" w:val="clear"/>
        <w:spacing w:after="0" w:line="240"/>
      </w:pPr>
      <w:r>
        <w:rPr>
          <w:rFonts w:ascii="Courier New" w:cs="Courier New" w:eastAsia="Courier New" w:hAnsi="Courier New"/>
          <w:sz w:val="17"/>
          <w:szCs w:val="17"/>
        </w:rPr>
        <w:t xml:space="preserve">  - on claim: status=running, locked_at=now(), lease_expires_at=now()+N min</w:t>
      </w:r>
    </w:p>
    <w:p>
      <w:pPr>
        <w:shd w:fill="F4F4F4" w:val="clear"/>
        <w:spacing w:after="0" w:line="240"/>
      </w:pPr>
      <w:r>
        <w:rPr>
          <w:rFonts w:ascii="Courier New" w:cs="Courier New" w:eastAsia="Courier New" w:hAnsi="Courier New"/>
          <w:sz w:val="17"/>
          <w:szCs w:val="17"/>
        </w:rPr>
        <w:t xml:space="preserve">    (leasing lives in the lock fields; a separate 'leased' state is not needed)</w:t>
      </w:r>
    </w:p>
    <w:p>
      <w:pPr>
        <w:shd w:fill="F4F4F4" w:val="clear"/>
        <w:spacing w:after="0" w:line="240"/>
      </w:pPr>
      <w:r>
        <w:rPr>
          <w:rFonts w:ascii="Courier New" w:cs="Courier New" w:eastAsia="Courier New" w:hAnsi="Courier New"/>
          <w:sz w:val="17"/>
          <w:szCs w:val="17"/>
        </w:rPr>
        <w:t xml:space="preserve">  - poll every 1-2 s; LISTEN/NOTIFY is a rejected cleverness at lab scale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100"/>
        <w:gridCol w:w="2560"/>
      </w:tblGrid>
      <w:tr>
        <w:trPr>
          <w:tblHeader/>
        </w:trPr>
        <w:tc>
          <w:tcPr>
            <w:tcW w:type="dxa" w:w="17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State</w:t>
            </w:r>
          </w:p>
        </w:tc>
        <w:tc>
          <w:tcPr>
            <w:tcW w:type="dxa" w:w="51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Meaning</w:t>
            </w:r>
          </w:p>
        </w:tc>
        <w:tc>
          <w:tcPr>
            <w:tcW w:type="dxa" w:w="256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Exit transitions</w:t>
            </w:r>
          </w:p>
        </w:tc>
      </w:tr>
      <w:tr>
        <w:tc>
          <w:tcPr>
            <w:tcW w:type="dxa" w:w="1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queued</w:t>
            </w:r>
          </w:p>
        </w:tc>
        <w:tc>
          <w:tcPr>
            <w:tcW w:type="dxa" w:w="51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Created; eligible for claim.</w:t>
            </w:r>
          </w:p>
        </w:tc>
        <w:tc>
          <w:tcPr>
            <w:tcW w:type="dxa" w:w="25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 running (worker claim)</w:t>
            </w:r>
          </w:p>
        </w:tc>
      </w:tr>
      <w:tr>
        <w:tc>
          <w:tcPr>
            <w:tcW w:type="dxa" w:w="1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running</w:t>
            </w:r>
          </w:p>
        </w:tc>
        <w:tc>
          <w:tcPr>
            <w:tcW w:type="dxa" w:w="51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Claimed under an active lease (locked_at / lease_expires_at set).</w:t>
            </w:r>
          </w:p>
        </w:tc>
        <w:tc>
          <w:tcPr>
            <w:tcW w:type="dxa" w:w="25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 succeeded | failed_retryable | failed_terminal; expired lease → sweeper decides</w:t>
            </w:r>
          </w:p>
        </w:tc>
      </w:tr>
      <w:tr>
        <w:tc>
          <w:tcPr>
            <w:tcW w:type="dxa" w:w="1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succeeded</w:t>
            </w:r>
          </w:p>
        </w:tc>
        <w:tc>
          <w:tcPr>
            <w:tcW w:type="dxa" w:w="51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Outputs + metadata written. Terminal.</w:t>
            </w:r>
          </w:p>
        </w:tc>
        <w:tc>
          <w:tcPr>
            <w:tcW w:type="dxa" w:w="25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w:t>
            </w:r>
          </w:p>
        </w:tc>
      </w:tr>
      <w:tr>
        <w:tc>
          <w:tcPr>
            <w:tcW w:type="dxa" w:w="1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failed_retryable</w:t>
            </w:r>
          </w:p>
        </w:tc>
        <w:tc>
          <w:tcPr>
            <w:tcW w:type="dxa" w:w="51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Transient failure (worker death, lease expiry, OOM, timeout) with attempts &lt; max_attempts. Sweeper requeues with attempts+1.</w:t>
            </w:r>
          </w:p>
        </w:tc>
        <w:tc>
          <w:tcPr>
            <w:tcW w:type="dxa" w:w="25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 running (re-claim) | dead_lettered (attempts exhausted)</w:t>
            </w:r>
          </w:p>
        </w:tc>
      </w:tr>
      <w:tr>
        <w:tc>
          <w:tcPr>
            <w:tcW w:type="dxa" w:w="1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failed_terminal</w:t>
            </w:r>
          </w:p>
        </w:tc>
        <w:tc>
          <w:tcPr>
            <w:tcW w:type="dxa" w:w="51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Non-retryable failure (invalid input, construct/column error). User sees a clear message. Terminal.</w:t>
            </w:r>
          </w:p>
        </w:tc>
        <w:tc>
          <w:tcPr>
            <w:tcW w:type="dxa" w:w="25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w:t>
            </w:r>
          </w:p>
        </w:tc>
      </w:tr>
      <w:tr>
        <w:tc>
          <w:tcPr>
            <w:tcW w:type="dxa" w:w="1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dead_lettered</w:t>
            </w:r>
          </w:p>
        </w:tc>
        <w:tc>
          <w:tcPr>
            <w:tcW w:type="dxa" w:w="51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Retries exhausted; admin-visible with logs pointer. Terminal until manual requeue.</w:t>
            </w:r>
          </w:p>
        </w:tc>
        <w:tc>
          <w:tcPr>
            <w:tcW w:type="dxa" w:w="25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 queued (manual admin action only)</w:t>
            </w:r>
          </w:p>
        </w:tc>
      </w:tr>
    </w:tbl>
    <w:p>
      <w:pPr>
        <w:spacing w:after="120" w:before="0"/>
      </w:pPr>
      <w:r>
        <w:rPr>
          <w:b/>
          <w:bCs/>
          <w:i w:val="false"/>
          <w:iCs w:val="false"/>
          <w:sz w:val="21"/>
          <w:szCs w:val="21"/>
        </w:rPr>
        <w:t xml:space="preserve">Retry eligibility is explicit in the state, not inferred: </w:t>
      </w:r>
      <w:r>
        <w:rPr>
          <w:b w:val="false"/>
          <w:bCs w:val="false"/>
          <w:i w:val="false"/>
          <w:iCs w:val="false"/>
          <w:sz w:val="21"/>
          <w:szCs w:val="21"/>
        </w:rPr>
        <w:t xml:space="preserve">the sweeper only touches failed_retryable and expired running leases; failed_terminal is never retried. This distinction is where worker bugs classically hide.</w:t>
      </w:r>
    </w:p>
    <w:p>
      <w:pPr>
        <w:spacing w:after="120"/>
      </w:pPr>
    </w:p>
    <w:p>
      <w:pPr>
        <w:pStyle w:val="Heading1"/>
      </w:pPr>
      <w:r>
        <w:t xml:space="preserve">18. Deployment Options and Cost</w:t>
      </w:r>
    </w:p>
    <w:p>
      <w:pPr>
        <w:spacing w:after="120" w:before="0"/>
      </w:pPr>
      <w:r>
        <w:rPr>
          <w:b/>
          <w:bCs/>
          <w:i w:val="false"/>
          <w:iCs w:val="false"/>
          <w:sz w:val="21"/>
          <w:szCs w:val="21"/>
        </w:rPr>
        <w:t xml:space="preserve">Cost numbers below are planning estimates only (as of July 2026); the final provider choice requires a fresh pricing check at purchase time — do not treat these figures as facts later. </w:t>
      </w:r>
      <w:r>
        <w:rPr>
          <w:b w:val="false"/>
          <w:bCs w:val="false"/>
          <w:i w:val="false"/>
          <w:iCs w:val="false"/>
          <w:sz w:val="21"/>
          <w:szCs w:val="21"/>
        </w:rPr>
        <w:t xml:space="preserve">Annual preference favors predictable fixed-price services over usage-billed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1800"/>
        <w:gridCol w:w="2360"/>
      </w:tblGrid>
      <w:tr>
        <w:trPr>
          <w:tblHeader/>
        </w:trPr>
        <w:tc>
          <w:tcPr>
            <w:tcW w:type="dxa" w:w="19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Option</w:t>
            </w:r>
          </w:p>
        </w:tc>
        <w:tc>
          <w:tcPr>
            <w:tcW w:type="dxa" w:w="33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Stack</w:t>
            </w:r>
          </w:p>
        </w:tc>
        <w:tc>
          <w:tcPr>
            <w:tcW w:type="dxa" w:w="18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Approx. cost</w:t>
            </w:r>
          </w:p>
        </w:tc>
        <w:tc>
          <w:tcPr>
            <w:tcW w:type="dxa" w:w="236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Notes</w:t>
            </w:r>
          </w:p>
        </w:tc>
      </w:tr>
      <w:tr>
        <w:tc>
          <w:tcPr>
            <w:tcW w:type="dxa" w:w="1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 — Prototype / staging</w:t>
            </w:r>
          </w:p>
        </w:tc>
        <w:tc>
          <w:tcPr>
            <w:tcW w:type="dxa" w:w="3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HF Space + Supabase/Neon free Postgres + R2 free tier.</w:t>
            </w:r>
          </w:p>
        </w:tc>
        <w:tc>
          <w:tcPr>
            <w:tcW w:type="dxa" w:w="18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$0/mo within limits</w:t>
            </w:r>
          </w:p>
        </w:tc>
        <w:tc>
          <w:tcPr>
            <w:tcW w:type="dxa" w:w="23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Great for demos and lab review. Caveats: quotas/sleep; Supabase free projects pause after inactivity.</w:t>
            </w:r>
          </w:p>
        </w:tc>
      </w:tr>
      <w:tr>
        <w:tc>
          <w:tcPr>
            <w:tcW w:type="dxa" w:w="1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B — Recommended production-lite</w:t>
            </w:r>
          </w:p>
        </w:tc>
        <w:tc>
          <w:tcPr>
            <w:tcW w:type="dxa" w:w="3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Supabase Pro (auth + Postgres + backups) + small app/worker host + Cloudflare R2.</w:t>
            </w:r>
          </w:p>
        </w:tc>
        <w:tc>
          <w:tcPr>
            <w:tcW w:type="dxa" w:w="18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$25–40/mo (≈ $300–480/yr before discounts)</w:t>
            </w:r>
          </w:p>
        </w:tc>
        <w:tc>
          <w:tcPr>
            <w:tcW w:type="dxa" w:w="23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Low ops burden; real auth and backups; R2's egress model (currently zero egress fees — verify at purchase) suits an export-download workload.</w:t>
            </w:r>
          </w:p>
        </w:tc>
      </w:tr>
      <w:tr>
        <w:tc>
          <w:tcPr>
            <w:tcW w:type="dxa" w:w="1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 — Single-provider cloud</w:t>
            </w:r>
          </w:p>
        </w:tc>
        <w:tc>
          <w:tcPr>
            <w:tcW w:type="dxa" w:w="3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Cloud Run + Cloud SQL + Cloud Storage + Secret Manager.</w:t>
            </w:r>
          </w:p>
        </w:tc>
        <w:tc>
          <w:tcPr>
            <w:tcW w:type="dxa" w:w="18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$40–100+/mo</w:t>
            </w:r>
          </w:p>
        </w:tc>
        <w:tc>
          <w:tcPr>
            <w:tcW w:type="dxa" w:w="23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Institution-friendly and durable; overkill before usage is proven.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C8" w:sz="1"/>
              <w:left w:val="single" w:color="C8C8C8" w:sz="1"/>
              <w:bottom w:val="single" w:color="C8C8C8" w:sz="1"/>
              <w:right w:val="single" w:color="C8C8C8" w:sz="1"/>
            </w:tcBorders>
            <w:shd w:fill="F6EBEF" w:val="clear"/>
            <w:tcMar>
              <w:top w:type="dxa" w:w="100"/>
              <w:left w:type="dxa" w:w="140"/>
              <w:bottom w:type="dxa" w:w="100"/>
              <w:right w:type="dxa" w:w="140"/>
            </w:tcMar>
          </w:tcPr>
          <w:p>
            <w:pPr>
              <w:spacing w:after="60"/>
            </w:pPr>
            <w:r>
              <w:rPr>
                <w:b/>
                <w:bCs/>
                <w:i w:val="false"/>
                <w:iCs w:val="false"/>
                <w:sz w:val="21"/>
                <w:szCs w:val="21"/>
              </w:rPr>
              <w:t xml:space="preserve">Recommended path</w:t>
            </w:r>
          </w:p>
          <w:p>
            <w:pPr>
              <w:spacing w:after="40"/>
            </w:pPr>
            <w:r>
              <w:rPr>
                <w:b w:val="false"/>
                <w:bCs w:val="false"/>
                <w:i w:val="false"/>
                <w:iCs w:val="false"/>
                <w:sz w:val="20"/>
                <w:szCs w:val="20"/>
              </w:rPr>
              <w:t xml:space="preserve">Option A now (demo/staging). Prepare Option B for production after the §22 sign-off. Choose C only if university constraints prefer a single cloud.</w:t>
            </w:r>
          </w:p>
        </w:tc>
      </w:tr>
    </w:tbl>
    <w:p>
      <w:pPr>
        <w:spacing w:after="120"/>
      </w:pPr>
    </w:p>
    <w:p>
      <w:pPr>
        <w:pStyle w:val="Heading1"/>
      </w:pPr>
      <w:r>
        <w:t xml:space="preserve">19. Security, Accessibility, and Monitoring</w:t>
      </w:r>
    </w:p>
    <w:p>
      <w:pPr>
        <w:pStyle w:val="ListParagraph"/>
        <w:numPr>
          <w:ilvl w:val="0"/>
          <w:numId w:val="2"/>
        </w:numPr>
        <w:spacing w:after="60"/>
      </w:pPr>
      <w:r>
        <w:rPr>
          <w:b w:val="false"/>
          <w:bCs w:val="false"/>
          <w:i w:val="false"/>
          <w:iCs w:val="false"/>
          <w:sz w:val="21"/>
          <w:szCs w:val="21"/>
        </w:rPr>
        <w:t xml:space="preserve">HTTPS everywhere; managed auth; role-based authorization; private buckets + signed URLs; parameterized SQL via ORM; rate limits on anonymous usage; secrets outside the repo; admin actions logged; privacy notice before upload; dependency vulnerability scanning (pip-audit / npm audit / Dependabot) in CI for a public-facing tool.</w:t>
      </w:r>
    </w:p>
    <w:p>
      <w:pPr>
        <w:pStyle w:val="ListParagraph"/>
        <w:numPr>
          <w:ilvl w:val="0"/>
          <w:numId w:val="2"/>
        </w:numPr>
        <w:spacing w:after="60"/>
      </w:pPr>
      <w:r>
        <w:rPr>
          <w:b w:val="false"/>
          <w:bCs w:val="false"/>
          <w:i w:val="false"/>
          <w:iCs w:val="false"/>
          <w:sz w:val="21"/>
          <w:szCs w:val="21"/>
        </w:rPr>
        <w:t xml:space="preserve">Accessibility: WCAG 2.1 AA for public pages and core workflows — semantic HTML, keyboard navigation, visible focus, labeled inputs, sufficient contrast, no color-only warnings, chart data available as tables.</w:t>
      </w:r>
    </w:p>
    <w:p>
      <w:pPr>
        <w:pStyle w:val="ListParagraph"/>
        <w:numPr>
          <w:ilvl w:val="0"/>
          <w:numId w:val="2"/>
        </w:numPr>
        <w:spacing w:after="60"/>
      </w:pPr>
      <w:r>
        <w:rPr>
          <w:b w:val="false"/>
          <w:bCs w:val="false"/>
          <w:i w:val="false"/>
          <w:iCs w:val="false"/>
          <w:sz w:val="21"/>
          <w:szCs w:val="21"/>
        </w:rPr>
        <w:t xml:space="preserve">Monitoring (minimum for early production): host uptime check, backend error alerting, failed-job count, storage/DB usage review, weekly failed-jobs review. Automated digests are a later nice-to-have, not a Phase 0 dependency.</w:t>
      </w:r>
    </w:p>
    <w:p>
      <w:pPr>
        <w:spacing w:after="120"/>
      </w:pPr>
    </w:p>
    <w:p>
      <w:pPr>
        <w:pStyle w:val="Heading1"/>
      </w:pPr>
      <w:r>
        <w:t xml:space="preserve">20. Phase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3700"/>
        <w:gridCol w:w="2460"/>
      </w:tblGrid>
      <w:tr>
        <w:trPr>
          <w:tblHeader/>
        </w:trPr>
        <w:tc>
          <w:tcPr>
            <w:tcW w:type="dxa" w:w="13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Timeframe</w:t>
            </w:r>
          </w:p>
        </w:tc>
        <w:tc>
          <w:tcPr>
            <w:tcW w:type="dxa" w:w="19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Focus</w:t>
            </w:r>
          </w:p>
        </w:tc>
        <w:tc>
          <w:tcPr>
            <w:tcW w:type="dxa" w:w="37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Deliverables</w:t>
            </w:r>
          </w:p>
        </w:tc>
        <w:tc>
          <w:tcPr>
            <w:tcW w:type="dxa" w:w="246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Success signal</w:t>
            </w:r>
          </w:p>
        </w:tc>
      </w:tr>
      <w:tr>
        <w:tc>
          <w:tcPr>
            <w:tcW w:type="dxa" w:w="1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Weeks 1–2</w:t>
            </w:r>
          </w:p>
        </w:tc>
        <w:tc>
          <w:tcPr>
            <w:tcW w:type="dxa" w:w="1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Visible product progress</w:t>
            </w:r>
          </w:p>
        </w:tc>
        <w:tc>
          <w:tcPr>
            <w:tcW w:type="dxa" w:w="3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Stats, warnings, language selector, static registry (MiniLM default, e5-large-v2, multilingual-E5), script export, README/worklog.</w:t>
            </w:r>
          </w:p>
        </w:tc>
        <w:tc>
          <w:tcPr>
            <w:tcW w:type="dxa" w:w="2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Mohammad reviews real UI improvements, not just documents.</w:t>
            </w:r>
          </w:p>
        </w:tc>
      </w:tr>
      <w:tr>
        <w:tc>
          <w:tcPr>
            <w:tcW w:type="dxa" w:w="1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Weeks 3–5</w:t>
            </w:r>
          </w:p>
        </w:tc>
        <w:tc>
          <w:tcPr>
            <w:tcW w:type="dxa" w:w="1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Engine hardening</w:t>
            </w:r>
          </w:p>
        </w:tc>
        <w:tc>
          <w:tcPr>
            <w:tcW w:type="dxa" w:w="3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ccr_engine extraction, golden datasets, ccr_wrapper parity, registry validation, pinned metadata.</w:t>
            </w:r>
          </w:p>
        </w:tc>
        <w:tc>
          <w:tcPr>
            <w:tcW w:type="dxa" w:w="2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Analysis behavior is stable and testable.</w:t>
            </w:r>
          </w:p>
        </w:tc>
      </w:tr>
      <w:tr>
        <w:tc>
          <w:tcPr>
            <w:tcW w:type="dxa" w:w="1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Weeks 6–9</w:t>
            </w:r>
          </w:p>
        </w:tc>
        <w:tc>
          <w:tcPr>
            <w:tcW w:type="dxa" w:w="1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Persistence + auth (after sign-off)</w:t>
            </w:r>
          </w:p>
        </w:tc>
        <w:tc>
          <w:tcPr>
            <w:tcW w:type="dxa" w:w="3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Managed auth, projects, Postgres metadata/jobs, object storage, TTL cleanup.</w:t>
            </w:r>
          </w:p>
        </w:tc>
        <w:tc>
          <w:tcPr>
            <w:tcW w:type="dxa" w:w="2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Anonymous demo still works; signed-in runs persist.</w:t>
            </w:r>
          </w:p>
        </w:tc>
      </w:tr>
      <w:tr>
        <w:tc>
          <w:tcPr>
            <w:tcW w:type="dxa" w:w="1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Afterward</w:t>
            </w:r>
          </w:p>
        </w:tc>
        <w:tc>
          <w:tcPr>
            <w:tcW w:type="dxa" w:w="19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Production-lite launch</w:t>
            </w:r>
          </w:p>
        </w:tc>
        <w:tc>
          <w:tcPr>
            <w:tcW w:type="dxa" w:w="37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Cost-approved hosting, backups, monitoring, privacy wording, lab-owned repo, verified constructs.</w:t>
            </w:r>
          </w:p>
        </w:tc>
        <w:tc>
          <w:tcPr>
            <w:tcW w:type="dxa" w:w="2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Public use without fragile demo assumptions.</w:t>
            </w:r>
          </w:p>
        </w:tc>
      </w:tr>
    </w:tbl>
    <w:p>
      <w:pPr>
        <w:spacing w:after="120"/>
      </w:pPr>
    </w:p>
    <w:p>
      <w:pPr>
        <w:pStyle w:val="Heading1"/>
      </w:pPr>
      <w:r>
        <w:t xml:space="preserve">21. Definition of Done — Production-Lite v1</w:t>
      </w:r>
    </w:p>
    <w:p>
      <w:pPr>
        <w:pStyle w:val="ListParagraph"/>
        <w:numPr>
          <w:ilvl w:val="0"/>
          <w:numId w:val="5"/>
        </w:numPr>
        <w:spacing w:after="60"/>
      </w:pPr>
      <w:r>
        <w:rPr>
          <w:b w:val="false"/>
          <w:bCs w:val="false"/>
          <w:i w:val="false"/>
          <w:iCs w:val="false"/>
          <w:sz w:val="21"/>
          <w:szCs w:val="21"/>
        </w:rPr>
        <w:t xml:space="preserve">Anonymous light workflow works within strict caps; anonymous data and run rows expire on TTL.</w:t>
      </w:r>
    </w:p>
    <w:p>
      <w:pPr>
        <w:pStyle w:val="ListParagraph"/>
        <w:numPr>
          <w:ilvl w:val="0"/>
          <w:numId w:val="5"/>
        </w:numPr>
        <w:spacing w:after="60"/>
      </w:pPr>
      <w:r>
        <w:rPr>
          <w:b w:val="false"/>
          <w:bCs w:val="false"/>
          <w:i w:val="false"/>
          <w:iCs w:val="false"/>
          <w:sz w:val="21"/>
          <w:szCs w:val="21"/>
        </w:rPr>
        <w:t xml:space="preserve">Users can sign in with Google AND email/password through managed auth.</w:t>
      </w:r>
    </w:p>
    <w:p>
      <w:pPr>
        <w:pStyle w:val="ListParagraph"/>
        <w:numPr>
          <w:ilvl w:val="0"/>
          <w:numId w:val="5"/>
        </w:numPr>
        <w:spacing w:after="60"/>
      </w:pPr>
      <w:r>
        <w:rPr>
          <w:b w:val="false"/>
          <w:bCs w:val="false"/>
          <w:i w:val="false"/>
          <w:iCs w:val="false"/>
          <w:sz w:val="21"/>
          <w:szCs w:val="21"/>
        </w:rPr>
        <w:t xml:space="preserve">Projects, datasets, and run history persist in Postgres; files and exports live in object storage.</w:t>
      </w:r>
    </w:p>
    <w:p>
      <w:pPr>
        <w:pStyle w:val="ListParagraph"/>
        <w:numPr>
          <w:ilvl w:val="0"/>
          <w:numId w:val="5"/>
        </w:numPr>
        <w:spacing w:after="60"/>
      </w:pPr>
      <w:r>
        <w:rPr>
          <w:b w:val="false"/>
          <w:bCs w:val="false"/>
          <w:i w:val="false"/>
          <w:iCs w:val="false"/>
          <w:sz w:val="21"/>
          <w:szCs w:val="21"/>
        </w:rPr>
        <w:t xml:space="preserve">Async jobs run on the Postgres queue with leases, retries, and dead-lettering.</w:t>
      </w:r>
    </w:p>
    <w:p>
      <w:pPr>
        <w:pStyle w:val="ListParagraph"/>
        <w:numPr>
          <w:ilvl w:val="0"/>
          <w:numId w:val="5"/>
        </w:numPr>
        <w:spacing w:after="60"/>
      </w:pPr>
      <w:r>
        <w:rPr>
          <w:b w:val="false"/>
          <w:bCs w:val="false"/>
          <w:i w:val="false"/>
          <w:iCs w:val="false"/>
          <w:sz w:val="21"/>
          <w:szCs w:val="21"/>
        </w:rPr>
        <w:t xml:space="preserve">ccr_engine is isolated and covered by unit, golden, and ccr_wrapper parity tests.</w:t>
      </w:r>
    </w:p>
    <w:p>
      <w:pPr>
        <w:pStyle w:val="ListParagraph"/>
        <w:numPr>
          <w:ilvl w:val="0"/>
          <w:numId w:val="5"/>
        </w:numPr>
        <w:spacing w:after="60"/>
      </w:pPr>
      <w:r>
        <w:rPr>
          <w:b w:val="false"/>
          <w:bCs w:val="false"/>
          <w:i w:val="false"/>
          <w:iCs w:val="false"/>
          <w:sz w:val="21"/>
          <w:szCs w:val="21"/>
        </w:rPr>
        <w:t xml:space="preserve">The model registry drives UI, validation, warnings, metadata, and generated scripts (MiniLM default; E5 prefix handling correct).</w:t>
      </w:r>
    </w:p>
    <w:p>
      <w:pPr>
        <w:pStyle w:val="ListParagraph"/>
        <w:numPr>
          <w:ilvl w:val="0"/>
          <w:numId w:val="5"/>
        </w:numPr>
        <w:spacing w:after="60"/>
      </w:pPr>
      <w:r>
        <w:rPr>
          <w:b w:val="false"/>
          <w:bCs w:val="false"/>
          <w:i w:val="false"/>
          <w:iCs w:val="false"/>
          <w:sz w:val="21"/>
          <w:szCs w:val="21"/>
        </w:rPr>
        <w:t xml:space="preserve">Language and model-coverage warnings work, including the multilingual language-set check.</w:t>
      </w:r>
    </w:p>
    <w:p>
      <w:pPr>
        <w:pStyle w:val="ListParagraph"/>
        <w:numPr>
          <w:ilvl w:val="0"/>
          <w:numId w:val="5"/>
        </w:numPr>
        <w:spacing w:after="60"/>
      </w:pPr>
      <w:r>
        <w:rPr>
          <w:b w:val="false"/>
          <w:bCs w:val="false"/>
          <w:i w:val="false"/>
          <w:iCs w:val="false"/>
          <w:sz w:val="21"/>
          <w:szCs w:val="21"/>
        </w:rPr>
        <w:t xml:space="preserve">Reverse scoring is handled conservatively and transparently (raw + flags; recorded adjustment_strategy; all-reversed block).</w:t>
      </w:r>
    </w:p>
    <w:p>
      <w:pPr>
        <w:pStyle w:val="ListParagraph"/>
        <w:numPr>
          <w:ilvl w:val="0"/>
          <w:numId w:val="5"/>
        </w:numPr>
        <w:spacing w:after="60"/>
      </w:pPr>
      <w:r>
        <w:rPr>
          <w:b w:val="false"/>
          <w:bCs w:val="false"/>
          <w:i w:val="false"/>
          <w:iCs w:val="false"/>
          <w:sz w:val="21"/>
          <w:szCs w:val="21"/>
        </w:rPr>
        <w:t xml:space="preserve">Every run exports results, metadata (with a versioned output schema), warnings, an offline-runnable reproduction script, and a pinned environment file; exports are sanitized.</w:t>
      </w:r>
    </w:p>
    <w:p>
      <w:pPr>
        <w:pStyle w:val="ListParagraph"/>
        <w:numPr>
          <w:ilvl w:val="0"/>
          <w:numId w:val="5"/>
        </w:numPr>
        <w:spacing w:after="60"/>
      </w:pPr>
      <w:r>
        <w:rPr>
          <w:b w:val="false"/>
          <w:bCs w:val="false"/>
          <w:i w:val="false"/>
          <w:iCs w:val="false"/>
          <w:sz w:val="21"/>
          <w:szCs w:val="21"/>
        </w:rPr>
        <w:t xml:space="preserve">Repo is lab-owned with README, DESIGN, DECISIONS, WORKLOG, deployment docs, backups, and a privacy notice.</w:t>
      </w:r>
    </w:p>
    <w:p>
      <w:pPr>
        <w:spacing w:after="120"/>
      </w:pPr>
    </w:p>
    <w:p>
      <w:pPr>
        <w:pStyle w:val="Heading1"/>
      </w:pPr>
      <w:r>
        <w:t xml:space="preserve">22. Open Decisions and Sign-Off</w:t>
      </w:r>
    </w:p>
    <w:p>
      <w:pPr>
        <w:spacing w:after="120" w:before="0"/>
      </w:pPr>
      <w:r>
        <w:rPr>
          <w:b w:val="false"/>
          <w:bCs w:val="false"/>
          <w:i w:val="false"/>
          <w:iCs w:val="false"/>
          <w:sz w:val="21"/>
          <w:szCs w:val="21"/>
        </w:rPr>
        <w:t xml:space="preserve">This design should produce recorded decisions, not an endless meeting. Rows marked “Yes” block Phase 2 and are the ask for this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4300"/>
        <w:gridCol w:w="1460"/>
      </w:tblGrid>
      <w:tr>
        <w:trPr>
          <w:tblHeader/>
        </w:trPr>
        <w:tc>
          <w:tcPr>
            <w:tcW w:type="dxa" w:w="21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Decision</w:t>
            </w:r>
          </w:p>
        </w:tc>
        <w:tc>
          <w:tcPr>
            <w:tcW w:type="dxa" w:w="15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Blocks Phase 2?</w:t>
            </w:r>
          </w:p>
        </w:tc>
        <w:tc>
          <w:tcPr>
            <w:tcW w:type="dxa" w:w="43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Recommendation</w:t>
            </w:r>
          </w:p>
        </w:tc>
        <w:tc>
          <w:tcPr>
            <w:tcW w:type="dxa" w:w="146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Approved? / Owner</w:t>
            </w:r>
          </w:p>
        </w:tc>
      </w:tr>
      <w:tr>
        <w:tc>
          <w:tcPr>
            <w:tcW w:type="dxa" w:w="21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Auth provider</w:t>
            </w:r>
          </w:p>
        </w:tc>
        <w:tc>
          <w:tcPr>
            <w:tcW w:type="dxa" w:w="1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Yes</w:t>
            </w:r>
          </w:p>
        </w:tc>
        <w:tc>
          <w:tcPr>
            <w:tcW w:type="dxa" w:w="4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Recommended decision: Supabase Auth (with Supabase Postgres — one vendor for auth/DB/backups), unless the university mandates an identity provider.</w:t>
            </w:r>
          </w:p>
        </w:tc>
        <w:tc>
          <w:tcPr>
            <w:tcW w:type="dxa" w:w="1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
            </w:r>
          </w:p>
        </w:tc>
      </w:tr>
      <w:tr>
        <w:tc>
          <w:tcPr>
            <w:tcW w:type="dxa" w:w="21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Hosting path</w:t>
            </w:r>
          </w:p>
        </w:tc>
        <w:tc>
          <w:tcPr>
            <w:tcW w:type="dxa" w:w="1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Yes</w:t>
            </w:r>
          </w:p>
        </w:tc>
        <w:tc>
          <w:tcPr>
            <w:tcW w:type="dxa" w:w="4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Option A staging now; Option B for production-lite.</w:t>
            </w:r>
          </w:p>
        </w:tc>
        <w:tc>
          <w:tcPr>
            <w:tcW w:type="dxa" w:w="1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
            </w:r>
          </w:p>
        </w:tc>
      </w:tr>
      <w:tr>
        <w:tc>
          <w:tcPr>
            <w:tcW w:type="dxa" w:w="21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Storage backend</w:t>
            </w:r>
          </w:p>
        </w:tc>
        <w:tc>
          <w:tcPr>
            <w:tcW w:type="dxa" w:w="1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Yes</w:t>
            </w:r>
          </w:p>
        </w:tc>
        <w:tc>
          <w:tcPr>
            <w:tcW w:type="dxa" w:w="4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S3-compatible object storage (R2 default in Option B); private buckets + signed URLs.</w:t>
            </w:r>
          </w:p>
        </w:tc>
        <w:tc>
          <w:tcPr>
            <w:tcW w:type="dxa" w:w="1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
            </w:r>
          </w:p>
        </w:tc>
      </w:tr>
      <w:tr>
        <w:tc>
          <w:tcPr>
            <w:tcW w:type="dxa" w:w="21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Retention windows</w:t>
            </w:r>
          </w:p>
        </w:tc>
        <w:tc>
          <w:tcPr>
            <w:tcW w:type="dxa" w:w="1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Yes</w:t>
            </w:r>
          </w:p>
        </w:tc>
        <w:tc>
          <w:tcPr>
            <w:tcW w:type="dxa" w:w="4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Anonymous 48 h default (24–72 h range); authenticated user-controlled; lab policy wording needed.</w:t>
            </w:r>
          </w:p>
        </w:tc>
        <w:tc>
          <w:tcPr>
            <w:tcW w:type="dxa" w:w="1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
            </w:r>
          </w:p>
        </w:tc>
      </w:tr>
      <w:tr>
        <w:tc>
          <w:tcPr>
            <w:tcW w:type="dxa" w:w="21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Anonymous caps</w:t>
            </w:r>
          </w:p>
        </w:tc>
        <w:tc>
          <w:tcPr>
            <w:tcW w:type="dxa" w:w="1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Yes</w:t>
            </w:r>
          </w:p>
        </w:tc>
        <w:tc>
          <w:tcPr>
            <w:tcW w:type="dxa" w:w="4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Starter values in §5.1 (2 MB / 500 rows / 60 s / 10 runs per IP per day); adjust with usage.</w:t>
            </w:r>
          </w:p>
        </w:tc>
        <w:tc>
          <w:tcPr>
            <w:tcW w:type="dxa" w:w="1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
            </w:r>
          </w:p>
        </w:tc>
      </w:tr>
      <w:tr>
        <w:tc>
          <w:tcPr>
            <w:tcW w:type="dxa" w:w="21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Reverse-scoring policy</w:t>
            </w:r>
          </w:p>
        </w:tc>
        <w:tc>
          <w:tcPr>
            <w:tcW w:type="dxa" w:w="1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No (conservative default ships)</w:t>
            </w:r>
          </w:p>
        </w:tc>
        <w:tc>
          <w:tcPr>
            <w:tcW w:type="dxa" w:w="4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V1 raw + flags; exclude_reversed only when an aggregate is required; revisit after lab discussion.</w:t>
            </w:r>
          </w:p>
        </w:tc>
        <w:tc>
          <w:tcPr>
            <w:tcW w:type="dxa" w:w="1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
            </w:r>
          </w:p>
        </w:tc>
      </w:tr>
      <w:tr>
        <w:tc>
          <w:tcPr>
            <w:tcW w:type="dxa" w:w="21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Public content pages</w:t>
            </w:r>
          </w:p>
        </w:tc>
        <w:tc>
          <w:tcPr>
            <w:tcW w:type="dxa" w:w="15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No</w:t>
            </w:r>
          </w:p>
        </w:tc>
        <w:tc>
          <w:tcPr>
            <w:tcW w:type="dxa" w:w="4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Method/privacy wording needs lab-provided text; engineering can trail.</w:t>
            </w:r>
          </w:p>
        </w:tc>
        <w:tc>
          <w:tcPr>
            <w:tcW w:type="dxa" w:w="14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Already answered / incorporated</w:t>
            </w:r>
          </w:p>
        </w:tc>
        <w:tc>
          <w:tcPr>
            <w:tcW w:type="dxa" w:w="606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Decision</w:t>
            </w:r>
          </w:p>
        </w:tc>
      </w:tr>
      <w:tr>
        <w:tc>
          <w:tcPr>
            <w:tcW w:type="dxa" w:w="3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Language default</w:t>
            </w:r>
          </w:p>
        </w:tc>
        <w:tc>
          <w:tcPr>
            <w:tcW w:type="dxa" w:w="6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English default; multilingual option with coverage warnings.</w:t>
            </w:r>
          </w:p>
        </w:tc>
      </w:tr>
      <w:tr>
        <w:tc>
          <w:tcPr>
            <w:tcW w:type="dxa" w:w="3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Sign-in preference</w:t>
            </w:r>
          </w:p>
        </w:tc>
        <w:tc>
          <w:tcPr>
            <w:tcW w:type="dxa" w:w="6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Google + email/password.</w:t>
            </w:r>
          </w:p>
        </w:tc>
      </w:tr>
      <w:tr>
        <w:tc>
          <w:tcPr>
            <w:tcW w:type="dxa" w:w="3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Lab GitHub</w:t>
            </w:r>
          </w:p>
        </w:tc>
        <w:tc>
          <w:tcPr>
            <w:tcW w:type="dxa" w:w="6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Culture-and-Morality-Lab org once access is available.</w:t>
            </w:r>
          </w:p>
        </w:tc>
      </w:tr>
      <w:tr>
        <w:tc>
          <w:tcPr>
            <w:tcW w:type="dxa" w:w="3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Model direction</w:t>
            </w:r>
          </w:p>
        </w:tc>
        <w:tc>
          <w:tcPr>
            <w:tcW w:type="dxa" w:w="6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e5-large-v2 as the strong English option via the registry; MiniLM remains default.</w:t>
            </w:r>
          </w:p>
        </w:tc>
      </w:tr>
      <w:tr>
        <w:tc>
          <w:tcPr>
            <w:tcW w:type="dxa" w:w="3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Frontend stack</w:t>
            </w:r>
          </w:p>
        </w:tc>
        <w:tc>
          <w:tcPr>
            <w:tcW w:type="dxa" w:w="6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Keep current React/Vite JavaScript for now.</w:t>
            </w:r>
          </w:p>
        </w:tc>
      </w:tr>
      <w:tr>
        <w:tc>
          <w:tcPr>
            <w:tcW w:type="dxa" w:w="33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Billing preference</w:t>
            </w:r>
          </w:p>
        </w:tc>
        <w:tc>
          <w:tcPr>
            <w:tcW w:type="dxa" w:w="60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Annual-friendly, predictable services.</w:t>
            </w:r>
          </w:p>
        </w:tc>
      </w:tr>
    </w:tbl>
    <w:p>
      <w:pPr>
        <w:spacing w:after="120"/>
      </w:pPr>
    </w:p>
    <w:p>
      <w:pPr>
        <w:pStyle w:val="Heading1"/>
      </w:pPr>
      <w:r>
        <w:t xml:space="preserve">23.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Resource</w:t>
            </w:r>
          </w:p>
        </w:tc>
        <w:tc>
          <w:tcPr>
            <w:tcW w:type="dxa" w:w="5160"/>
            <w:tcBorders>
              <w:top w:val="single" w:color="C8C8C8" w:sz="1"/>
              <w:left w:val="single" w:color="C8C8C8" w:sz="1"/>
              <w:bottom w:val="single" w:color="C8C8C8" w:sz="1"/>
              <w:right w:val="single" w:color="C8C8C8" w:sz="1"/>
            </w:tcBorders>
            <w:shd w:fill="7A1F3D" w:val="clear"/>
            <w:tcMar>
              <w:top w:type="dxa" w:w="60"/>
              <w:left w:type="dxa" w:w="100"/>
              <w:bottom w:type="dxa" w:w="60"/>
              <w:right w:type="dxa" w:w="100"/>
            </w:tcMar>
          </w:tcPr>
          <w:p>
            <w:pPr>
              <w:spacing w:after="20"/>
            </w:pPr>
            <w:r>
              <w:rPr>
                <w:b/>
                <w:bCs/>
                <w:i w:val="false"/>
                <w:iCs w:val="false"/>
                <w:color w:val="FFFFFF"/>
                <w:sz w:val="19"/>
                <w:szCs w:val="19"/>
              </w:rPr>
              <w:t xml:space="preserve">Link</w:t>
            </w:r>
          </w:p>
        </w:tc>
      </w:tr>
      <w:tr>
        <w:tc>
          <w:tcPr>
            <w:tcW w:type="dxa" w:w="42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CCR repository (Atari, Omrani, et al.)</w:t>
            </w:r>
          </w:p>
        </w:tc>
        <w:tc>
          <w:tcPr>
            <w:tcW w:type="dxa" w:w="51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https://github.com/Ali-Omrani/CCR</w:t>
            </w:r>
          </w:p>
        </w:tc>
      </w:tr>
      <w:tr>
        <w:tc>
          <w:tcPr>
            <w:tcW w:type="dxa" w:w="42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CCR EMNLP 2024 paper</w:t>
            </w:r>
          </w:p>
        </w:tc>
        <w:tc>
          <w:tcPr>
            <w:tcW w:type="dxa" w:w="51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https://aclanthology.org/2024.emnlp-main.151/</w:t>
            </w:r>
          </w:p>
        </w:tc>
      </w:tr>
      <w:tr>
        <w:tc>
          <w:tcPr>
            <w:tcW w:type="dxa" w:w="42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intfloat/e5-large-v2 model card (prefix usage)</w:t>
            </w:r>
          </w:p>
        </w:tc>
        <w:tc>
          <w:tcPr>
            <w:tcW w:type="dxa" w:w="51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https://huggingface.co/intfloat/e5-large-v2</w:t>
            </w:r>
          </w:p>
        </w:tc>
      </w:tr>
      <w:tr>
        <w:tc>
          <w:tcPr>
            <w:tcW w:type="dxa" w:w="42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intfloat/multilingual-e5-base model card</w:t>
            </w:r>
          </w:p>
        </w:tc>
        <w:tc>
          <w:tcPr>
            <w:tcW w:type="dxa" w:w="51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https://huggingface.co/intfloat/multilingual-e5-base</w:t>
            </w:r>
          </w:p>
        </w:tc>
      </w:tr>
      <w:tr>
        <w:tc>
          <w:tcPr>
            <w:tcW w:type="dxa" w:w="42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sentence-transformers documentation</w:t>
            </w:r>
          </w:p>
        </w:tc>
        <w:tc>
          <w:tcPr>
            <w:tcW w:type="dxa" w:w="51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https://www.sbert.net/</w:t>
            </w:r>
          </w:p>
        </w:tc>
      </w:tr>
      <w:tr>
        <w:tc>
          <w:tcPr>
            <w:tcW w:type="dxa" w:w="42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OWASP CSV injection</w:t>
            </w:r>
          </w:p>
        </w:tc>
        <w:tc>
          <w:tcPr>
            <w:tcW w:type="dxa" w:w="51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https://owasp.org/www-community/attacks/CSV_Injection</w:t>
            </w:r>
          </w:p>
        </w:tc>
      </w:tr>
      <w:tr>
        <w:tc>
          <w:tcPr>
            <w:tcW w:type="dxa" w:w="42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PostgreSQL SELECT ... SKIP LOCKED</w:t>
            </w:r>
          </w:p>
        </w:tc>
        <w:tc>
          <w:tcPr>
            <w:tcW w:type="dxa" w:w="51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https://www.postgresql.org/docs/current/sql-select.html</w:t>
            </w:r>
          </w:p>
        </w:tc>
      </w:tr>
      <w:tr>
        <w:tc>
          <w:tcPr>
            <w:tcW w:type="dxa" w:w="42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Supabase pricing</w:t>
            </w:r>
          </w:p>
        </w:tc>
        <w:tc>
          <w:tcPr>
            <w:tcW w:type="dxa" w:w="51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https://supabase.com/pricing</w:t>
            </w:r>
          </w:p>
        </w:tc>
      </w:tr>
      <w:tr>
        <w:tc>
          <w:tcPr>
            <w:tcW w:type="dxa" w:w="42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Cloudflare R2 pricing</w:t>
            </w:r>
          </w:p>
        </w:tc>
        <w:tc>
          <w:tcPr>
            <w:tcW w:type="dxa" w:w="51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https://developers.cloudflare.com/r2/pricing/</w:t>
            </w:r>
          </w:p>
        </w:tc>
      </w:tr>
      <w:tr>
        <w:tc>
          <w:tcPr>
            <w:tcW w:type="dxa" w:w="420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Claude Code best practices</w:t>
            </w:r>
          </w:p>
        </w:tc>
        <w:tc>
          <w:tcPr>
            <w:tcW w:type="dxa" w:w="5160"/>
            <w:tcBorders>
              <w:top w:val="single" w:color="C8C8C8" w:sz="1"/>
              <w:left w:val="single" w:color="C8C8C8" w:sz="1"/>
              <w:bottom w:val="single" w:color="C8C8C8" w:sz="1"/>
              <w:right w:val="single" w:color="C8C8C8" w:sz="1"/>
            </w:tcBorders>
            <w:tcMar>
              <w:top w:type="dxa" w:w="60"/>
              <w:left w:type="dxa" w:w="100"/>
              <w:bottom w:type="dxa" w:w="60"/>
              <w:right w:type="dxa" w:w="100"/>
            </w:tcMar>
          </w:tcPr>
          <w:p>
            <w:pPr>
              <w:spacing w:after="20"/>
            </w:pPr>
            <w:r>
              <w:rPr>
                <w:b w:val="false"/>
                <w:bCs w:val="false"/>
                <w:i w:val="false"/>
                <w:iCs w:val="false"/>
                <w:sz w:val="19"/>
                <w:szCs w:val="19"/>
              </w:rPr>
              <w:t xml:space="preserve">https://code.claude.com/docs/en/best-practices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CCR Platform — Design v1.2</w:t>
    </w:r>
    <w:r>
      <w:rPr>
        <w:color w:val="888888"/>
        <w:sz w:val="16"/>
        <w:szCs w:val="16"/>
      </w:rPr>
      <w:t xml:space="preserve">	Culture and Morality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7A1F3D"/>
      <w:sz w:val="28"/>
      <w:szCs w:val="28"/>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2026-07-08T23:50:52.453Z</dcterms:created>
  <dcterms:modified xsi:type="dcterms:W3CDTF">2026-07-08T23:50:52.453Z</dcterms:modified>
</cp:coreProperties>
</file>

<file path=docProps/custom.xml><?xml version="1.0" encoding="utf-8"?>
<Properties xmlns="http://schemas.openxmlformats.org/officeDocument/2006/custom-properties" xmlns:vt="http://schemas.openxmlformats.org/officeDocument/2006/docPropsVTypes"/>
</file>