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B6B0"/>
          <w:sz w:val="32"/>
        </w:rPr>
        <w:t>GHOST</w:t>
      </w:r>
    </w:p>
    <w:p>
      <w:pPr>
        <w:pStyle w:val="Title"/>
        <w:jc w:val="center"/>
      </w:pPr>
      <w:r>
        <w:t>Orchestration, Ownership, App Publisher &amp; Maintenance Model</w:t>
      </w:r>
    </w:p>
    <w:p>
      <w:pPr>
        <w:jc w:val="center"/>
      </w:pPr>
      <w:r>
        <w:rPr>
          <w:color w:val="5A6778"/>
          <w:sz w:val="28"/>
        </w:rPr>
        <w:t>How the foundation stays stable while apps, web interfaces, connectors, providers, AI models and UI maps change around it</w:t>
      </w:r>
    </w:p>
    <w:p/>
    <w:p>
      <w:pPr>
        <w:jc w:val="center"/>
      </w:pPr>
      <w:r>
        <w:rPr>
          <w:b/>
          <w:color w:val="433484"/>
          <w:sz w:val="26"/>
        </w:rPr>
        <w:t>Core rule: Ghost owns the contracts. Publishers own their implementations. Businesses own their data and configuration.</w:t>
      </w:r>
    </w:p>
    <w:p>
      <w:r>
        <w:br w:type="page"/>
      </w:r>
    </w:p>
    <w:p>
      <w:pPr>
        <w:pStyle w:val="Heading1"/>
      </w:pPr>
      <w:r>
        <w:t>1. Executive Summary</w:t>
      </w:r>
    </w:p>
    <w:p>
      <w:r>
        <w:t>Ghost is designed so the stable foundation does not become responsible for manually maintaining every third-party screen, website, API, or business-specific customization. The platform defines permanent contracts for identity, data, permissions, capabilities, events, execution, verification and surfaces. Everything that implements those contracts can be independently published, updated, replaced or removed.</w:t>
      </w:r>
    </w:p>
    <w:p>
      <w:pPr>
        <w:pStyle w:val="CodeBlock"/>
        <w:shd w:fill="172433"/>
        <w:spacing w:after="160"/>
      </w:pPr>
      <w:r>
        <w:rPr>
          <w:rFonts w:ascii="Consolas" w:hAnsi="Consolas"/>
          <w:color w:val="DCE6F0"/>
          <w:sz w:val="18"/>
        </w:rPr>
        <w:t>GHOST STANDARD</w:t>
        <w:br/>
        <w:t xml:space="preserve">      |</w:t>
        <w:br/>
        <w:t xml:space="preserve">      v</w:t>
        <w:br/>
        <w:t>APP / CONNECTOR / SURFACE / APPMAP PACKAGES</w:t>
        <w:br/>
        <w:t xml:space="preserve">      |</w:t>
        <w:br/>
        <w:t xml:space="preserve">      v</w:t>
        <w:br/>
        <w:t>BUSINESS INSTALLATION</w:t>
        <w:br/>
        <w:t xml:space="preserve">      |</w:t>
        <w:br/>
        <w:t xml:space="preserve">      v</w:t>
        <w:br/>
        <w:t>BUSINESS-OWNED DATA + CONFIGURATION</w:t>
        <w:br/>
        <w:t xml:space="preserve">      |</w:t>
        <w:br/>
        <w:t xml:space="preserve">      v</w:t>
        <w:br/>
        <w:t>CUSTOMER / EMPLOYEE / PARTNER / AI EXPERIENCE</w:t>
      </w:r>
    </w:p>
    <w:p>
      <w:r>
        <w:t>The responsibility chain is intentionally distributed. Ghost maintains the contract layer. A connector publisher maintains the vendor-specific implementation. A business maintains its own facts, accounts, configuration and permissions. A developer who builds a custom package can keep it private, publish it to an organization, release it open source, or list it in a marketplace.</w:t>
      </w:r>
    </w:p>
    <w:p>
      <w:pPr>
        <w:pStyle w:val="Heading1"/>
      </w:pPr>
      <w:r>
        <w:t>2. The Fundamental Separation of Responsibilities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2335"/>
            <w:vAlign w:val="center"/>
            <w:tcMar>
              <w:top w:w="80" w:type="dxa"/>
              <w:start w:w="100" w:type="dxa"/>
              <w:bottom w:w="80" w:type="dxa"/>
              <w:end w:w="100" w:type="dxa"/>
            </w:tcMar>
          </w:tcPr>
          <w:p>
            <w:r>
              <w:rPr>
                <w:b/>
                <w:color w:val="FFFFFF"/>
              </w:rPr>
              <w:t>Layer</w:t>
            </w:r>
          </w:p>
        </w:tc>
        <w:tc>
          <w:tcPr>
            <w:tcW w:type="dxa" w:w="3408"/>
            <w:shd w:fill="142335"/>
            <w:vAlign w:val="center"/>
            <w:tcMar>
              <w:top w:w="80" w:type="dxa"/>
              <w:start w:w="100" w:type="dxa"/>
              <w:bottom w:w="80" w:type="dxa"/>
              <w:end w:w="100" w:type="dxa"/>
            </w:tcMar>
          </w:tcPr>
          <w:p>
            <w:r>
              <w:rPr>
                <w:b/>
                <w:color w:val="FFFFFF"/>
              </w:rPr>
              <w:t>Responsible party</w:t>
            </w:r>
          </w:p>
        </w:tc>
        <w:tc>
          <w:tcPr>
            <w:tcW w:type="dxa" w:w="3408"/>
            <w:shd w:fill="142335"/>
            <w:vAlign w:val="center"/>
            <w:tcMar>
              <w:top w:w="80" w:type="dxa"/>
              <w:start w:w="100" w:type="dxa"/>
              <w:bottom w:w="80" w:type="dxa"/>
              <w:end w:w="100" w:type="dxa"/>
            </w:tcMar>
          </w:tcPr>
          <w:p>
            <w:r>
              <w:rPr>
                <w:b/>
                <w:color w:val="FFFFFF"/>
              </w:rPr>
              <w:t>Responsibility</w:t>
            </w:r>
          </w:p>
        </w:tc>
      </w:tr>
      <w:tr>
        <w:tc>
          <w:tcPr>
            <w:tcW w:type="dxa" w:w="3408"/>
            <w:tcMar>
              <w:top w:w="80" w:type="dxa"/>
              <w:start w:w="100" w:type="dxa"/>
              <w:bottom w:w="80" w:type="dxa"/>
              <w:end w:w="100" w:type="dxa"/>
            </w:tcMar>
            <w:vAlign w:val="center"/>
          </w:tcPr>
          <w:p>
            <w:r>
              <w:t>Ghost standard</w:t>
            </w:r>
          </w:p>
        </w:tc>
        <w:tc>
          <w:tcPr>
            <w:tcW w:type="dxa" w:w="3408"/>
            <w:tcMar>
              <w:top w:w="80" w:type="dxa"/>
              <w:start w:w="100" w:type="dxa"/>
              <w:bottom w:w="80" w:type="dxa"/>
              <w:end w:w="100" w:type="dxa"/>
            </w:tcMar>
            <w:vAlign w:val="center"/>
          </w:tcPr>
          <w:p>
            <w:r>
              <w:t>Ghost foundation/community</w:t>
            </w:r>
          </w:p>
        </w:tc>
        <w:tc>
          <w:tcPr>
            <w:tcW w:type="dxa" w:w="3408"/>
            <w:tcMar>
              <w:top w:w="80" w:type="dxa"/>
              <w:start w:w="100" w:type="dxa"/>
              <w:bottom w:w="80" w:type="dxa"/>
              <w:end w:w="100" w:type="dxa"/>
            </w:tcMar>
            <w:vAlign w:val="center"/>
          </w:tcPr>
          <w:p>
            <w:r>
              <w:t>Canonical schemas, identity, permissions, capabilities, events, package format, runtime contracts, verification and versioning rules</w:t>
            </w:r>
          </w:p>
        </w:tc>
      </w:tr>
      <w:tr>
        <w:tc>
          <w:tcPr>
            <w:tcW w:type="dxa" w:w="3408"/>
            <w:tcMar>
              <w:top w:w="80" w:type="dxa"/>
              <w:start w:w="100" w:type="dxa"/>
              <w:bottom w:w="80" w:type="dxa"/>
              <w:end w:w="100" w:type="dxa"/>
            </w:tcMar>
            <w:vAlign w:val="center"/>
          </w:tcPr>
          <w:p>
            <w:r>
              <w:t>Implementation package</w:t>
            </w:r>
          </w:p>
        </w:tc>
        <w:tc>
          <w:tcPr>
            <w:tcW w:type="dxa" w:w="3408"/>
            <w:tcMar>
              <w:top w:w="80" w:type="dxa"/>
              <w:start w:w="100" w:type="dxa"/>
              <w:bottom w:w="80" w:type="dxa"/>
              <w:end w:w="100" w:type="dxa"/>
            </w:tcMar>
            <w:vAlign w:val="center"/>
          </w:tcPr>
          <w:p>
            <w:r>
              <w:t>Developer / connector publisher</w:t>
            </w:r>
          </w:p>
        </w:tc>
        <w:tc>
          <w:tcPr>
            <w:tcW w:type="dxa" w:w="3408"/>
            <w:tcMar>
              <w:top w:w="80" w:type="dxa"/>
              <w:start w:w="100" w:type="dxa"/>
              <w:bottom w:w="80" w:type="dxa"/>
              <w:end w:w="100" w:type="dxa"/>
            </w:tcMar>
            <w:vAlign w:val="center"/>
          </w:tcPr>
          <w:p>
            <w:r>
              <w:t>Vendor field mappings, API/browser/Android implementation, UI maps, transformations, health checks, verification logic, supported versions</w:t>
            </w:r>
          </w:p>
        </w:tc>
      </w:tr>
      <w:tr>
        <w:tc>
          <w:tcPr>
            <w:tcW w:type="dxa" w:w="3408"/>
            <w:tcMar>
              <w:top w:w="80" w:type="dxa"/>
              <w:start w:w="100" w:type="dxa"/>
              <w:bottom w:w="80" w:type="dxa"/>
              <w:end w:w="100" w:type="dxa"/>
            </w:tcMar>
            <w:vAlign w:val="center"/>
          </w:tcPr>
          <w:p>
            <w:r>
              <w:t>Business installation</w:t>
            </w:r>
          </w:p>
        </w:tc>
        <w:tc>
          <w:tcPr>
            <w:tcW w:type="dxa" w:w="3408"/>
            <w:tcMar>
              <w:top w:w="80" w:type="dxa"/>
              <w:start w:w="100" w:type="dxa"/>
              <w:bottom w:w="80" w:type="dxa"/>
              <w:end w:w="100" w:type="dxa"/>
            </w:tcMar>
            <w:vAlign w:val="center"/>
          </w:tcPr>
          <w:p>
            <w:r>
              <w:t>Business / owner / authorized operator</w:t>
            </w:r>
          </w:p>
        </w:tc>
        <w:tc>
          <w:tcPr>
            <w:tcW w:type="dxa" w:w="3408"/>
            <w:tcMar>
              <w:top w:w="80" w:type="dxa"/>
              <w:start w:w="100" w:type="dxa"/>
              <w:bottom w:w="80" w:type="dxa"/>
              <w:end w:w="100" w:type="dxa"/>
            </w:tcMar>
            <w:vAlign w:val="center"/>
          </w:tcPr>
          <w:p>
            <w:r>
              <w:t>Business facts, prices, hours, menus, availability, chosen connections, permissions, automations, local configuration</w:t>
            </w:r>
          </w:p>
        </w:tc>
      </w:tr>
      <w:tr>
        <w:tc>
          <w:tcPr>
            <w:tcW w:type="dxa" w:w="3408"/>
            <w:tcMar>
              <w:top w:w="80" w:type="dxa"/>
              <w:start w:w="100" w:type="dxa"/>
              <w:bottom w:w="80" w:type="dxa"/>
              <w:end w:w="100" w:type="dxa"/>
            </w:tcMar>
            <w:vAlign w:val="center"/>
          </w:tcPr>
          <w:p>
            <w:r>
              <w:t>Support / operations</w:t>
            </w:r>
          </w:p>
        </w:tc>
        <w:tc>
          <w:tcPr>
            <w:tcW w:type="dxa" w:w="3408"/>
            <w:tcMar>
              <w:top w:w="80" w:type="dxa"/>
              <w:start w:w="100" w:type="dxa"/>
              <w:bottom w:w="80" w:type="dxa"/>
              <w:end w:w="100" w:type="dxa"/>
            </w:tcMar>
            <w:vAlign w:val="center"/>
          </w:tcPr>
          <w:p>
            <w:r>
              <w:t>Business-selected IT provider or maintainer</w:t>
            </w:r>
          </w:p>
        </w:tc>
        <w:tc>
          <w:tcPr>
            <w:tcW w:type="dxa" w:w="3408"/>
            <w:tcMar>
              <w:top w:w="80" w:type="dxa"/>
              <w:start w:w="100" w:type="dxa"/>
              <w:bottom w:w="80" w:type="dxa"/>
              <w:end w:w="100" w:type="dxa"/>
            </w:tcMar>
            <w:vAlign w:val="center"/>
          </w:tcPr>
          <w:p>
            <w:r>
              <w:t>Diagnostics, upgrades, local repair, remote sessions under business-issued temporary access</w:t>
            </w:r>
          </w:p>
        </w:tc>
      </w:tr>
      <w:tr>
        <w:tc>
          <w:tcPr>
            <w:tcW w:type="dxa" w:w="3408"/>
            <w:tcMar>
              <w:top w:w="80" w:type="dxa"/>
              <w:start w:w="100" w:type="dxa"/>
              <w:bottom w:w="80" w:type="dxa"/>
              <w:end w:w="100" w:type="dxa"/>
            </w:tcMar>
            <w:vAlign w:val="center"/>
          </w:tcPr>
          <w:p>
            <w:r>
              <w:t>AI</w:t>
            </w:r>
          </w:p>
        </w:tc>
        <w:tc>
          <w:tcPr>
            <w:tcW w:type="dxa" w:w="3408"/>
            <w:tcMar>
              <w:top w:w="80" w:type="dxa"/>
              <w:start w:w="100" w:type="dxa"/>
              <w:bottom w:w="80" w:type="dxa"/>
              <w:end w:w="100" w:type="dxa"/>
            </w:tcMar>
            <w:vAlign w:val="center"/>
          </w:tcPr>
          <w:p>
            <w:r>
              <w:t>Replaceable assistant/provider</w:t>
            </w:r>
          </w:p>
        </w:tc>
        <w:tc>
          <w:tcPr>
            <w:tcW w:type="dxa" w:w="3408"/>
            <w:tcMar>
              <w:top w:w="80" w:type="dxa"/>
              <w:start w:w="100" w:type="dxa"/>
              <w:bottom w:w="80" w:type="dxa"/>
              <w:end w:w="100" w:type="dxa"/>
            </w:tcMar>
            <w:vAlign w:val="center"/>
          </w:tcPr>
          <w:p>
            <w:r>
              <w:t>Discovery, semantic mapping, build assistance, repair, intent parsing; not the final authority over permissions</w:t>
            </w:r>
          </w:p>
        </w:tc>
      </w:tr>
    </w:tbl>
    <w:p>
      <w:r>
        <w:t>This is what makes the system scalable. If a third-party platform changes its UI, the generic connector/package is repaired once by its maintainer and the update can flow to every authorized installation. The business does not need to understand DOM selectors, Android accessibility identifiers, OAuth details, or vendor API schemas unless it chooses to maintain that package itself.</w:t>
      </w:r>
    </w:p>
    <w:p>
      <w:pPr>
        <w:pStyle w:val="Heading1"/>
      </w:pPr>
      <w:r>
        <w:t>3. Every User-Facing Build Can Be a Web App or Surface</w:t>
      </w:r>
    </w:p>
    <w:p>
      <w:r>
        <w:t>Each experience a user creates can be delivered as a web app or another Ghost surface. The web app is not the business database. It is a presentation and interaction layer over business-owned data and capabilities.</w:t>
      </w:r>
    </w:p>
    <w:p>
      <w:pPr>
        <w:pStyle w:val="CodeBlock"/>
        <w:shd w:fill="172433"/>
        <w:spacing w:after="160"/>
      </w:pPr>
      <w:r>
        <w:rPr>
          <w:rFonts w:ascii="Consolas" w:hAnsi="Consolas"/>
          <w:color w:val="DCE6F0"/>
          <w:sz w:val="18"/>
        </w:rPr>
        <w:t>BUSINESS FOUNDATION</w:t>
        <w:br/>
        <w:t xml:space="preserve">  identity</w:t>
        <w:br/>
        <w:t xml:space="preserve">  hours</w:t>
        <w:br/>
        <w:t xml:space="preserve">  menu</w:t>
        <w:br/>
        <w:t xml:space="preserve">  events</w:t>
        <w:br/>
        <w:t xml:space="preserve">  availability</w:t>
        <w:br/>
        <w:t xml:space="preserve">  customers</w:t>
        <w:br/>
        <w:t xml:space="preserve">  permissions</w:t>
        <w:br/>
        <w:t xml:space="preserve">  capabilities</w:t>
        <w:br/>
        <w:t xml:space="preserve">       |</w:t>
        <w:br/>
        <w:t xml:space="preserve">       v</w:t>
        <w:br/>
        <w:t>CUSTOM WEB APP</w:t>
        <w:br/>
        <w:t xml:space="preserve">  presentation</w:t>
        <w:br/>
        <w:t xml:space="preserve">  components</w:t>
        <w:br/>
        <w:t xml:space="preserve">  interaction</w:t>
        <w:br/>
        <w:t xml:space="preserve">  specialized logic</w:t>
      </w:r>
    </w:p>
    <w:p>
      <w:r>
        <w:t>This makes web apps cheaper to build and cheaper to maintain. A restaurant website does not need to recreate authentication, menu storage, events storage, permissions, booking data, forms, customer records and integrations if those already exist underneath in Ghost.</w:t>
      </w:r>
    </w:p>
    <w:p>
      <w:pPr>
        <w:pStyle w:val="Heading1"/>
      </w:pPr>
      <w:r>
        <w:t>4. Every UI Component Should Declare Its Binding</w:t>
      </w:r>
    </w:p>
    <w:p>
      <w:r>
        <w:t>A component should not own an arbitrary copy of data. It should explicitly declare which canonical field or capability it renders or invokes.</w:t>
      </w:r>
    </w:p>
    <w:p>
      <w:pPr>
        <w:pStyle w:val="CodeBlock"/>
        <w:shd w:fill="172433"/>
        <w:spacing w:after="160"/>
      </w:pPr>
      <w:r>
        <w:rPr>
          <w:rFonts w:ascii="Consolas" w:hAnsi="Consolas"/>
          <w:color w:val="DCE6F0"/>
          <w:sz w:val="18"/>
        </w:rPr>
        <w:t>Component: HoursCard</w:t>
        <w:br/>
        <w:t>Data binding: business.hours</w:t>
        <w:br/>
        <w:t>Read capability: business.hours.read</w:t>
        <w:br/>
        <w:t>Event subscription: business.hours.changed</w:t>
        <w:br/>
        <w:t>Audience: public</w:t>
      </w:r>
    </w:p>
    <w:p>
      <w:r>
        <w:t>Any number of visual designs can bind to the same data. One business may use a traditional website card, another a Linktree-style accordion, another a voice interface, and another an AR overlay. The surface changes; the underlying business meaning does not.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42335"/>
            <w:vAlign w:val="center"/>
            <w:tcMar>
              <w:top w:w="80" w:type="dxa"/>
              <w:start w:w="100" w:type="dxa"/>
              <w:bottom w:w="80" w:type="dxa"/>
              <w:end w:w="100" w:type="dxa"/>
            </w:tcMar>
          </w:tcPr>
          <w:p>
            <w:r>
              <w:rPr>
                <w:b/>
                <w:color w:val="FFFFFF"/>
              </w:rPr>
              <w:t>Surface example</w:t>
            </w:r>
          </w:p>
        </w:tc>
        <w:tc>
          <w:tcPr>
            <w:tcW w:type="dxa" w:w="3408"/>
            <w:shd w:fill="142335"/>
            <w:vAlign w:val="center"/>
            <w:tcMar>
              <w:top w:w="80" w:type="dxa"/>
              <w:start w:w="100" w:type="dxa"/>
              <w:bottom w:w="80" w:type="dxa"/>
              <w:end w:w="100" w:type="dxa"/>
            </w:tcMar>
          </w:tcPr>
          <w:p>
            <w:r>
              <w:rPr>
                <w:b/>
                <w:color w:val="FFFFFF"/>
              </w:rPr>
              <w:t>Presentation</w:t>
            </w:r>
          </w:p>
        </w:tc>
        <w:tc>
          <w:tcPr>
            <w:tcW w:type="dxa" w:w="3408"/>
            <w:shd w:fill="142335"/>
            <w:vAlign w:val="center"/>
            <w:tcMar>
              <w:top w:w="80" w:type="dxa"/>
              <w:start w:w="100" w:type="dxa"/>
              <w:bottom w:w="80" w:type="dxa"/>
              <w:end w:w="100" w:type="dxa"/>
            </w:tcMar>
          </w:tcPr>
          <w:p>
            <w:r>
              <w:rPr>
                <w:b/>
                <w:color w:val="FFFFFF"/>
              </w:rPr>
              <w:t>Underlying binding</w:t>
            </w:r>
          </w:p>
        </w:tc>
      </w:tr>
      <w:tr>
        <w:tc>
          <w:tcPr>
            <w:tcW w:type="dxa" w:w="3408"/>
            <w:tcMar>
              <w:top w:w="80" w:type="dxa"/>
              <w:start w:w="100" w:type="dxa"/>
              <w:bottom w:w="80" w:type="dxa"/>
              <w:end w:w="100" w:type="dxa"/>
            </w:tcMar>
            <w:vAlign w:val="center"/>
          </w:tcPr>
          <w:p>
            <w:r>
              <w:t>Compact hours card</w:t>
            </w:r>
          </w:p>
        </w:tc>
        <w:tc>
          <w:tcPr>
            <w:tcW w:type="dxa" w:w="3408"/>
            <w:tcMar>
              <w:top w:w="80" w:type="dxa"/>
              <w:start w:w="100" w:type="dxa"/>
              <w:bottom w:w="80" w:type="dxa"/>
              <w:end w:w="100" w:type="dxa"/>
            </w:tcMar>
            <w:vAlign w:val="center"/>
          </w:tcPr>
          <w:p>
            <w:r>
              <w:t>OPEN NOW - Closes 10 PM</w:t>
            </w:r>
          </w:p>
        </w:tc>
        <w:tc>
          <w:tcPr>
            <w:tcW w:type="dxa" w:w="3408"/>
            <w:tcMar>
              <w:top w:w="80" w:type="dxa"/>
              <w:start w:w="100" w:type="dxa"/>
              <w:bottom w:w="80" w:type="dxa"/>
              <w:end w:w="100" w:type="dxa"/>
            </w:tcMar>
            <w:vAlign w:val="center"/>
          </w:tcPr>
          <w:p>
            <w:r>
              <w:t>business.hours</w:t>
            </w:r>
          </w:p>
        </w:tc>
      </w:tr>
      <w:tr>
        <w:tc>
          <w:tcPr>
            <w:tcW w:type="dxa" w:w="3408"/>
            <w:tcMar>
              <w:top w:w="80" w:type="dxa"/>
              <w:start w:w="100" w:type="dxa"/>
              <w:bottom w:w="80" w:type="dxa"/>
              <w:end w:w="100" w:type="dxa"/>
            </w:tcMar>
            <w:vAlign w:val="center"/>
          </w:tcPr>
          <w:p>
            <w:r>
              <w:t>Accordion</w:t>
            </w:r>
          </w:p>
        </w:tc>
        <w:tc>
          <w:tcPr>
            <w:tcW w:type="dxa" w:w="3408"/>
            <w:tcMar>
              <w:top w:w="80" w:type="dxa"/>
              <w:start w:w="100" w:type="dxa"/>
              <w:bottom w:w="80" w:type="dxa"/>
              <w:end w:w="100" w:type="dxa"/>
            </w:tcMar>
            <w:vAlign w:val="center"/>
          </w:tcPr>
          <w:p>
            <w:r>
              <w:t>Hours + / expandable weekly schedule</w:t>
            </w:r>
          </w:p>
        </w:tc>
        <w:tc>
          <w:tcPr>
            <w:tcW w:type="dxa" w:w="3408"/>
            <w:tcMar>
              <w:top w:w="80" w:type="dxa"/>
              <w:start w:w="100" w:type="dxa"/>
              <w:bottom w:w="80" w:type="dxa"/>
              <w:end w:w="100" w:type="dxa"/>
            </w:tcMar>
            <w:vAlign w:val="center"/>
          </w:tcPr>
          <w:p>
            <w:r>
              <w:t>business.hours</w:t>
            </w:r>
          </w:p>
        </w:tc>
      </w:tr>
      <w:tr>
        <w:tc>
          <w:tcPr>
            <w:tcW w:type="dxa" w:w="3408"/>
            <w:tcMar>
              <w:top w:w="80" w:type="dxa"/>
              <w:start w:w="100" w:type="dxa"/>
              <w:bottom w:w="80" w:type="dxa"/>
              <w:end w:w="100" w:type="dxa"/>
            </w:tcMar>
            <w:vAlign w:val="center"/>
          </w:tcPr>
          <w:p>
            <w:r>
              <w:t>Voice</w:t>
            </w:r>
          </w:p>
        </w:tc>
        <w:tc>
          <w:tcPr>
            <w:tcW w:type="dxa" w:w="3408"/>
            <w:tcMar>
              <w:top w:w="80" w:type="dxa"/>
              <w:start w:w="100" w:type="dxa"/>
              <w:bottom w:w="80" w:type="dxa"/>
              <w:end w:w="100" w:type="dxa"/>
            </w:tcMar>
            <w:vAlign w:val="center"/>
          </w:tcPr>
          <w:p>
            <w:r>
              <w:t>“What time do they close?”</w:t>
            </w:r>
          </w:p>
        </w:tc>
        <w:tc>
          <w:tcPr>
            <w:tcW w:type="dxa" w:w="3408"/>
            <w:tcMar>
              <w:top w:w="80" w:type="dxa"/>
              <w:start w:w="100" w:type="dxa"/>
              <w:bottom w:w="80" w:type="dxa"/>
              <w:end w:w="100" w:type="dxa"/>
            </w:tcMar>
            <w:vAlign w:val="center"/>
          </w:tcPr>
          <w:p>
            <w:r>
              <w:t>business.hours.read</w:t>
            </w:r>
          </w:p>
        </w:tc>
      </w:tr>
      <w:tr>
        <w:tc>
          <w:tcPr>
            <w:tcW w:type="dxa" w:w="3408"/>
            <w:tcMar>
              <w:top w:w="80" w:type="dxa"/>
              <w:start w:w="100" w:type="dxa"/>
              <w:bottom w:w="80" w:type="dxa"/>
              <w:end w:w="100" w:type="dxa"/>
            </w:tcMar>
            <w:vAlign w:val="center"/>
          </w:tcPr>
          <w:p>
            <w:r>
              <w:t>AI/MCP</w:t>
            </w:r>
          </w:p>
        </w:tc>
        <w:tc>
          <w:tcPr>
            <w:tcW w:type="dxa" w:w="3408"/>
            <w:tcMar>
              <w:top w:w="80" w:type="dxa"/>
              <w:start w:w="100" w:type="dxa"/>
              <w:bottom w:w="80" w:type="dxa"/>
              <w:end w:w="100" w:type="dxa"/>
            </w:tcMar>
            <w:vAlign w:val="center"/>
          </w:tcPr>
          <w:p>
            <w:r>
              <w:t>Structured resource response</w:t>
            </w:r>
          </w:p>
        </w:tc>
        <w:tc>
          <w:tcPr>
            <w:tcW w:type="dxa" w:w="3408"/>
            <w:tcMar>
              <w:top w:w="80" w:type="dxa"/>
              <w:start w:w="100" w:type="dxa"/>
              <w:bottom w:w="80" w:type="dxa"/>
              <w:end w:w="100" w:type="dxa"/>
            </w:tcMar>
            <w:vAlign w:val="center"/>
          </w:tcPr>
          <w:p>
            <w:r>
              <w:t>business.hours</w:t>
            </w:r>
          </w:p>
        </w:tc>
      </w:tr>
      <w:tr>
        <w:tc>
          <w:tcPr>
            <w:tcW w:type="dxa" w:w="3408"/>
            <w:tcMar>
              <w:top w:w="80" w:type="dxa"/>
              <w:start w:w="100" w:type="dxa"/>
              <w:bottom w:w="80" w:type="dxa"/>
              <w:end w:w="100" w:type="dxa"/>
            </w:tcMar>
            <w:vAlign w:val="center"/>
          </w:tcPr>
          <w:p>
            <w:r>
              <w:t>Owner editor</w:t>
            </w:r>
          </w:p>
        </w:tc>
        <w:tc>
          <w:tcPr>
            <w:tcW w:type="dxa" w:w="3408"/>
            <w:tcMar>
              <w:top w:w="80" w:type="dxa"/>
              <w:start w:w="100" w:type="dxa"/>
              <w:bottom w:w="80" w:type="dxa"/>
              <w:end w:w="100" w:type="dxa"/>
            </w:tcMar>
            <w:vAlign w:val="center"/>
          </w:tcPr>
          <w:p>
            <w:r>
              <w:t>Editable weekly hours grid</w:t>
            </w:r>
          </w:p>
        </w:tc>
        <w:tc>
          <w:tcPr>
            <w:tcW w:type="dxa" w:w="3408"/>
            <w:tcMar>
              <w:top w:w="80" w:type="dxa"/>
              <w:start w:w="100" w:type="dxa"/>
              <w:bottom w:w="80" w:type="dxa"/>
              <w:end w:w="100" w:type="dxa"/>
            </w:tcMar>
            <w:vAlign w:val="center"/>
          </w:tcPr>
          <w:p>
            <w:r>
              <w:t>business.hours.update</w:t>
            </w:r>
          </w:p>
        </w:tc>
      </w:tr>
    </w:tbl>
    <w:p>
      <w:pPr>
        <w:pStyle w:val="Heading1"/>
      </w:pPr>
      <w:r>
        <w:t>5. One App Can Expose Multiple Surfaces</w:t>
      </w:r>
    </w:p>
    <w:p>
      <w:r>
        <w:t>The same capability package can expose separate public and private experiences. The most important architectural rule is that both experiences bind to the same underlying canonical records and capabilities.</w:t>
      </w:r>
    </w:p>
    <w:p>
      <w:pPr>
        <w:pStyle w:val="CodeBlock"/>
        <w:shd w:fill="172433"/>
        <w:spacing w:after="160"/>
      </w:pPr>
      <w:r>
        <w:rPr>
          <w:rFonts w:ascii="Consolas" w:hAnsi="Consolas"/>
          <w:color w:val="DCE6F0"/>
          <w:sz w:val="18"/>
        </w:rPr>
        <w:t>MENU PACKAGE</w:t>
        <w:br/>
        <w:t xml:space="preserve">       |</w:t>
        <w:br/>
        <w:t xml:space="preserve">       +-------------------+</w:t>
        <w:br/>
        <w:t xml:space="preserve">       |                   |</w:t>
        <w:br/>
        <w:t xml:space="preserve">       v                   v</w:t>
        <w:br/>
        <w:t>PUBLIC SURFACE        OWNER SURFACE</w:t>
        <w:br/>
        <w:t>view menu             edit menu</w:t>
        <w:br/>
        <w:t>search                change prices</w:t>
        <w:br/>
        <w:t>filter                add/remove item</w:t>
        <w:br/>
        <w:t>dietary tags          update photos</w:t>
        <w:br/>
        <w:t xml:space="preserve">       |                   |</w:t>
        <w:br/>
        <w:t xml:space="preserve">       +---------+---------+</w:t>
        <w:br/>
        <w:t xml:space="preserve">                 v</w:t>
        <w:br/>
        <w:t xml:space="preserve">       SAME CANONICAL TABLES</w:t>
        <w:br/>
        <w:t xml:space="preserve"> menu / section / item / modifier / price</w:t>
      </w:r>
    </w:p>
    <w:p>
      <w:pPr>
        <w:pStyle w:val="Heading1"/>
      </w:pPr>
      <w:r>
        <w:t>6. Five Different Kinds of Update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42335"/>
            <w:vAlign w:val="center"/>
            <w:tcMar>
              <w:top w:w="80" w:type="dxa"/>
              <w:start w:w="100" w:type="dxa"/>
              <w:bottom w:w="80" w:type="dxa"/>
              <w:end w:w="100" w:type="dxa"/>
            </w:tcMar>
          </w:tcPr>
          <w:p>
            <w:r>
              <w:rPr>
                <w:b/>
                <w:color w:val="FFFFFF"/>
              </w:rPr>
              <w:t>Update type</w:t>
            </w:r>
          </w:p>
        </w:tc>
        <w:tc>
          <w:tcPr>
            <w:tcW w:type="dxa" w:w="2556"/>
            <w:shd w:fill="142335"/>
            <w:vAlign w:val="center"/>
            <w:tcMar>
              <w:top w:w="80" w:type="dxa"/>
              <w:start w:w="100" w:type="dxa"/>
              <w:bottom w:w="80" w:type="dxa"/>
              <w:end w:w="100" w:type="dxa"/>
            </w:tcMar>
          </w:tcPr>
          <w:p>
            <w:r>
              <w:rPr>
                <w:b/>
                <w:color w:val="FFFFFF"/>
              </w:rPr>
              <w:t>Example</w:t>
            </w:r>
          </w:p>
        </w:tc>
        <w:tc>
          <w:tcPr>
            <w:tcW w:type="dxa" w:w="2556"/>
            <w:shd w:fill="142335"/>
            <w:vAlign w:val="center"/>
            <w:tcMar>
              <w:top w:w="80" w:type="dxa"/>
              <w:start w:w="100" w:type="dxa"/>
              <w:bottom w:w="80" w:type="dxa"/>
              <w:end w:w="100" w:type="dxa"/>
            </w:tcMar>
          </w:tcPr>
          <w:p>
            <w:r>
              <w:rPr>
                <w:b/>
                <w:color w:val="FFFFFF"/>
              </w:rPr>
              <w:t>Who owns it</w:t>
            </w:r>
          </w:p>
        </w:tc>
        <w:tc>
          <w:tcPr>
            <w:tcW w:type="dxa" w:w="2556"/>
            <w:shd w:fill="142335"/>
            <w:vAlign w:val="center"/>
            <w:tcMar>
              <w:top w:w="80" w:type="dxa"/>
              <w:start w:w="100" w:type="dxa"/>
              <w:bottom w:w="80" w:type="dxa"/>
              <w:end w:w="100" w:type="dxa"/>
            </w:tcMar>
          </w:tcPr>
          <w:p>
            <w:r>
              <w:rPr>
                <w:b/>
                <w:color w:val="FFFFFF"/>
              </w:rPr>
              <w:t>Who is affected</w:t>
            </w:r>
          </w:p>
        </w:tc>
      </w:tr>
      <w:tr>
        <w:tc>
          <w:tcPr>
            <w:tcW w:type="dxa" w:w="2556"/>
            <w:tcMar>
              <w:top w:w="80" w:type="dxa"/>
              <w:start w:w="100" w:type="dxa"/>
              <w:bottom w:w="80" w:type="dxa"/>
              <w:end w:w="100" w:type="dxa"/>
            </w:tcMar>
            <w:vAlign w:val="center"/>
          </w:tcPr>
          <w:p>
            <w:r>
              <w:t>Business data update</w:t>
            </w:r>
          </w:p>
        </w:tc>
        <w:tc>
          <w:tcPr>
            <w:tcW w:type="dxa" w:w="2556"/>
            <w:tcMar>
              <w:top w:w="80" w:type="dxa"/>
              <w:start w:w="100" w:type="dxa"/>
              <w:bottom w:w="80" w:type="dxa"/>
              <w:end w:w="100" w:type="dxa"/>
            </w:tcMar>
            <w:vAlign w:val="center"/>
          </w:tcPr>
          <w:p>
            <w:r>
              <w:t>Price changes from $18 to $19</w:t>
            </w:r>
          </w:p>
        </w:tc>
        <w:tc>
          <w:tcPr>
            <w:tcW w:type="dxa" w:w="2556"/>
            <w:tcMar>
              <w:top w:w="80" w:type="dxa"/>
              <w:start w:w="100" w:type="dxa"/>
              <w:bottom w:w="80" w:type="dxa"/>
              <w:end w:w="100" w:type="dxa"/>
            </w:tcMar>
            <w:vAlign w:val="center"/>
          </w:tcPr>
          <w:p>
            <w:r>
              <w:t>Business</w:t>
            </w:r>
          </w:p>
        </w:tc>
        <w:tc>
          <w:tcPr>
            <w:tcW w:type="dxa" w:w="2556"/>
            <w:tcMar>
              <w:top w:w="80" w:type="dxa"/>
              <w:start w:w="100" w:type="dxa"/>
              <w:bottom w:w="80" w:type="dxa"/>
              <w:end w:w="100" w:type="dxa"/>
            </w:tcMar>
            <w:vAlign w:val="center"/>
          </w:tcPr>
          <w:p>
            <w:r>
              <w:t>Only that business and its authorized surfaces/connections</w:t>
            </w:r>
          </w:p>
        </w:tc>
      </w:tr>
      <w:tr>
        <w:tc>
          <w:tcPr>
            <w:tcW w:type="dxa" w:w="2556"/>
            <w:tcMar>
              <w:top w:w="80" w:type="dxa"/>
              <w:start w:w="100" w:type="dxa"/>
              <w:bottom w:w="80" w:type="dxa"/>
              <w:end w:w="100" w:type="dxa"/>
            </w:tcMar>
            <w:vAlign w:val="center"/>
          </w:tcPr>
          <w:p>
            <w:r>
              <w:t>App update</w:t>
            </w:r>
          </w:p>
        </w:tc>
        <w:tc>
          <w:tcPr>
            <w:tcW w:type="dxa" w:w="2556"/>
            <w:tcMar>
              <w:top w:w="80" w:type="dxa"/>
              <w:start w:w="100" w:type="dxa"/>
              <w:bottom w:w="80" w:type="dxa"/>
              <w:end w:w="100" w:type="dxa"/>
            </w:tcMar>
            <w:vAlign w:val="center"/>
          </w:tcPr>
          <w:p>
            <w:r>
              <w:t>Menu UI gets a better editor</w:t>
            </w:r>
          </w:p>
        </w:tc>
        <w:tc>
          <w:tcPr>
            <w:tcW w:type="dxa" w:w="2556"/>
            <w:tcMar>
              <w:top w:w="80" w:type="dxa"/>
              <w:start w:w="100" w:type="dxa"/>
              <w:bottom w:w="80" w:type="dxa"/>
              <w:end w:w="100" w:type="dxa"/>
            </w:tcMar>
            <w:vAlign w:val="center"/>
          </w:tcPr>
          <w:p>
            <w:r>
              <w:t>App publisher</w:t>
            </w:r>
          </w:p>
        </w:tc>
        <w:tc>
          <w:tcPr>
            <w:tcW w:type="dxa" w:w="2556"/>
            <w:tcMar>
              <w:top w:w="80" w:type="dxa"/>
              <w:start w:w="100" w:type="dxa"/>
              <w:bottom w:w="80" w:type="dxa"/>
              <w:end w:w="100" w:type="dxa"/>
            </w:tcMar>
            <w:vAlign w:val="center"/>
          </w:tcPr>
          <w:p>
            <w:r>
              <w:t>Installations that adopt that app version</w:t>
            </w:r>
          </w:p>
        </w:tc>
      </w:tr>
      <w:tr>
        <w:tc>
          <w:tcPr>
            <w:tcW w:type="dxa" w:w="2556"/>
            <w:tcMar>
              <w:top w:w="80" w:type="dxa"/>
              <w:start w:w="100" w:type="dxa"/>
              <w:bottom w:w="80" w:type="dxa"/>
              <w:end w:w="100" w:type="dxa"/>
            </w:tcMar>
            <w:vAlign w:val="center"/>
          </w:tcPr>
          <w:p>
            <w:r>
              <w:t>Connector update</w:t>
            </w:r>
          </w:p>
        </w:tc>
        <w:tc>
          <w:tcPr>
            <w:tcW w:type="dxa" w:w="2556"/>
            <w:tcMar>
              <w:top w:w="80" w:type="dxa"/>
              <w:start w:w="100" w:type="dxa"/>
              <w:bottom w:w="80" w:type="dxa"/>
              <w:end w:w="100" w:type="dxa"/>
            </w:tcMar>
            <w:vAlign w:val="center"/>
          </w:tcPr>
          <w:p>
            <w:r>
              <w:t>Facebook changes a screen or API behavior</w:t>
            </w:r>
          </w:p>
        </w:tc>
        <w:tc>
          <w:tcPr>
            <w:tcW w:type="dxa" w:w="2556"/>
            <w:tcMar>
              <w:top w:w="80" w:type="dxa"/>
              <w:start w:w="100" w:type="dxa"/>
              <w:bottom w:w="80" w:type="dxa"/>
              <w:end w:w="100" w:type="dxa"/>
            </w:tcMar>
            <w:vAlign w:val="center"/>
          </w:tcPr>
          <w:p>
            <w:r>
              <w:t>Connector publisher</w:t>
            </w:r>
          </w:p>
        </w:tc>
        <w:tc>
          <w:tcPr>
            <w:tcW w:type="dxa" w:w="2556"/>
            <w:tcMar>
              <w:top w:w="80" w:type="dxa"/>
              <w:start w:w="100" w:type="dxa"/>
              <w:bottom w:w="80" w:type="dxa"/>
              <w:end w:w="100" w:type="dxa"/>
            </w:tcMar>
            <w:vAlign w:val="center"/>
          </w:tcPr>
          <w:p>
            <w:r>
              <w:t>Every installation using that connector/version</w:t>
            </w:r>
          </w:p>
        </w:tc>
      </w:tr>
      <w:tr>
        <w:tc>
          <w:tcPr>
            <w:tcW w:type="dxa" w:w="2556"/>
            <w:tcMar>
              <w:top w:w="80" w:type="dxa"/>
              <w:start w:w="100" w:type="dxa"/>
              <w:bottom w:w="80" w:type="dxa"/>
              <w:end w:w="100" w:type="dxa"/>
            </w:tcMar>
            <w:vAlign w:val="center"/>
          </w:tcPr>
          <w:p>
            <w:r>
              <w:t>Ghost standard update</w:t>
            </w:r>
          </w:p>
        </w:tc>
        <w:tc>
          <w:tcPr>
            <w:tcW w:type="dxa" w:w="2556"/>
            <w:tcMar>
              <w:top w:w="80" w:type="dxa"/>
              <w:start w:w="100" w:type="dxa"/>
              <w:bottom w:w="80" w:type="dxa"/>
              <w:end w:w="100" w:type="dxa"/>
            </w:tcMar>
            <w:vAlign w:val="center"/>
          </w:tcPr>
          <w:p>
            <w:r>
              <w:t>New capability or schema version</w:t>
            </w:r>
          </w:p>
        </w:tc>
        <w:tc>
          <w:tcPr>
            <w:tcW w:type="dxa" w:w="2556"/>
            <w:tcMar>
              <w:top w:w="80" w:type="dxa"/>
              <w:start w:w="100" w:type="dxa"/>
              <w:bottom w:w="80" w:type="dxa"/>
              <w:end w:w="100" w:type="dxa"/>
            </w:tcMar>
            <w:vAlign w:val="center"/>
          </w:tcPr>
          <w:p>
            <w:r>
              <w:t>Ghost standard maintainers</w:t>
            </w:r>
          </w:p>
        </w:tc>
        <w:tc>
          <w:tcPr>
            <w:tcW w:type="dxa" w:w="2556"/>
            <w:tcMar>
              <w:top w:w="80" w:type="dxa"/>
              <w:start w:w="100" w:type="dxa"/>
              <w:bottom w:w="80" w:type="dxa"/>
              <w:end w:w="100" w:type="dxa"/>
            </w:tcMar>
            <w:vAlign w:val="center"/>
          </w:tcPr>
          <w:p>
            <w:r>
              <w:t>Packages that opt into/support the new contract</w:t>
            </w:r>
          </w:p>
        </w:tc>
      </w:tr>
      <w:tr>
        <w:tc>
          <w:tcPr>
            <w:tcW w:type="dxa" w:w="2556"/>
            <w:tcMar>
              <w:top w:w="80" w:type="dxa"/>
              <w:start w:w="100" w:type="dxa"/>
              <w:bottom w:w="80" w:type="dxa"/>
              <w:end w:w="100" w:type="dxa"/>
            </w:tcMar>
            <w:vAlign w:val="center"/>
          </w:tcPr>
          <w:p>
            <w:r>
              <w:t>Private customization</w:t>
            </w:r>
          </w:p>
        </w:tc>
        <w:tc>
          <w:tcPr>
            <w:tcW w:type="dxa" w:w="2556"/>
            <w:tcMar>
              <w:top w:w="80" w:type="dxa"/>
              <w:start w:w="100" w:type="dxa"/>
              <w:bottom w:w="80" w:type="dxa"/>
              <w:end w:w="100" w:type="dxa"/>
            </w:tcMar>
            <w:vAlign w:val="center"/>
          </w:tcPr>
          <w:p>
            <w:r>
              <w:t>Business modifies a workflow or custom UI</w:t>
            </w:r>
          </w:p>
        </w:tc>
        <w:tc>
          <w:tcPr>
            <w:tcW w:type="dxa" w:w="2556"/>
            <w:tcMar>
              <w:top w:w="80" w:type="dxa"/>
              <w:start w:w="100" w:type="dxa"/>
              <w:bottom w:w="80" w:type="dxa"/>
              <w:end w:w="100" w:type="dxa"/>
            </w:tcMar>
            <w:vAlign w:val="center"/>
          </w:tcPr>
          <w:p>
            <w:r>
              <w:t>Business or its developer</w:t>
            </w:r>
          </w:p>
        </w:tc>
        <w:tc>
          <w:tcPr>
            <w:tcW w:type="dxa" w:w="2556"/>
            <w:tcMar>
              <w:top w:w="80" w:type="dxa"/>
              <w:start w:w="100" w:type="dxa"/>
              <w:bottom w:w="80" w:type="dxa"/>
              <w:end w:w="100" w:type="dxa"/>
            </w:tcMar>
            <w:vAlign w:val="center"/>
          </w:tcPr>
          <w:p>
            <w:r>
              <w:t>Only that private installation unless published</w:t>
            </w:r>
          </w:p>
        </w:tc>
      </w:tr>
    </w:tbl>
    <w:p>
      <w:r>
        <w:t>These categories must never be conflated. A restaurant changing its hours is not a software update. Facebook redesigning its UI is not the restaurant’s fault. A custom private workflow should not silently alter the platform standard.</w:t>
      </w:r>
    </w:p>
    <w:p>
      <w:pPr>
        <w:pStyle w:val="Heading1"/>
      </w:pPr>
      <w:r>
        <w:t>7. Provider Packages: Build the Knowledge Once</w:t>
      </w:r>
    </w:p>
    <w:p>
      <w:r>
        <w:t>Generic software knowledge should be packaged once and reused. A provider package is the maintained description of how one external product maps into Ghost.</w:t>
      </w:r>
    </w:p>
    <w:p>
      <w:pPr>
        <w:pStyle w:val="CodeBlock"/>
        <w:shd w:fill="172433"/>
        <w:spacing w:after="160"/>
      </w:pPr>
      <w:r>
        <w:rPr>
          <w:rFonts w:ascii="Consolas" w:hAnsi="Consolas"/>
          <w:color w:val="DCE6F0"/>
          <w:sz w:val="18"/>
        </w:rPr>
        <w:t>ghost-provider-facebook</w:t>
        <w:br/>
        <w:t xml:space="preserve">  provider metadata</w:t>
        <w:br/>
        <w:t xml:space="preserve">  supported versions</w:t>
        <w:br/>
        <w:t xml:space="preserve">  external objects</w:t>
        <w:br/>
        <w:t xml:space="preserve">  field mappings</w:t>
        <w:br/>
        <w:t xml:space="preserve">  transformations</w:t>
        <w:br/>
        <w:t xml:space="preserve">  permissions/scopes</w:t>
        <w:br/>
        <w:t xml:space="preserve">  capabilities</w:t>
        <w:br/>
        <w:t xml:space="preserve">  API implementation</w:t>
        <w:br/>
        <w:t xml:space="preserve">  browser implementation</w:t>
        <w:br/>
        <w:t xml:space="preserve">  Android implementation</w:t>
        <w:br/>
        <w:t xml:space="preserve">  AppMaps</w:t>
        <w:br/>
        <w:t xml:space="preserve">  events/webhooks</w:t>
        <w:br/>
        <w:t xml:space="preserve">  verification contracts</w:t>
        <w:br/>
        <w:t xml:space="preserve">  health checks</w:t>
        <w:br/>
        <w:t xml:space="preserve">  migration notes</w:t>
      </w:r>
    </w:p>
    <w:p>
      <w:r>
        <w:t>Customer A, Customer B and Customer C can all install the same provider package. Their credentials, external object IDs, business records and grants are different, but the shared knowledge about how the provider works is reusable.</w:t>
      </w:r>
    </w:p>
    <w:p>
      <w:pPr>
        <w:pStyle w:val="Heading1"/>
      </w:pPr>
      <w:r>
        <w:t>8. Every Package Needs an Explicit Owner and Maintainer</w:t>
      </w:r>
    </w:p>
    <w:p>
      <w:pPr>
        <w:pStyle w:val="CodeBlock"/>
        <w:shd w:fill="172433"/>
        <w:spacing w:after="160"/>
      </w:pPr>
      <w:r>
        <w:rPr>
          <w:rFonts w:ascii="Consolas" w:hAnsi="Consolas"/>
          <w:color w:val="DCE6F0"/>
          <w:sz w:val="18"/>
        </w:rPr>
        <w:t>PACKAGE</w:t>
        <w:br/>
        <w:t>Name: Facebook Business Connector</w:t>
        <w:br/>
        <w:t>Publisher: Developer ABC</w:t>
        <w:br/>
        <w:t>Maintainer: Developer ABC</w:t>
        <w:br/>
        <w:t>License: Apache-2.0</w:t>
        <w:br/>
        <w:t>Version: 4.8.1</w:t>
        <w:br/>
        <w:t>Ghost Contract: &gt;= 2.4</w:t>
        <w:br/>
        <w:t>Capabilities:</w:t>
        <w:br/>
        <w:t xml:space="preserve">  social.post.publish</w:t>
        <w:br/>
        <w:t xml:space="preserve">  business.hours.update</w:t>
        <w:br/>
        <w:t xml:space="preserve">  message.read</w:t>
        <w:br/>
        <w:t>Execution methods:</w:t>
        <w:br/>
        <w:t xml:space="preserve">  API</w:t>
        <w:br/>
        <w:t xml:space="preserve">  Browser</w:t>
        <w:br/>
        <w:t xml:space="preserve">  Android</w:t>
        <w:br/>
        <w:t>Health: Healthy</w:t>
        <w:br/>
        <w:t>Last verified: Today</w:t>
        <w:br/>
        <w:t>Automatic updates: Enabled</w:t>
      </w:r>
    </w:p>
    <w:p>
      <w:r>
        <w:t>Ghost should be able to tell exactly which package broke, which implementation is failing, which versions are affected and who is responsible for maintenance. This converts maintenance from a vague system-wide problem into a package-level responsibility.</w:t>
      </w:r>
    </w:p>
    <w:p>
      <w:pPr>
        <w:pStyle w:val="Heading1"/>
      </w:pPr>
      <w:r>
        <w:t>9. Businesses Can Build or Commission Their Own Connectors</w:t>
      </w:r>
    </w:p>
    <w:p>
      <w:r>
        <w:t>A business may use specialized software that no public Ghost connector supports. The business can build a private connector, hire a local IT company, use an AI-assisted builder, or contract a developer. That connector can remain private, be shared with a group, or later be published to the marketplace.</w:t>
      </w:r>
    </w:p>
    <w:p>
      <w:pPr>
        <w:pStyle w:val="CodeBlock"/>
        <w:shd w:fill="172433"/>
        <w:spacing w:after="160"/>
      </w:pPr>
      <w:r>
        <w:rPr>
          <w:rFonts w:ascii="Consolas" w:hAnsi="Consolas"/>
          <w:color w:val="DCE6F0"/>
          <w:sz w:val="18"/>
        </w:rPr>
        <w:t>PRIVATE PACKAGE</w:t>
        <w:br/>
        <w:t xml:space="preserve">      |</w:t>
        <w:br/>
        <w:t xml:space="preserve">      +--&gt; Organization package</w:t>
        <w:br/>
        <w:t xml:space="preserve">      |</w:t>
        <w:br/>
        <w:t xml:space="preserve">      +--&gt; Marketplace package</w:t>
        <w:br/>
        <w:t xml:space="preserve">      |</w:t>
        <w:br/>
        <w:t xml:space="preserve">      +--&gt; Open-source package</w:t>
      </w:r>
    </w:p>
    <w:p>
      <w:r>
        <w:t>The entity that publishes the connector becomes responsible for keeping its implementation current. Ghost remains responsible only for the contract it implements.</w:t>
      </w:r>
    </w:p>
    <w:p>
      <w:pPr>
        <w:pStyle w:val="Heading1"/>
      </w:pPr>
      <w:r>
        <w:t>10. UI Maps and AppMaps Are Versioned Implementation Knowledge</w:t>
      </w:r>
    </w:p>
    <w:p>
      <w:r>
        <w:t>When an external tool has no usable API or when a business chooses UI-based execution, the provider package can include AppMaps or equivalent UI maps. The map represents a particular application/version/state machine, not business data.</w:t>
      </w:r>
    </w:p>
    <w:p>
      <w:pPr>
        <w:pStyle w:val="CodeBlock"/>
        <w:shd w:fill="172433"/>
        <w:spacing w:after="160"/>
      </w:pPr>
      <w:r>
        <w:rPr>
          <w:rFonts w:ascii="Consolas" w:hAnsi="Consolas"/>
          <w:color w:val="DCE6F0"/>
          <w:sz w:val="18"/>
        </w:rPr>
        <w:t>APP MAP</w:t>
        <w:br/>
        <w:t>provider: Facebook Android</w:t>
        <w:br/>
        <w:t>version: 518.x</w:t>
        <w:br/>
        <w:t>states:</w:t>
        <w:br/>
        <w:t xml:space="preserve">  business_home</w:t>
        <w:br/>
        <w:t xml:space="preserve">  create_post</w:t>
        <w:br/>
        <w:t xml:space="preserve">  post_editor</w:t>
        <w:br/>
        <w:t xml:space="preserve">  published_post</w:t>
        <w:br/>
        <w:t>actions:</w:t>
        <w:br/>
        <w:t xml:space="preserve">  open_create_post</w:t>
        <w:br/>
        <w:t xml:space="preserve">  fill_caption</w:t>
        <w:br/>
        <w:t xml:space="preserve">  publish</w:t>
        <w:br/>
        <w:t>verification:</w:t>
        <w:br/>
        <w:t xml:space="preserve">  read public timeline</w:t>
        <w:br/>
        <w:t>recovery:</w:t>
        <w:br/>
        <w:t xml:space="preserve">  known modal handling</w:t>
        <w:br/>
        <w:t xml:space="preserve">  session-expired handling</w:t>
      </w:r>
    </w:p>
    <w:p>
      <w:r>
        <w:t>When the provider changes, the map can be repaired and a new version published. A business may choose auto-update, staged update or pinning, depending on its risk tolerance.</w:t>
      </w:r>
    </w:p>
    <w:p>
      <w:pPr>
        <w:pStyle w:val="Heading1"/>
      </w:pPr>
      <w:r>
        <w:t>11. AI-Assisted Maintenance: Discover Once, Then Run Deterministically</w:t>
      </w:r>
    </w:p>
    <w:p>
      <w:pPr>
        <w:pStyle w:val="CodeBlock"/>
        <w:shd w:fill="172433"/>
        <w:spacing w:after="160"/>
      </w:pPr>
      <w:r>
        <w:rPr>
          <w:rFonts w:ascii="Consolas" w:hAnsi="Consolas"/>
          <w:color w:val="DCE6F0"/>
          <w:sz w:val="18"/>
        </w:rPr>
        <w:t>KNOWN WORKFLOW</w:t>
        <w:br/>
        <w:t xml:space="preserve">  deterministic execution</w:t>
        <w:br/>
        <w:t xml:space="preserve">        |</w:t>
        <w:br/>
        <w:t xml:space="preserve">        v</w:t>
        <w:br/>
        <w:t xml:space="preserve">   verification</w:t>
        <w:br/>
        <w:t xml:space="preserve">        |</w:t>
        <w:br/>
        <w:t xml:space="preserve">   success? ---- yes ---&gt; receipt</w:t>
        <w:br/>
        <w:t xml:space="preserve">        |</w:t>
        <w:br/>
        <w:t xml:space="preserve">        no</w:t>
        <w:br/>
        <w:t xml:space="preserve">        v</w:t>
        <w:br/>
        <w:t xml:space="preserve"> capture state</w:t>
        <w:br/>
        <w:t xml:space="preserve">        |</w:t>
        <w:br/>
        <w:t xml:space="preserve">        v</w:t>
        <w:br/>
        <w:t xml:space="preserve"> AI repair / diagnose</w:t>
        <w:br/>
        <w:t xml:space="preserve">        |</w:t>
        <w:br/>
        <w:t xml:space="preserve">        v</w:t>
        <w:br/>
        <w:t xml:space="preserve"> propose new mapping</w:t>
        <w:br/>
        <w:t xml:space="preserve">        |</w:t>
        <w:br/>
        <w:t xml:space="preserve">        v</w:t>
        <w:br/>
        <w:t xml:space="preserve"> sandbox tests</w:t>
        <w:br/>
        <w:t xml:space="preserve">        |</w:t>
        <w:br/>
        <w:t xml:space="preserve">        v</w:t>
        <w:br/>
        <w:t xml:space="preserve"> publisher approval (if required)</w:t>
        <w:br/>
        <w:t xml:space="preserve">        |</w:t>
        <w:br/>
        <w:t xml:space="preserve">        v</w:t>
        <w:br/>
        <w:t xml:space="preserve"> publish new package version</w:t>
      </w:r>
    </w:p>
    <w:p>
      <w:r>
        <w:t>The AI is used at ambiguity and repair boundaries. Once the interface is understood, repeated executions should use deterministic selectors/scripts or structured APIs rather than expensive model reasoning on every click.</w:t>
      </w:r>
    </w:p>
    <w:p>
      <w:pPr>
        <w:pStyle w:val="Heading1"/>
      </w:pPr>
      <w:r>
        <w:t>12. Canonical Business Data Still Lives Underneath Every Package</w:t>
      </w:r>
    </w:p>
    <w:p>
      <w:r>
        <w:t>Provider-specific mappings must never become the canonical business model. The canonical tables describe business meaning; provider observations and external IDs describe how the same meaning appears in outside software.</w:t>
      </w:r>
    </w:p>
    <w:tbl>
      <w:tblPr>
        <w:tblStyle w:val="TableGrid"/>
        <w:tblW w:type="auto" w:w="0"/>
        <w:jc w:val="center"/>
        <w:tblLook w:firstColumn="1" w:firstRow="1" w:lastColumn="0" w:lastRow="0" w:noHBand="0" w:noVBand="1" w:val="04A0"/>
      </w:tblPr>
      <w:tblGrid>
        <w:gridCol w:w="5112"/>
        <w:gridCol w:w="5112"/>
      </w:tblGrid>
      <w:tr>
        <w:tc>
          <w:tcPr>
            <w:tcW w:type="dxa" w:w="5112"/>
            <w:shd w:fill="142335"/>
            <w:vAlign w:val="center"/>
            <w:tcMar>
              <w:top w:w="80" w:type="dxa"/>
              <w:start w:w="100" w:type="dxa"/>
              <w:bottom w:w="80" w:type="dxa"/>
              <w:end w:w="100" w:type="dxa"/>
            </w:tcMar>
          </w:tcPr>
          <w:p>
            <w:r>
              <w:rPr>
                <w:b/>
                <w:color w:val="FFFFFF"/>
              </w:rPr>
              <w:t>Canonical concept</w:t>
            </w:r>
          </w:p>
        </w:tc>
        <w:tc>
          <w:tcPr>
            <w:tcW w:type="dxa" w:w="5112"/>
            <w:shd w:fill="142335"/>
            <w:vAlign w:val="center"/>
            <w:tcMar>
              <w:top w:w="80" w:type="dxa"/>
              <w:start w:w="100" w:type="dxa"/>
              <w:bottom w:w="80" w:type="dxa"/>
              <w:end w:w="100" w:type="dxa"/>
            </w:tcMar>
          </w:tcPr>
          <w:p>
            <w:r>
              <w:rPr>
                <w:b/>
                <w:color w:val="FFFFFF"/>
              </w:rPr>
              <w:t>Examples of provider representations</w:t>
            </w:r>
          </w:p>
        </w:tc>
      </w:tr>
      <w:tr>
        <w:tc>
          <w:tcPr>
            <w:tcW w:type="dxa" w:w="5112"/>
            <w:tcMar>
              <w:top w:w="80" w:type="dxa"/>
              <w:start w:w="100" w:type="dxa"/>
              <w:bottom w:w="80" w:type="dxa"/>
              <w:end w:w="100" w:type="dxa"/>
            </w:tcMar>
            <w:vAlign w:val="center"/>
          </w:tcPr>
          <w:p>
            <w:r>
              <w:t>business.hours</w:t>
            </w:r>
          </w:p>
        </w:tc>
        <w:tc>
          <w:tcPr>
            <w:tcW w:type="dxa" w:w="5112"/>
            <w:tcMar>
              <w:top w:w="80" w:type="dxa"/>
              <w:start w:w="100" w:type="dxa"/>
              <w:bottom w:w="80" w:type="dxa"/>
              <w:end w:w="100" w:type="dxa"/>
            </w:tcMar>
            <w:vAlign w:val="center"/>
          </w:tcPr>
          <w:p>
            <w:r>
              <w:t>Google hours, Yelp hours, Facebook hours, website hours</w:t>
            </w:r>
          </w:p>
        </w:tc>
      </w:tr>
      <w:tr>
        <w:tc>
          <w:tcPr>
            <w:tcW w:type="dxa" w:w="5112"/>
            <w:tcMar>
              <w:top w:w="80" w:type="dxa"/>
              <w:start w:w="100" w:type="dxa"/>
              <w:bottom w:w="80" w:type="dxa"/>
              <w:end w:w="100" w:type="dxa"/>
            </w:tcMar>
            <w:vAlign w:val="center"/>
          </w:tcPr>
          <w:p>
            <w:r>
              <w:t>menu_item.price</w:t>
            </w:r>
          </w:p>
        </w:tc>
        <w:tc>
          <w:tcPr>
            <w:tcW w:type="dxa" w:w="5112"/>
            <w:tcMar>
              <w:top w:w="80" w:type="dxa"/>
              <w:start w:w="100" w:type="dxa"/>
              <w:bottom w:w="80" w:type="dxa"/>
              <w:end w:w="100" w:type="dxa"/>
            </w:tcMar>
            <w:vAlign w:val="center"/>
          </w:tcPr>
          <w:p>
            <w:r>
              <w:t>Toast price, Square price, Clover item price, public menu price</w:t>
            </w:r>
          </w:p>
        </w:tc>
      </w:tr>
      <w:tr>
        <w:tc>
          <w:tcPr>
            <w:tcW w:type="dxa" w:w="5112"/>
            <w:tcMar>
              <w:top w:w="80" w:type="dxa"/>
              <w:start w:w="100" w:type="dxa"/>
              <w:bottom w:w="80" w:type="dxa"/>
              <w:end w:w="100" w:type="dxa"/>
            </w:tcMar>
            <w:vAlign w:val="center"/>
          </w:tcPr>
          <w:p>
            <w:r>
              <w:t>availability</w:t>
            </w:r>
          </w:p>
        </w:tc>
        <w:tc>
          <w:tcPr>
            <w:tcW w:type="dxa" w:w="5112"/>
            <w:tcMar>
              <w:top w:w="80" w:type="dxa"/>
              <w:start w:w="100" w:type="dxa"/>
              <w:bottom w:w="80" w:type="dxa"/>
              <w:end w:w="100" w:type="dxa"/>
            </w:tcMar>
            <w:vAlign w:val="center"/>
          </w:tcPr>
          <w:p>
            <w:r>
              <w:t>FareHarbor availability, Peek availability, Square booking availability, manual inventory</w:t>
            </w:r>
          </w:p>
        </w:tc>
      </w:tr>
      <w:tr>
        <w:tc>
          <w:tcPr>
            <w:tcW w:type="dxa" w:w="5112"/>
            <w:tcMar>
              <w:top w:w="80" w:type="dxa"/>
              <w:start w:w="100" w:type="dxa"/>
              <w:bottom w:w="80" w:type="dxa"/>
              <w:end w:w="100" w:type="dxa"/>
            </w:tcMar>
            <w:vAlign w:val="center"/>
          </w:tcPr>
          <w:p>
            <w:r>
              <w:t>booking</w:t>
            </w:r>
          </w:p>
        </w:tc>
        <w:tc>
          <w:tcPr>
            <w:tcW w:type="dxa" w:w="5112"/>
            <w:tcMar>
              <w:top w:w="80" w:type="dxa"/>
              <w:start w:w="100" w:type="dxa"/>
              <w:bottom w:w="80" w:type="dxa"/>
              <w:end w:w="100" w:type="dxa"/>
            </w:tcMar>
            <w:vAlign w:val="center"/>
          </w:tcPr>
          <w:p>
            <w:r>
              <w:t>Booking.com reservation, Peek booking, FareHarbor booking, Square booking</w:t>
            </w:r>
          </w:p>
        </w:tc>
      </w:tr>
      <w:tr>
        <w:tc>
          <w:tcPr>
            <w:tcW w:type="dxa" w:w="5112"/>
            <w:tcMar>
              <w:top w:w="80" w:type="dxa"/>
              <w:start w:w="100" w:type="dxa"/>
              <w:bottom w:w="80" w:type="dxa"/>
              <w:end w:w="100" w:type="dxa"/>
            </w:tcMar>
            <w:vAlign w:val="center"/>
          </w:tcPr>
          <w:p>
            <w:r>
              <w:t>product/service</w:t>
            </w:r>
          </w:p>
        </w:tc>
        <w:tc>
          <w:tcPr>
            <w:tcW w:type="dxa" w:w="5112"/>
            <w:tcMar>
              <w:top w:w="80" w:type="dxa"/>
              <w:start w:w="100" w:type="dxa"/>
              <w:bottom w:w="80" w:type="dxa"/>
              <w:end w:w="100" w:type="dxa"/>
            </w:tcMar>
            <w:vAlign w:val="center"/>
          </w:tcPr>
          <w:p>
            <w:r>
              <w:t>Toast menu item, Square CatalogItem, Clover Item, FareHarbor Item, Peek Product</w:t>
            </w:r>
          </w:p>
        </w:tc>
      </w:tr>
    </w:tbl>
    <w:p>
      <w:r>
        <w:t>This is what prevents a provider from becoming the architecture. A new provider is mapped into existing business concepts instead of forcing Ghost to redesign itself around the vendor.</w:t>
      </w:r>
    </w:p>
    <w:p>
      <w:pPr>
        <w:pStyle w:val="Heading1"/>
      </w:pPr>
      <w:r>
        <w:t>13. Synchronization Checklist and Provider Comparison</w:t>
      </w:r>
    </w:p>
    <w:p>
      <w:r>
        <w:t>The business-facing checklist compares the canonical value to every connected platform observation. The canonical table stays clean while synchronization status lives in the mapping/provenance layer.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142335"/>
            <w:vAlign w:val="center"/>
            <w:tcMar>
              <w:top w:w="80" w:type="dxa"/>
              <w:start w:w="100" w:type="dxa"/>
              <w:bottom w:w="80" w:type="dxa"/>
              <w:end w:w="100" w:type="dxa"/>
            </w:tcMar>
          </w:tcPr>
          <w:p>
            <w:r>
              <w:rPr>
                <w:b/>
                <w:color w:val="FFFFFF"/>
              </w:rPr>
              <w:t>Field</w:t>
            </w:r>
          </w:p>
        </w:tc>
        <w:tc>
          <w:tcPr>
            <w:tcW w:type="dxa" w:w="1704"/>
            <w:shd w:fill="142335"/>
            <w:vAlign w:val="center"/>
            <w:tcMar>
              <w:top w:w="80" w:type="dxa"/>
              <w:start w:w="100" w:type="dxa"/>
              <w:bottom w:w="80" w:type="dxa"/>
              <w:end w:w="100" w:type="dxa"/>
            </w:tcMar>
          </w:tcPr>
          <w:p>
            <w:r>
              <w:rPr>
                <w:b/>
                <w:color w:val="FFFFFF"/>
              </w:rPr>
              <w:t>Canonical</w:t>
            </w:r>
          </w:p>
        </w:tc>
        <w:tc>
          <w:tcPr>
            <w:tcW w:type="dxa" w:w="1704"/>
            <w:shd w:fill="142335"/>
            <w:vAlign w:val="center"/>
            <w:tcMar>
              <w:top w:w="80" w:type="dxa"/>
              <w:start w:w="100" w:type="dxa"/>
              <w:bottom w:w="80" w:type="dxa"/>
              <w:end w:w="100" w:type="dxa"/>
            </w:tcMar>
          </w:tcPr>
          <w:p>
            <w:r>
              <w:rPr>
                <w:b/>
                <w:color w:val="FFFFFF"/>
              </w:rPr>
              <w:t>Google</w:t>
            </w:r>
          </w:p>
        </w:tc>
        <w:tc>
          <w:tcPr>
            <w:tcW w:type="dxa" w:w="1704"/>
            <w:shd w:fill="142335"/>
            <w:vAlign w:val="center"/>
            <w:tcMar>
              <w:top w:w="80" w:type="dxa"/>
              <w:start w:w="100" w:type="dxa"/>
              <w:bottom w:w="80" w:type="dxa"/>
              <w:end w:w="100" w:type="dxa"/>
            </w:tcMar>
          </w:tcPr>
          <w:p>
            <w:r>
              <w:rPr>
                <w:b/>
                <w:color w:val="FFFFFF"/>
              </w:rPr>
              <w:t>Facebook</w:t>
            </w:r>
          </w:p>
        </w:tc>
        <w:tc>
          <w:tcPr>
            <w:tcW w:type="dxa" w:w="1704"/>
            <w:shd w:fill="142335"/>
            <w:vAlign w:val="center"/>
            <w:tcMar>
              <w:top w:w="80" w:type="dxa"/>
              <w:start w:w="100" w:type="dxa"/>
              <w:bottom w:w="80" w:type="dxa"/>
              <w:end w:w="100" w:type="dxa"/>
            </w:tcMar>
          </w:tcPr>
          <w:p>
            <w:r>
              <w:rPr>
                <w:b/>
                <w:color w:val="FFFFFF"/>
              </w:rPr>
              <w:t>Yelp</w:t>
            </w:r>
          </w:p>
        </w:tc>
        <w:tc>
          <w:tcPr>
            <w:tcW w:type="dxa" w:w="1704"/>
            <w:shd w:fill="142335"/>
            <w:vAlign w:val="center"/>
            <w:tcMar>
              <w:top w:w="80" w:type="dxa"/>
              <w:start w:w="100" w:type="dxa"/>
              <w:bottom w:w="80" w:type="dxa"/>
              <w:end w:w="100" w:type="dxa"/>
            </w:tcMar>
          </w:tcPr>
          <w:p>
            <w:r>
              <w:rPr>
                <w:b/>
                <w:color w:val="FFFFFF"/>
              </w:rPr>
              <w:t>Website</w:t>
            </w:r>
          </w:p>
        </w:tc>
      </w:tr>
      <w:tr>
        <w:tc>
          <w:tcPr>
            <w:tcW w:type="dxa" w:w="1704"/>
            <w:tcMar>
              <w:top w:w="80" w:type="dxa"/>
              <w:start w:w="100" w:type="dxa"/>
              <w:bottom w:w="80" w:type="dxa"/>
              <w:end w:w="100" w:type="dxa"/>
            </w:tcMar>
            <w:vAlign w:val="center"/>
          </w:tcPr>
          <w:p>
            <w:r>
              <w:t>Business name</w:t>
            </w:r>
          </w:p>
        </w:tc>
        <w:tc>
          <w:tcPr>
            <w:tcW w:type="dxa" w:w="1704"/>
            <w:tcMar>
              <w:top w:w="80" w:type="dxa"/>
              <w:start w:w="100" w:type="dxa"/>
              <w:bottom w:w="80" w:type="dxa"/>
              <w:end w:w="100" w:type="dxa"/>
            </w:tcMar>
            <w:vAlign w:val="center"/>
          </w:tcPr>
          <w:p>
            <w:r>
              <w:t>Example Restaurant</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r>
      <w:tr>
        <w:tc>
          <w:tcPr>
            <w:tcW w:type="dxa" w:w="1704"/>
            <w:tcMar>
              <w:top w:w="80" w:type="dxa"/>
              <w:start w:w="100" w:type="dxa"/>
              <w:bottom w:w="80" w:type="dxa"/>
              <w:end w:w="100" w:type="dxa"/>
            </w:tcMar>
            <w:vAlign w:val="center"/>
          </w:tcPr>
          <w:p>
            <w:r>
              <w:t>Friday close</w:t>
            </w:r>
          </w:p>
        </w:tc>
        <w:tc>
          <w:tcPr>
            <w:tcW w:type="dxa" w:w="1704"/>
            <w:tcMar>
              <w:top w:w="80" w:type="dxa"/>
              <w:start w:w="100" w:type="dxa"/>
              <w:bottom w:w="80" w:type="dxa"/>
              <w:end w:w="100" w:type="dxa"/>
            </w:tcMar>
            <w:vAlign w:val="center"/>
          </w:tcPr>
          <w:p>
            <w:r>
              <w:t>11 PM</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10 PM - MISMATCH</w:t>
            </w:r>
          </w:p>
        </w:tc>
        <w:tc>
          <w:tcPr>
            <w:tcW w:type="dxa" w:w="1704"/>
            <w:tcMar>
              <w:top w:w="80" w:type="dxa"/>
              <w:start w:w="100" w:type="dxa"/>
              <w:bottom w:w="80" w:type="dxa"/>
              <w:end w:w="100" w:type="dxa"/>
            </w:tcMar>
            <w:vAlign w:val="center"/>
          </w:tcPr>
          <w:p>
            <w:r>
              <w:t>MATCH</w:t>
            </w:r>
          </w:p>
        </w:tc>
      </w:tr>
      <w:tr>
        <w:tc>
          <w:tcPr>
            <w:tcW w:type="dxa" w:w="1704"/>
            <w:tcMar>
              <w:top w:w="80" w:type="dxa"/>
              <w:start w:w="100" w:type="dxa"/>
              <w:bottom w:w="80" w:type="dxa"/>
              <w:end w:w="100" w:type="dxa"/>
            </w:tcMar>
            <w:vAlign w:val="center"/>
          </w:tcPr>
          <w:p>
            <w:r>
              <w:t>Phone</w:t>
            </w:r>
          </w:p>
        </w:tc>
        <w:tc>
          <w:tcPr>
            <w:tcW w:type="dxa" w:w="1704"/>
            <w:tcMar>
              <w:top w:w="80" w:type="dxa"/>
              <w:start w:w="100" w:type="dxa"/>
              <w:bottom w:w="80" w:type="dxa"/>
              <w:end w:w="100" w:type="dxa"/>
            </w:tcMar>
            <w:vAlign w:val="center"/>
          </w:tcPr>
          <w:p>
            <w:r>
              <w:t>555-0100</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r>
      <w:tr>
        <w:tc>
          <w:tcPr>
            <w:tcW w:type="dxa" w:w="1704"/>
            <w:tcMar>
              <w:top w:w="80" w:type="dxa"/>
              <w:start w:w="100" w:type="dxa"/>
              <w:bottom w:w="80" w:type="dxa"/>
              <w:end w:w="100" w:type="dxa"/>
            </w:tcMar>
            <w:vAlign w:val="center"/>
          </w:tcPr>
          <w:p>
            <w:r>
              <w:t>Outdoor seating</w:t>
            </w:r>
          </w:p>
        </w:tc>
        <w:tc>
          <w:tcPr>
            <w:tcW w:type="dxa" w:w="1704"/>
            <w:tcMar>
              <w:top w:w="80" w:type="dxa"/>
              <w:start w:w="100" w:type="dxa"/>
              <w:bottom w:w="80" w:type="dxa"/>
              <w:end w:w="100" w:type="dxa"/>
            </w:tcMar>
            <w:vAlign w:val="center"/>
          </w:tcPr>
          <w:p>
            <w:r>
              <w:t>Yes</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MATCH</w:t>
            </w:r>
          </w:p>
        </w:tc>
      </w:tr>
      <w:tr>
        <w:tc>
          <w:tcPr>
            <w:tcW w:type="dxa" w:w="1704"/>
            <w:tcMar>
              <w:top w:w="80" w:type="dxa"/>
              <w:start w:w="100" w:type="dxa"/>
              <w:bottom w:w="80" w:type="dxa"/>
              <w:end w:w="100" w:type="dxa"/>
            </w:tcMar>
            <w:vAlign w:val="center"/>
          </w:tcPr>
          <w:p>
            <w:r>
              <w:t>Happy hour</w:t>
            </w:r>
          </w:p>
        </w:tc>
        <w:tc>
          <w:tcPr>
            <w:tcW w:type="dxa" w:w="1704"/>
            <w:tcMar>
              <w:top w:w="80" w:type="dxa"/>
              <w:start w:w="100" w:type="dxa"/>
              <w:bottom w:w="80" w:type="dxa"/>
              <w:end w:w="100" w:type="dxa"/>
            </w:tcMar>
            <w:vAlign w:val="center"/>
          </w:tcPr>
          <w:p>
            <w:r>
              <w:t>3-6 PM</w:t>
            </w:r>
          </w:p>
        </w:tc>
        <w:tc>
          <w:tcPr>
            <w:tcW w:type="dxa" w:w="1704"/>
            <w:tcMar>
              <w:top w:w="80" w:type="dxa"/>
              <w:start w:w="100" w:type="dxa"/>
              <w:bottom w:w="80" w:type="dxa"/>
              <w:end w:w="100" w:type="dxa"/>
            </w:tcMar>
            <w:vAlign w:val="center"/>
          </w:tcPr>
          <w:p>
            <w:r>
              <w:t>Unsupported</w:t>
            </w:r>
          </w:p>
        </w:tc>
        <w:tc>
          <w:tcPr>
            <w:tcW w:type="dxa" w:w="1704"/>
            <w:tcMar>
              <w:top w:w="80" w:type="dxa"/>
              <w:start w:w="100" w:type="dxa"/>
              <w:bottom w:w="80" w:type="dxa"/>
              <w:end w:w="100" w:type="dxa"/>
            </w:tcMar>
            <w:vAlign w:val="center"/>
          </w:tcPr>
          <w:p>
            <w:r>
              <w:t>MATCH</w:t>
            </w:r>
          </w:p>
        </w:tc>
        <w:tc>
          <w:tcPr>
            <w:tcW w:type="dxa" w:w="1704"/>
            <w:tcMar>
              <w:top w:w="80" w:type="dxa"/>
              <w:start w:w="100" w:type="dxa"/>
              <w:bottom w:w="80" w:type="dxa"/>
              <w:end w:w="100" w:type="dxa"/>
            </w:tcMar>
            <w:vAlign w:val="center"/>
          </w:tcPr>
          <w:p>
            <w:r>
              <w:t>Missing</w:t>
            </w:r>
          </w:p>
        </w:tc>
        <w:tc>
          <w:tcPr>
            <w:tcW w:type="dxa" w:w="1704"/>
            <w:tcMar>
              <w:top w:w="80" w:type="dxa"/>
              <w:start w:w="100" w:type="dxa"/>
              <w:bottom w:w="80" w:type="dxa"/>
              <w:end w:w="100" w:type="dxa"/>
            </w:tcMar>
            <w:vAlign w:val="center"/>
          </w:tcPr>
          <w:p>
            <w:r>
              <w:t>MATCH</w:t>
            </w:r>
          </w:p>
        </w:tc>
      </w:tr>
    </w:tbl>
    <w:p>
      <w:r>
        <w:t>Recommended status vocabulary: MATCH, MISMATCH, STALE, UNKNOWN, UNSUPPORTED, NO PERMISSION, READ ONLY, WRITE ONLY, NOT MAPPED.</w:t>
      </w:r>
    </w:p>
    <w:p>
      <w:pPr>
        <w:pStyle w:val="Heading1"/>
      </w:pPr>
      <w:r>
        <w:t>14. If the Business Builds the Web App, the Business Controls Its Configuration</w:t>
      </w:r>
    </w:p>
    <w:p>
      <w:r>
        <w:t>A business-created web app can be treated as an installation package owned by that business. If the business changes its own layout, fields, forms, workflow or business-specific routing, that is its configuration responsibility. The foundation does not need to maintain those private customizations as a centralized service.</w:t>
      </w:r>
    </w:p>
    <w:p>
      <w:r>
        <w:t>This is especially valuable for local IT and independent developers. A business can authorize a local technician to maintain its private web app or connector without transferring ownership of the underlying business data or of Ghost itself.</w:t>
      </w:r>
    </w:p>
    <w:p>
      <w:pPr>
        <w:pStyle w:val="Heading1"/>
      </w:pPr>
      <w:r>
        <w:t>15. Local IT and Remote Support Model</w:t>
      </w:r>
    </w:p>
    <w:p>
      <w:pPr>
        <w:pStyle w:val="CodeBlock"/>
        <w:shd w:fill="172433"/>
        <w:spacing w:after="160"/>
      </w:pPr>
      <w:r>
        <w:rPr>
          <w:rFonts w:ascii="Consolas" w:hAnsi="Consolas"/>
          <w:color w:val="DCE6F0"/>
          <w:sz w:val="18"/>
        </w:rPr>
        <w:t>BUSINESS-OWNED GHOST NODE</w:t>
        <w:br/>
        <w:t xml:space="preserve">        |</w:t>
        <w:br/>
        <w:t xml:space="preserve">        | encrypted session / cloud rendezvous</w:t>
        <w:br/>
        <w:t xml:space="preserve">        v</w:t>
        <w:br/>
        <w:t>TEMPORARILY AUTHORIZED TECHNICIAN</w:t>
        <w:br/>
        <w:t xml:space="preserve">        |</w:t>
        <w:br/>
        <w:t xml:space="preserve">        +-- diagnostics</w:t>
        <w:br/>
        <w:t xml:space="preserve">        +-- logs</w:t>
        <w:br/>
        <w:t xml:space="preserve">        +-- package health</w:t>
        <w:br/>
        <w:t xml:space="preserve">        +-- approved restart/repair</w:t>
        <w:br/>
        <w:t xml:space="preserve">        X-- no customer export unless granted</w:t>
        <w:br/>
        <w:t xml:space="preserve">        X-- no financial access unless granted</w:t>
        <w:br/>
        <w:br/>
        <w:t>Access expires automatically. Every action is logged.</w:t>
      </w:r>
    </w:p>
    <w:p>
      <w:r>
        <w:t>The owner of the computer or business environment decides who gets access. Ghost Cloud can provide the rendezvous/relay/control mechanism, but it should not become the permanent superuser. This makes local service providers part of the ecosystem rather than forcing every support interaction through one central company.</w:t>
      </w:r>
    </w:p>
    <w:p>
      <w:pPr>
        <w:pStyle w:val="Heading1"/>
      </w:pPr>
      <w:r>
        <w:t>16. Marketplace Economics: Sell Maintained Knowledge, Not the Customer’s Data</w:t>
      </w:r>
    </w:p>
    <w:p>
      <w:r>
        <w:t>A developer can create a high-quality provider connector, AppMap, schema, workflow, UI surface or complete app and distribute it. The economic product is maintained implementation knowledge - not ownership of the business data.</w:t>
      </w:r>
    </w:p>
    <w:p>
      <w:pPr>
        <w:pStyle w:val="ListBullet"/>
      </w:pPr>
      <w:r>
        <w:t>Free/open-source package maintained by a community.</w:t>
      </w:r>
    </w:p>
    <w:p>
      <w:pPr>
        <w:pStyle w:val="ListBullet"/>
      </w:pPr>
      <w:r>
        <w:t>Paid package sold once.</w:t>
      </w:r>
    </w:p>
    <w:p>
      <w:pPr>
        <w:pStyle w:val="ListBullet"/>
      </w:pPr>
      <w:r>
        <w:t>Subscription for maintained compatibility and updates.</w:t>
      </w:r>
    </w:p>
    <w:p>
      <w:pPr>
        <w:pStyle w:val="ListBullet"/>
      </w:pPr>
      <w:r>
        <w:t>Usage-based commercial package.</w:t>
      </w:r>
    </w:p>
    <w:p>
      <w:pPr>
        <w:pStyle w:val="ListBullet"/>
      </w:pPr>
      <w:r>
        <w:t>Open-source component with optional commercial royalty or attribution terms.</w:t>
      </w:r>
    </w:p>
    <w:p>
      <w:pPr>
        <w:pStyle w:val="ListBullet"/>
      </w:pPr>
      <w:r>
        <w:t>Private enterprise package maintained by a local or vertical-specific developer.</w:t>
      </w:r>
    </w:p>
    <w:p>
      <w:r>
        <w:t>This means an excellent Toast connector can be valuable on its own. Its author can maintain the map between Toast and Ghost without storing or owning restaurants’ Toast data.</w:t>
      </w:r>
    </w:p>
    <w:p>
      <w:pPr>
        <w:pStyle w:val="Heading1"/>
      </w:pPr>
      <w:r>
        <w:t>17. Contribution Provenance and Optional Royalty Layer</w:t>
      </w:r>
    </w:p>
    <w:p>
      <w:r>
        <w:t>The blockchain concept is most useful for contribution provenance, package lineage, licensing and settlement - not for putting every operational database write on-chain.</w:t>
      </w:r>
    </w:p>
    <w:p>
      <w:pPr>
        <w:pStyle w:val="CodeBlock"/>
        <w:shd w:fill="172433"/>
        <w:spacing w:after="160"/>
      </w:pPr>
      <w:r>
        <w:rPr>
          <w:rFonts w:ascii="Consolas" w:hAnsi="Consolas"/>
          <w:color w:val="DCE6F0"/>
          <w:sz w:val="18"/>
        </w:rPr>
        <w:t>PUBLISHED COMPONENT</w:t>
        <w:br/>
        <w:t xml:space="preserve">   hash</w:t>
        <w:br/>
        <w:t xml:space="preserve">   author identity</w:t>
        <w:br/>
        <w:t xml:space="preserve">   license</w:t>
        <w:br/>
        <w:t xml:space="preserve">   version</w:t>
        <w:br/>
        <w:t xml:space="preserve">   dependencies</w:t>
        <w:br/>
        <w:t xml:space="preserve">   signed provenance</w:t>
        <w:br/>
        <w:t xml:space="preserve">   optional chain anchor</w:t>
        <w:br/>
        <w:t xml:space="preserve">        |</w:t>
        <w:br/>
        <w:t xml:space="preserve">        v</w:t>
        <w:br/>
        <w:t>DERIVED COMPONENT / COMMERCIAL USE</w:t>
        <w:br/>
        <w:t xml:space="preserve">        |</w:t>
        <w:br/>
        <w:t xml:space="preserve">        v</w:t>
        <w:br/>
        <w:t>ROYALTY / ATTRIBUTION RULE</w:t>
      </w:r>
    </w:p>
    <w:p>
      <w:r>
        <w:t>A contribution graph can record that Package B depends on Package A and that commercial usage may trigger an agreed royalty. The normal Ghost database continues doing actual business operations; the chain is an independently verifiable provenance/settlement layer.</w:t>
      </w:r>
    </w:p>
    <w:p>
      <w:pPr>
        <w:pStyle w:val="Heading1"/>
      </w:pPr>
      <w:r>
        <w:t>18. Concept and Chat Provenance</w:t>
      </w:r>
    </w:p>
    <w:p>
      <w:r>
        <w:t>The same provenance logic can preserve concept development: timestamp, conversation/artifact reference, author, revision, package derived from it and cryptographic hash. This can prove that an artifact or documented system description existed in a particular form by a particular date.</w:t>
      </w:r>
    </w:p>
    <w:p>
      <w:r>
        <w:t>It does not, by itself, prove that another company saw the artifact, trained on it, copied it or legally infringed anything. Those are separate factual and legal questions. Treat the ledger as contribution provenance and evidence preservation, not automatic proof of copying.</w:t>
      </w:r>
    </w:p>
    <w:p>
      <w:pPr>
        <w:pStyle w:val="Heading1"/>
      </w:pPr>
      <w:r>
        <w:t>19. “GitHub for Business Functionality” - What That Actually Means</w:t>
      </w:r>
    </w:p>
    <w:p>
      <w:r>
        <w:t>The GitHub analogy is strongest when the ecosystem stores reusable implementation knowledge in composable packages rather than forcing every developer to build an all-in-one SaaS suite.</w:t>
      </w:r>
    </w:p>
    <w:tbl>
      <w:tblPr>
        <w:tblStyle w:val="TableGrid"/>
        <w:tblW w:type="auto" w:w="0"/>
        <w:jc w:val="center"/>
        <w:tblLook w:firstColumn="1" w:firstRow="1" w:lastColumn="0" w:lastRow="0" w:noHBand="0" w:noVBand="1" w:val="04A0"/>
      </w:tblPr>
      <w:tblGrid>
        <w:gridCol w:w="5112"/>
        <w:gridCol w:w="5112"/>
      </w:tblGrid>
      <w:tr>
        <w:tc>
          <w:tcPr>
            <w:tcW w:type="dxa" w:w="5112"/>
            <w:shd w:fill="142335"/>
            <w:vAlign w:val="center"/>
            <w:tcMar>
              <w:top w:w="80" w:type="dxa"/>
              <w:start w:w="100" w:type="dxa"/>
              <w:bottom w:w="80" w:type="dxa"/>
              <w:end w:w="100" w:type="dxa"/>
            </w:tcMar>
          </w:tcPr>
          <w:p>
            <w:r>
              <w:rPr>
                <w:b/>
                <w:color w:val="FFFFFF"/>
              </w:rPr>
              <w:t>Contribution type</w:t>
            </w:r>
          </w:p>
        </w:tc>
        <w:tc>
          <w:tcPr>
            <w:tcW w:type="dxa" w:w="5112"/>
            <w:shd w:fill="142335"/>
            <w:vAlign w:val="center"/>
            <w:tcMar>
              <w:top w:w="80" w:type="dxa"/>
              <w:start w:w="100" w:type="dxa"/>
              <w:bottom w:w="80" w:type="dxa"/>
              <w:end w:w="100" w:type="dxa"/>
            </w:tcMar>
          </w:tcPr>
          <w:p>
            <w:r>
              <w:rPr>
                <w:b/>
                <w:color w:val="FFFFFF"/>
              </w:rPr>
              <w:t>What it contains</w:t>
            </w:r>
          </w:p>
        </w:tc>
      </w:tr>
      <w:tr>
        <w:tc>
          <w:tcPr>
            <w:tcW w:type="dxa" w:w="5112"/>
            <w:tcMar>
              <w:top w:w="80" w:type="dxa"/>
              <w:start w:w="100" w:type="dxa"/>
              <w:bottom w:w="80" w:type="dxa"/>
              <w:end w:w="100" w:type="dxa"/>
            </w:tcMar>
            <w:vAlign w:val="center"/>
          </w:tcPr>
          <w:p>
            <w:r>
              <w:t>App</w:t>
            </w:r>
          </w:p>
        </w:tc>
        <w:tc>
          <w:tcPr>
            <w:tcW w:type="dxa" w:w="5112"/>
            <w:tcMar>
              <w:top w:w="80" w:type="dxa"/>
              <w:start w:w="100" w:type="dxa"/>
              <w:bottom w:w="80" w:type="dxa"/>
              <w:end w:w="100" w:type="dxa"/>
            </w:tcMar>
            <w:vAlign w:val="center"/>
          </w:tcPr>
          <w:p>
            <w:r>
              <w:t>Complete capability set plus optional surfaces/workflows</w:t>
            </w:r>
          </w:p>
        </w:tc>
      </w:tr>
      <w:tr>
        <w:tc>
          <w:tcPr>
            <w:tcW w:type="dxa" w:w="5112"/>
            <w:tcMar>
              <w:top w:w="80" w:type="dxa"/>
              <w:start w:w="100" w:type="dxa"/>
              <w:bottom w:w="80" w:type="dxa"/>
              <w:end w:w="100" w:type="dxa"/>
            </w:tcMar>
            <w:vAlign w:val="center"/>
          </w:tcPr>
          <w:p>
            <w:r>
              <w:t>Capability implementation</w:t>
            </w:r>
          </w:p>
        </w:tc>
        <w:tc>
          <w:tcPr>
            <w:tcW w:type="dxa" w:w="5112"/>
            <w:tcMar>
              <w:top w:w="80" w:type="dxa"/>
              <w:start w:w="100" w:type="dxa"/>
              <w:bottom w:w="80" w:type="dxa"/>
              <w:end w:w="100" w:type="dxa"/>
            </w:tcMar>
            <w:vAlign w:val="center"/>
          </w:tcPr>
          <w:p>
            <w:r>
              <w:t>One stable business action implemented against one or more providers</w:t>
            </w:r>
          </w:p>
        </w:tc>
      </w:tr>
      <w:tr>
        <w:tc>
          <w:tcPr>
            <w:tcW w:type="dxa" w:w="5112"/>
            <w:tcMar>
              <w:top w:w="80" w:type="dxa"/>
              <w:start w:w="100" w:type="dxa"/>
              <w:bottom w:w="80" w:type="dxa"/>
              <w:end w:w="100" w:type="dxa"/>
            </w:tcMar>
            <w:vAlign w:val="center"/>
          </w:tcPr>
          <w:p>
            <w:r>
              <w:t>Provider adapter</w:t>
            </w:r>
          </w:p>
        </w:tc>
        <w:tc>
          <w:tcPr>
            <w:tcW w:type="dxa" w:w="5112"/>
            <w:tcMar>
              <w:top w:w="80" w:type="dxa"/>
              <w:start w:w="100" w:type="dxa"/>
              <w:bottom w:w="80" w:type="dxa"/>
              <w:end w:w="100" w:type="dxa"/>
            </w:tcMar>
            <w:vAlign w:val="center"/>
          </w:tcPr>
          <w:p>
            <w:r>
              <w:t>Objects, fields, transformations, auth and API mappings</w:t>
            </w:r>
          </w:p>
        </w:tc>
      </w:tr>
      <w:tr>
        <w:tc>
          <w:tcPr>
            <w:tcW w:type="dxa" w:w="5112"/>
            <w:tcMar>
              <w:top w:w="80" w:type="dxa"/>
              <w:start w:w="100" w:type="dxa"/>
              <w:bottom w:w="80" w:type="dxa"/>
              <w:end w:w="100" w:type="dxa"/>
            </w:tcMar>
            <w:vAlign w:val="center"/>
          </w:tcPr>
          <w:p>
            <w:r>
              <w:t>AppMap</w:t>
            </w:r>
          </w:p>
        </w:tc>
        <w:tc>
          <w:tcPr>
            <w:tcW w:type="dxa" w:w="5112"/>
            <w:tcMar>
              <w:top w:w="80" w:type="dxa"/>
              <w:start w:w="100" w:type="dxa"/>
              <w:bottom w:w="80" w:type="dxa"/>
              <w:end w:w="100" w:type="dxa"/>
            </w:tcMar>
            <w:vAlign w:val="center"/>
          </w:tcPr>
          <w:p>
            <w:r>
              <w:t>Known UI/device execution states and actions</w:t>
            </w:r>
          </w:p>
        </w:tc>
      </w:tr>
      <w:tr>
        <w:tc>
          <w:tcPr>
            <w:tcW w:type="dxa" w:w="5112"/>
            <w:tcMar>
              <w:top w:w="80" w:type="dxa"/>
              <w:start w:w="100" w:type="dxa"/>
              <w:bottom w:w="80" w:type="dxa"/>
              <w:end w:w="100" w:type="dxa"/>
            </w:tcMar>
            <w:vAlign w:val="center"/>
          </w:tcPr>
          <w:p>
            <w:r>
              <w:t>Schema</w:t>
            </w:r>
          </w:p>
        </w:tc>
        <w:tc>
          <w:tcPr>
            <w:tcW w:type="dxa" w:w="5112"/>
            <w:tcMar>
              <w:top w:w="80" w:type="dxa"/>
              <w:start w:w="100" w:type="dxa"/>
              <w:bottom w:w="80" w:type="dxa"/>
              <w:end w:w="100" w:type="dxa"/>
            </w:tcMar>
            <w:vAlign w:val="center"/>
          </w:tcPr>
          <w:p>
            <w:r>
              <w:t>Reusable data definition for an industry or function</w:t>
            </w:r>
          </w:p>
        </w:tc>
      </w:tr>
      <w:tr>
        <w:tc>
          <w:tcPr>
            <w:tcW w:type="dxa" w:w="5112"/>
            <w:tcMar>
              <w:top w:w="80" w:type="dxa"/>
              <w:start w:w="100" w:type="dxa"/>
              <w:bottom w:w="80" w:type="dxa"/>
              <w:end w:w="100" w:type="dxa"/>
            </w:tcMar>
            <w:vAlign w:val="center"/>
          </w:tcPr>
          <w:p>
            <w:r>
              <w:t>Workflow</w:t>
            </w:r>
          </w:p>
        </w:tc>
        <w:tc>
          <w:tcPr>
            <w:tcW w:type="dxa" w:w="5112"/>
            <w:tcMar>
              <w:top w:w="80" w:type="dxa"/>
              <w:start w:w="100" w:type="dxa"/>
              <w:bottom w:w="80" w:type="dxa"/>
              <w:end w:w="100" w:type="dxa"/>
            </w:tcMar>
            <w:vAlign w:val="center"/>
          </w:tcPr>
          <w:p>
            <w:r>
              <w:t>Composable event/condition/action sequence</w:t>
            </w:r>
          </w:p>
        </w:tc>
      </w:tr>
      <w:tr>
        <w:tc>
          <w:tcPr>
            <w:tcW w:type="dxa" w:w="5112"/>
            <w:tcMar>
              <w:top w:w="80" w:type="dxa"/>
              <w:start w:w="100" w:type="dxa"/>
              <w:bottom w:w="80" w:type="dxa"/>
              <w:end w:w="100" w:type="dxa"/>
            </w:tcMar>
            <w:vAlign w:val="center"/>
          </w:tcPr>
          <w:p>
            <w:r>
              <w:t>Surface</w:t>
            </w:r>
          </w:p>
        </w:tc>
        <w:tc>
          <w:tcPr>
            <w:tcW w:type="dxa" w:w="5112"/>
            <w:tcMar>
              <w:top w:w="80" w:type="dxa"/>
              <w:start w:w="100" w:type="dxa"/>
              <w:bottom w:w="80" w:type="dxa"/>
              <w:end w:w="100" w:type="dxa"/>
            </w:tcMar>
            <w:vAlign w:val="center"/>
          </w:tcPr>
          <w:p>
            <w:r>
              <w:t>UI blocks, theme or full front end bound to Ghost contracts</w:t>
            </w:r>
          </w:p>
        </w:tc>
      </w:tr>
      <w:tr>
        <w:tc>
          <w:tcPr>
            <w:tcW w:type="dxa" w:w="5112"/>
            <w:tcMar>
              <w:top w:w="80" w:type="dxa"/>
              <w:start w:w="100" w:type="dxa"/>
              <w:bottom w:w="80" w:type="dxa"/>
              <w:end w:w="100" w:type="dxa"/>
            </w:tcMar>
            <w:vAlign w:val="center"/>
          </w:tcPr>
          <w:p>
            <w:r>
              <w:t>Endpoint driver</w:t>
            </w:r>
          </w:p>
        </w:tc>
        <w:tc>
          <w:tcPr>
            <w:tcW w:type="dxa" w:w="5112"/>
            <w:tcMar>
              <w:top w:w="80" w:type="dxa"/>
              <w:start w:w="100" w:type="dxa"/>
              <w:bottom w:w="80" w:type="dxa"/>
              <w:end w:w="100" w:type="dxa"/>
            </w:tcMar>
            <w:vAlign w:val="center"/>
          </w:tcPr>
          <w:p>
            <w:r>
              <w:t>Hardware/device capability implementation</w:t>
            </w:r>
          </w:p>
        </w:tc>
      </w:tr>
      <w:tr>
        <w:tc>
          <w:tcPr>
            <w:tcW w:type="dxa" w:w="5112"/>
            <w:tcMar>
              <w:top w:w="80" w:type="dxa"/>
              <w:start w:w="100" w:type="dxa"/>
              <w:bottom w:w="80" w:type="dxa"/>
              <w:end w:w="100" w:type="dxa"/>
            </w:tcMar>
            <w:vAlign w:val="center"/>
          </w:tcPr>
          <w:p>
            <w:r>
              <w:t>AI component</w:t>
            </w:r>
          </w:p>
        </w:tc>
        <w:tc>
          <w:tcPr>
            <w:tcW w:type="dxa" w:w="5112"/>
            <w:tcMar>
              <w:top w:w="80" w:type="dxa"/>
              <w:start w:w="100" w:type="dxa"/>
              <w:bottom w:w="80" w:type="dxa"/>
              <w:end w:w="100" w:type="dxa"/>
            </w:tcMar>
            <w:vAlign w:val="center"/>
          </w:tcPr>
          <w:p>
            <w:r>
              <w:t>Specialized parser, mapper, repair tool or model route</w:t>
            </w:r>
          </w:p>
        </w:tc>
      </w:tr>
    </w:tbl>
    <w:p>
      <w:pPr>
        <w:pStyle w:val="Heading1"/>
      </w:pPr>
      <w:r>
        <w:t>20. The Full Orchestration Hierarchy</w:t>
      </w:r>
    </w:p>
    <w:p>
      <w:pPr>
        <w:pStyle w:val="CodeBlock"/>
        <w:shd w:fill="172433"/>
        <w:spacing w:after="160"/>
      </w:pPr>
      <w:r>
        <w:rPr>
          <w:rFonts w:ascii="Consolas" w:hAnsi="Consolas"/>
          <w:color w:val="DCE6F0"/>
          <w:sz w:val="18"/>
        </w:rPr>
        <w:t xml:space="preserve">                         GHOST STANDARD</w:t>
        <w:br/>
        <w:t xml:space="preserve">                               |</w:t>
        <w:br/>
        <w:t xml:space="preserve">                  Defines universal contracts</w:t>
        <w:br/>
        <w:t xml:space="preserve">                               |</w:t>
        <w:br/>
        <w:t xml:space="preserve">                               v</w:t>
        <w:br/>
        <w:t xml:space="preserve">                       PACKAGE REGISTRY</w:t>
        <w:br/>
        <w:t xml:space="preserve">                               |</w:t>
        <w:br/>
        <w:t xml:space="preserve">            Developers publish implementations</w:t>
        <w:br/>
        <w:t xml:space="preserve">                               |</w:t>
        <w:br/>
        <w:t xml:space="preserve">       +-----------------------+-----------------------+</w:t>
        <w:br/>
        <w:t xml:space="preserve">       |                       |                       |</w:t>
        <w:br/>
        <w:t xml:space="preserve">       v                       v                       v</w:t>
        <w:br/>
        <w:t xml:space="preserve">    WEB APPS               CONNECTORS               APPMAPS</w:t>
        <w:br/>
        <w:t xml:space="preserve">       |                       |                       |</w:t>
        <w:br/>
        <w:t xml:space="preserve">       +-----------------------+-----------------------+</w:t>
        <w:br/>
        <w:t xml:space="preserve">                               |</w:t>
        <w:br/>
        <w:t xml:space="preserve">                               v</w:t>
        <w:br/>
        <w:t xml:space="preserve">                       BUSINESS NODE</w:t>
        <w:br/>
        <w:t xml:space="preserve">                               |</w:t>
        <w:br/>
        <w:t xml:space="preserve">                Business chooses / installs</w:t>
        <w:br/>
        <w:t xml:space="preserve">                               |</w:t>
        <w:br/>
        <w:t xml:space="preserve">                               v</w:t>
        <w:br/>
        <w:t xml:space="preserve">                       BUSINESS DATA</w:t>
        <w:br/>
        <w:t xml:space="preserve">                               |</w:t>
        <w:br/>
        <w:t xml:space="preserve">                  Business owns the truth</w:t>
        <w:br/>
        <w:t xml:space="preserve">                               |</w:t>
        <w:br/>
        <w:t xml:space="preserve">                               v</w:t>
        <w:br/>
        <w:t xml:space="preserve">                 PUBLIC + PRIVATE SURFACES</w:t>
        <w:br/>
        <w:t xml:space="preserve">                               |</w:t>
        <w:br/>
        <w:t xml:space="preserve">             Customer / employee / AI / partner</w:t>
      </w:r>
    </w:p>
    <w:p>
      <w:pPr>
        <w:pStyle w:val="Heading1"/>
      </w:pPr>
      <w:r>
        <w:t>21. Responsibility Chain</w:t>
      </w:r>
    </w:p>
    <w:tbl>
      <w:tblPr>
        <w:tblStyle w:val="TableGrid"/>
        <w:tblW w:type="auto" w:w="0"/>
        <w:jc w:val="center"/>
        <w:tblLook w:firstColumn="1" w:firstRow="1" w:lastColumn="0" w:lastRow="0" w:noHBand="0" w:noVBand="1" w:val="04A0"/>
      </w:tblPr>
      <w:tblGrid>
        <w:gridCol w:w="5112"/>
        <w:gridCol w:w="5112"/>
      </w:tblGrid>
      <w:tr>
        <w:tc>
          <w:tcPr>
            <w:tcW w:type="dxa" w:w="5112"/>
            <w:shd w:fill="142335"/>
            <w:vAlign w:val="center"/>
            <w:tcMar>
              <w:top w:w="80" w:type="dxa"/>
              <w:start w:w="100" w:type="dxa"/>
              <w:bottom w:w="80" w:type="dxa"/>
              <w:end w:w="100" w:type="dxa"/>
            </w:tcMar>
          </w:tcPr>
          <w:p>
            <w:r>
              <w:rPr>
                <w:b/>
                <w:color w:val="FFFFFF"/>
              </w:rPr>
              <w:t>Actor</w:t>
            </w:r>
          </w:p>
        </w:tc>
        <w:tc>
          <w:tcPr>
            <w:tcW w:type="dxa" w:w="5112"/>
            <w:shd w:fill="142335"/>
            <w:vAlign w:val="center"/>
            <w:tcMar>
              <w:top w:w="80" w:type="dxa"/>
              <w:start w:w="100" w:type="dxa"/>
              <w:bottom w:w="80" w:type="dxa"/>
              <w:end w:w="100" w:type="dxa"/>
            </w:tcMar>
          </w:tcPr>
          <w:p>
            <w:r>
              <w:rPr>
                <w:b/>
                <w:color w:val="FFFFFF"/>
              </w:rPr>
              <w:t>Owns / controls</w:t>
            </w:r>
          </w:p>
        </w:tc>
      </w:tr>
      <w:tr>
        <w:tc>
          <w:tcPr>
            <w:tcW w:type="dxa" w:w="5112"/>
            <w:tcMar>
              <w:top w:w="80" w:type="dxa"/>
              <w:start w:w="100" w:type="dxa"/>
              <w:bottom w:w="80" w:type="dxa"/>
              <w:end w:w="100" w:type="dxa"/>
            </w:tcMar>
            <w:vAlign w:val="center"/>
          </w:tcPr>
          <w:p>
            <w:r>
              <w:t>Ghost</w:t>
            </w:r>
          </w:p>
        </w:tc>
        <w:tc>
          <w:tcPr>
            <w:tcW w:type="dxa" w:w="5112"/>
            <w:tcMar>
              <w:top w:w="80" w:type="dxa"/>
              <w:start w:w="100" w:type="dxa"/>
              <w:bottom w:w="80" w:type="dxa"/>
              <w:end w:w="100" w:type="dxa"/>
            </w:tcMar>
            <w:vAlign w:val="center"/>
          </w:tcPr>
          <w:p>
            <w:r>
              <w:t>Contracts, platform semantics, package/runtime rules, core security model</w:t>
            </w:r>
          </w:p>
        </w:tc>
      </w:tr>
      <w:tr>
        <w:tc>
          <w:tcPr>
            <w:tcW w:type="dxa" w:w="5112"/>
            <w:tcMar>
              <w:top w:w="80" w:type="dxa"/>
              <w:start w:w="100" w:type="dxa"/>
              <w:bottom w:w="80" w:type="dxa"/>
              <w:end w:w="100" w:type="dxa"/>
            </w:tcMar>
            <w:vAlign w:val="center"/>
          </w:tcPr>
          <w:p>
            <w:r>
              <w:t>Developer / publisher</w:t>
            </w:r>
          </w:p>
        </w:tc>
        <w:tc>
          <w:tcPr>
            <w:tcW w:type="dxa" w:w="5112"/>
            <w:tcMar>
              <w:top w:w="80" w:type="dxa"/>
              <w:start w:w="100" w:type="dxa"/>
              <w:bottom w:w="80" w:type="dxa"/>
              <w:end w:w="100" w:type="dxa"/>
            </w:tcMar>
            <w:vAlign w:val="center"/>
          </w:tcPr>
          <w:p>
            <w:r>
              <w:t>Implementation package and compatibility maintenance</w:t>
            </w:r>
          </w:p>
        </w:tc>
      </w:tr>
      <w:tr>
        <w:tc>
          <w:tcPr>
            <w:tcW w:type="dxa" w:w="5112"/>
            <w:tcMar>
              <w:top w:w="80" w:type="dxa"/>
              <w:start w:w="100" w:type="dxa"/>
              <w:bottom w:w="80" w:type="dxa"/>
              <w:end w:w="100" w:type="dxa"/>
            </w:tcMar>
            <w:vAlign w:val="center"/>
          </w:tcPr>
          <w:p>
            <w:r>
              <w:t>Business</w:t>
            </w:r>
          </w:p>
        </w:tc>
        <w:tc>
          <w:tcPr>
            <w:tcW w:type="dxa" w:w="5112"/>
            <w:tcMar>
              <w:top w:w="80" w:type="dxa"/>
              <w:start w:w="100" w:type="dxa"/>
              <w:bottom w:w="80" w:type="dxa"/>
              <w:end w:w="100" w:type="dxa"/>
            </w:tcMar>
            <w:vAlign w:val="center"/>
          </w:tcPr>
          <w:p>
            <w:r>
              <w:t>Its data, external accounts, configuration, chosen apps, permissions, automations</w:t>
            </w:r>
          </w:p>
        </w:tc>
      </w:tr>
      <w:tr>
        <w:tc>
          <w:tcPr>
            <w:tcW w:type="dxa" w:w="5112"/>
            <w:tcMar>
              <w:top w:w="80" w:type="dxa"/>
              <w:start w:w="100" w:type="dxa"/>
              <w:bottom w:w="80" w:type="dxa"/>
              <w:end w:w="100" w:type="dxa"/>
            </w:tcMar>
            <w:vAlign w:val="center"/>
          </w:tcPr>
          <w:p>
            <w:r>
              <w:t>Individual user</w:t>
            </w:r>
          </w:p>
        </w:tc>
        <w:tc>
          <w:tcPr>
            <w:tcW w:type="dxa" w:w="5112"/>
            <w:tcMar>
              <w:top w:w="80" w:type="dxa"/>
              <w:start w:w="100" w:type="dxa"/>
              <w:bottom w:w="80" w:type="dxa"/>
              <w:end w:w="100" w:type="dxa"/>
            </w:tcMar>
            <w:vAlign w:val="center"/>
          </w:tcPr>
          <w:p>
            <w:r>
              <w:t>Access to personal data and consent where personal data is involved</w:t>
            </w:r>
          </w:p>
        </w:tc>
      </w:tr>
      <w:tr>
        <w:tc>
          <w:tcPr>
            <w:tcW w:type="dxa" w:w="5112"/>
            <w:tcMar>
              <w:top w:w="80" w:type="dxa"/>
              <w:start w:w="100" w:type="dxa"/>
              <w:bottom w:w="80" w:type="dxa"/>
              <w:end w:w="100" w:type="dxa"/>
            </w:tcMar>
            <w:vAlign w:val="center"/>
          </w:tcPr>
          <w:p>
            <w:r>
              <w:t>Local IT provider</w:t>
            </w:r>
          </w:p>
        </w:tc>
        <w:tc>
          <w:tcPr>
            <w:tcW w:type="dxa" w:w="5112"/>
            <w:tcMar>
              <w:top w:w="80" w:type="dxa"/>
              <w:start w:w="100" w:type="dxa"/>
              <w:bottom w:w="80" w:type="dxa"/>
              <w:end w:w="100" w:type="dxa"/>
            </w:tcMar>
            <w:vAlign w:val="center"/>
          </w:tcPr>
          <w:p>
            <w:r>
              <w:t>Only temporarily granted maintenance scope</w:t>
            </w:r>
          </w:p>
        </w:tc>
      </w:tr>
      <w:tr>
        <w:tc>
          <w:tcPr>
            <w:tcW w:type="dxa" w:w="5112"/>
            <w:tcMar>
              <w:top w:w="80" w:type="dxa"/>
              <w:start w:w="100" w:type="dxa"/>
              <w:bottom w:w="80" w:type="dxa"/>
              <w:end w:w="100" w:type="dxa"/>
            </w:tcMar>
            <w:vAlign w:val="center"/>
          </w:tcPr>
          <w:p>
            <w:r>
              <w:t>AI</w:t>
            </w:r>
          </w:p>
        </w:tc>
        <w:tc>
          <w:tcPr>
            <w:tcW w:type="dxa" w:w="5112"/>
            <w:tcMar>
              <w:top w:w="80" w:type="dxa"/>
              <w:start w:w="100" w:type="dxa"/>
              <w:bottom w:w="80" w:type="dxa"/>
              <w:end w:w="100" w:type="dxa"/>
            </w:tcMar>
            <w:vAlign w:val="center"/>
          </w:tcPr>
          <w:p>
            <w:r>
              <w:t>Assists building/mapping/repair; operates within explicit permissions and policies</w:t>
            </w:r>
          </w:p>
        </w:tc>
      </w:tr>
    </w:tbl>
    <w:p>
      <w:pPr>
        <w:pStyle w:val="Heading1"/>
      </w:pPr>
      <w:r>
        <w:t>22. Why This Reduces Maintenance Cost</w:t>
      </w:r>
    </w:p>
    <w:p>
      <w:pPr>
        <w:pStyle w:val="ListNumber"/>
      </w:pPr>
      <w:r>
        <w:t>Business data changes once in canonical storage instead of being hard-coded into every web app.</w:t>
      </w:r>
    </w:p>
    <w:p>
      <w:pPr>
        <w:pStyle w:val="ListNumber"/>
      </w:pPr>
      <w:r>
        <w:t>Web surfaces automatically re-render from the same data bindings.</w:t>
      </w:r>
    </w:p>
    <w:p>
      <w:pPr>
        <w:pStyle w:val="ListNumber"/>
      </w:pPr>
      <w:r>
        <w:t>Provider-specific repairs happen once in the shared connector/package rather than once per business.</w:t>
      </w:r>
    </w:p>
    <w:p>
      <w:pPr>
        <w:pStyle w:val="ListNumber"/>
      </w:pPr>
      <w:r>
        <w:t>Known UI workflows run deterministically and only invoke AI when a mapping fails or something is unknown.</w:t>
      </w:r>
    </w:p>
    <w:p>
      <w:pPr>
        <w:pStyle w:val="ListNumber"/>
      </w:pPr>
      <w:r>
        <w:t>Local IT can repair a specific installation without requiring Ghost to become the support department for every customer.</w:t>
      </w:r>
    </w:p>
    <w:p>
      <w:pPr>
        <w:pStyle w:val="ListNumber"/>
      </w:pPr>
      <w:r>
        <w:t>Package ownership and health make failures attributable and diagnosable instead of turning into an opaque system-wide problem.</w:t>
      </w:r>
    </w:p>
    <w:p>
      <w:pPr>
        <w:pStyle w:val="ListNumber"/>
      </w:pPr>
      <w:r>
        <w:t>Open package contracts allow multiple developers to compete on implementations without migrating the business data.</w:t>
      </w:r>
    </w:p>
    <w:p>
      <w:pPr>
        <w:pStyle w:val="Heading1"/>
      </w:pPr>
      <w:r>
        <w:t>23. End-to-End Example: Facebook Changes Its UI</w:t>
      </w:r>
    </w:p>
    <w:p>
      <w:pPr>
        <w:pStyle w:val="CodeBlock"/>
        <w:shd w:fill="172433"/>
        <w:spacing w:after="160"/>
      </w:pPr>
      <w:r>
        <w:rPr>
          <w:rFonts w:ascii="Consolas" w:hAnsi="Consolas"/>
          <w:color w:val="DCE6F0"/>
          <w:sz w:val="18"/>
        </w:rPr>
        <w:t>BEFORE CHANGE</w:t>
        <w:br/>
        <w:t>social.post.publish</w:t>
        <w:br/>
        <w:t xml:space="preserve">  -&gt; facebook connector v4.8.1</w:t>
        <w:br/>
        <w:t xml:space="preserve">  -&gt; browser/AppMap route</w:t>
        <w:br/>
        <w:t xml:space="preserve">  -&gt; verified</w:t>
        <w:br/>
        <w:br/>
        <w:t>FACEBOOK REDESIGNS SCREEN</w:t>
        <w:br/>
        <w:t xml:space="preserve">  -&gt; deterministic step fails</w:t>
        <w:br/>
        <w:t xml:space="preserve">  -&gt; verification = failed/unknown</w:t>
        <w:br/>
        <w:t xml:space="preserve">  -&gt; state captured</w:t>
        <w:br/>
        <w:t xml:space="preserve">  -&gt; connector maintainer or AI-assisted repair updates AppMap</w:t>
        <w:br/>
        <w:t xml:space="preserve">  -&gt; tests run</w:t>
        <w:br/>
        <w:t xml:space="preserve">  -&gt; facebook connector v4.8.2 published</w:t>
        <w:br/>
        <w:t xml:space="preserve">  -&gt; authorized businesses update</w:t>
        <w:br/>
        <w:t xml:space="preserve">  -&gt; business data never moved or changed</w:t>
      </w:r>
    </w:p>
    <w:p>
      <w:r>
        <w:t>The restaurant is not expected to repair Facebook’s generic implementation. Its responsibility remains its own account authorization and business configuration.</w:t>
      </w:r>
    </w:p>
    <w:p>
      <w:pPr>
        <w:pStyle w:val="Heading1"/>
      </w:pPr>
      <w:r>
        <w:t>24. End-to-End Example: Business Changes a Price</w:t>
      </w:r>
    </w:p>
    <w:p>
      <w:pPr>
        <w:pStyle w:val="CodeBlock"/>
        <w:shd w:fill="172433"/>
        <w:spacing w:after="160"/>
      </w:pPr>
      <w:r>
        <w:rPr>
          <w:rFonts w:ascii="Consolas" w:hAnsi="Consolas"/>
          <w:color w:val="DCE6F0"/>
          <w:sz w:val="18"/>
        </w:rPr>
        <w:t>BUSINESS changes Grouper Sandwich</w:t>
        <w:br/>
        <w:t>$18.00 -&gt; $19.00</w:t>
        <w:br/>
        <w:t xml:space="preserve">       |</w:t>
        <w:br/>
        <w:t xml:space="preserve">       v</w:t>
        <w:br/>
        <w:t>canonical menu_item_price updated</w:t>
        <w:br/>
        <w:t xml:space="preserve">       |</w:t>
        <w:br/>
        <w:t xml:space="preserve">       +--&gt; website surface rerenders</w:t>
        <w:br/>
        <w:t xml:space="preserve">       +--&gt; QR menu rerenders</w:t>
        <w:br/>
        <w:t xml:space="preserve">       +--&gt; AI/MCP reads $19</w:t>
        <w:br/>
        <w:t xml:space="preserve">       +--&gt; event menu.price.changed</w:t>
        <w:br/>
        <w:t xml:space="preserve">       +--&gt; Toast/Square/other authorized sync adapters compare/push</w:t>
        <w:br/>
        <w:t xml:space="preserve">       |</w:t>
        <w:br/>
        <w:t xml:space="preserve">       v</w:t>
        <w:br/>
        <w:t>verification + provider sync checklist</w:t>
        <w:br/>
        <w:t xml:space="preserve">       |</w:t>
        <w:br/>
        <w:t xml:space="preserve">       v</w:t>
        <w:br/>
        <w:t>receipt</w:t>
      </w:r>
    </w:p>
    <w:p>
      <w:pPr>
        <w:pStyle w:val="Heading1"/>
      </w:pPr>
      <w:r>
        <w:t>25. End-to-End Example: A Business Builds a Private Web App</w:t>
      </w:r>
    </w:p>
    <w:p>
      <w:pPr>
        <w:pStyle w:val="CodeBlock"/>
        <w:shd w:fill="172433"/>
        <w:spacing w:after="160"/>
      </w:pPr>
      <w:r>
        <w:rPr>
          <w:rFonts w:ascii="Consolas" w:hAnsi="Consolas"/>
          <w:color w:val="DCE6F0"/>
          <w:sz w:val="18"/>
        </w:rPr>
        <w:t>BUSINESS / LOCAL DEVELOPER</w:t>
        <w:br/>
        <w:t xml:space="preserve">   describes desired app</w:t>
        <w:br/>
        <w:t xml:space="preserve">       |</w:t>
        <w:br/>
        <w:t xml:space="preserve">       v</w:t>
        <w:br/>
        <w:t>BUILDER checks Ghost registry</w:t>
        <w:br/>
        <w:t xml:space="preserve">   existing: identity, customers, menu, events, messaging</w:t>
        <w:br/>
        <w:t xml:space="preserve">   missing: private workflow + custom surface</w:t>
        <w:br/>
        <w:t xml:space="preserve">       |</w:t>
        <w:br/>
        <w:t xml:space="preserve">       v</w:t>
        <w:br/>
        <w:t>build only missing pieces</w:t>
        <w:br/>
        <w:t xml:space="preserve">       |</w:t>
        <w:br/>
        <w:t xml:space="preserve">       v</w:t>
        <w:br/>
        <w:t>package manifest declares permissions + bindings</w:t>
        <w:br/>
        <w:t xml:space="preserve">       |</w:t>
        <w:br/>
        <w:t xml:space="preserve">       v</w:t>
        <w:br/>
        <w:t>install privately</w:t>
        <w:br/>
        <w:t xml:space="preserve">       |</w:t>
        <w:br/>
        <w:t xml:space="preserve">       v</w:t>
        <w:br/>
        <w:t>business maintains its own configuration</w:t>
        <w:br/>
        <w:t xml:space="preserve">       |</w:t>
        <w:br/>
        <w:t xml:space="preserve">       v</w:t>
        <w:br/>
        <w:t>optional later publication to marketplace</w:t>
      </w:r>
    </w:p>
    <w:p>
      <w:pPr>
        <w:pStyle w:val="Heading1"/>
      </w:pPr>
      <w:r>
        <w:t>26. Platform Features Required to Make This Model Work</w:t>
      </w:r>
    </w:p>
    <w:p>
      <w:pPr>
        <w:pStyle w:val="ListBullet"/>
      </w:pPr>
      <w:r>
        <w:t>Canonical schema registry and versioning.</w:t>
      </w:r>
    </w:p>
    <w:p>
      <w:pPr>
        <w:pStyle w:val="ListBullet"/>
      </w:pPr>
      <w:r>
        <w:t>Package manifests with explicit read/write/event/capability declarations.</w:t>
      </w:r>
    </w:p>
    <w:p>
      <w:pPr>
        <w:pStyle w:val="ListBullet"/>
      </w:pPr>
      <w:r>
        <w:t>Provider/object/field mapping registry.</w:t>
      </w:r>
    </w:p>
    <w:p>
      <w:pPr>
        <w:pStyle w:val="ListBullet"/>
      </w:pPr>
      <w:r>
        <w:t>Capability registry with replaceable implementations.</w:t>
      </w:r>
    </w:p>
    <w:p>
      <w:pPr>
        <w:pStyle w:val="ListBullet"/>
      </w:pPr>
      <w:r>
        <w:t>Package signing, versioning, health and maintainer metadata.</w:t>
      </w:r>
    </w:p>
    <w:p>
      <w:pPr>
        <w:pStyle w:val="ListBullet"/>
      </w:pPr>
      <w:r>
        <w:t>Sandboxed app runtime and scoped tokens.</w:t>
      </w:r>
    </w:p>
    <w:p>
      <w:pPr>
        <w:pStyle w:val="ListBullet"/>
      </w:pPr>
      <w:r>
        <w:t>AppMap registry with provider/version/state metadata.</w:t>
      </w:r>
    </w:p>
    <w:p>
      <w:pPr>
        <w:pStyle w:val="ListBullet"/>
      </w:pPr>
      <w:r>
        <w:t>Verification contracts and evidence collection.</w:t>
      </w:r>
    </w:p>
    <w:p>
      <w:pPr>
        <w:pStyle w:val="ListBullet"/>
      </w:pPr>
      <w:r>
        <w:t>Update channels: pinned, staged, automatic and rollback.</w:t>
      </w:r>
    </w:p>
    <w:p>
      <w:pPr>
        <w:pStyle w:val="ListBullet"/>
      </w:pPr>
      <w:r>
        <w:t>Business-level data/provenance browser.</w:t>
      </w:r>
    </w:p>
    <w:p>
      <w:pPr>
        <w:pStyle w:val="ListBullet"/>
      </w:pPr>
      <w:r>
        <w:t>Plain-language permission UI.</w:t>
      </w:r>
    </w:p>
    <w:p>
      <w:pPr>
        <w:pStyle w:val="ListBullet"/>
      </w:pPr>
      <w:r>
        <w:t>Remote-support grants with expiration and complete logging.</w:t>
      </w:r>
    </w:p>
    <w:p>
      <w:pPr>
        <w:pStyle w:val="ListBullet"/>
      </w:pPr>
      <w:r>
        <w:t>Developer tools for private -&gt; organization -&gt; marketplace publishing.</w:t>
      </w:r>
    </w:p>
    <w:p>
      <w:pPr>
        <w:pStyle w:val="ListBullet"/>
      </w:pPr>
      <w:r>
        <w:t>AI-assisted spec ingestion, mapping suggestions and AppMap repair.</w:t>
      </w:r>
    </w:p>
    <w:p>
      <w:pPr>
        <w:pStyle w:val="ListBullet"/>
      </w:pPr>
      <w:r>
        <w:t>License/provenance/dependency graph for contribution attribution and optional royalties.</w:t>
      </w:r>
    </w:p>
    <w:p>
      <w:pPr>
        <w:pStyle w:val="Heading1"/>
      </w:pPr>
      <w:r>
        <w:t>27. What Ghost Should Not Become</w:t>
      </w:r>
    </w:p>
    <w:p>
      <w:pPr>
        <w:pStyle w:val="ListBullet"/>
      </w:pPr>
      <w:r>
        <w:t>A centralized team manually maintaining every business-specific website.</w:t>
      </w:r>
    </w:p>
    <w:p>
      <w:pPr>
        <w:pStyle w:val="ListBullet"/>
      </w:pPr>
      <w:r>
        <w:t>A giant database with separate Yelp/Facebook/Google columns for the same fact.</w:t>
      </w:r>
    </w:p>
    <w:p>
      <w:pPr>
        <w:pStyle w:val="ListBullet"/>
      </w:pPr>
      <w:r>
        <w:t>A vendor-specific architecture whose internals are named after third-party products.</w:t>
      </w:r>
    </w:p>
    <w:p>
      <w:pPr>
        <w:pStyle w:val="ListBullet"/>
      </w:pPr>
      <w:r>
        <w:t>A system that gives every app raw database credentials.</w:t>
      </w:r>
    </w:p>
    <w:p>
      <w:pPr>
        <w:pStyle w:val="ListBullet"/>
      </w:pPr>
      <w:r>
        <w:t>A system that asks a frontier model to rediscover known interfaces on every run.</w:t>
      </w:r>
    </w:p>
    <w:p>
      <w:pPr>
        <w:pStyle w:val="ListBullet"/>
      </w:pPr>
      <w:r>
        <w:t>A permanent remote-superuser service that overrides the computer owner.</w:t>
      </w:r>
    </w:p>
    <w:p>
      <w:pPr>
        <w:pStyle w:val="ListBullet"/>
      </w:pPr>
      <w:r>
        <w:t>Another all-in-one SaaS suite that traps data inside its own applications.</w:t>
      </w:r>
    </w:p>
    <w:p>
      <w:pPr>
        <w:pStyle w:val="ListBullet"/>
      </w:pPr>
      <w:r>
        <w:t>A blockchain database for normal high-frequency business operations.</w:t>
      </w:r>
    </w:p>
    <w:p>
      <w:pPr>
        <w:pStyle w:val="Heading1"/>
      </w:pPr>
      <w:r>
        <w:t>28. Success Criteria</w:t>
      </w:r>
    </w:p>
    <w:p>
      <w:pPr>
        <w:pStyle w:val="ListNumber"/>
      </w:pPr>
      <w:r>
        <w:t>Replace a web UI without migrating business data.</w:t>
      </w:r>
    </w:p>
    <w:p>
      <w:pPr>
        <w:pStyle w:val="ListNumber"/>
      </w:pPr>
      <w:r>
        <w:t>Replace a connector implementation without changing the upstream capability.</w:t>
      </w:r>
    </w:p>
    <w:p>
      <w:pPr>
        <w:pStyle w:val="ListNumber"/>
      </w:pPr>
      <w:r>
        <w:t>Uninstall an app and revoke its access without deleting canonical records.</w:t>
      </w:r>
    </w:p>
    <w:p>
      <w:pPr>
        <w:pStyle w:val="ListNumber"/>
      </w:pPr>
      <w:r>
        <w:t>Update a generic AppMap once and make the repaired package reusable across authorized installations.</w:t>
      </w:r>
    </w:p>
    <w:p>
      <w:pPr>
        <w:pStyle w:val="ListNumber"/>
      </w:pPr>
      <w:r>
        <w:t>Allow a business to own a private connector and later publish it without changing the foundation.</w:t>
      </w:r>
    </w:p>
    <w:p>
      <w:pPr>
        <w:pStyle w:val="ListNumber"/>
      </w:pPr>
      <w:r>
        <w:t>Grant a local technician temporary diagnostic access and automatically revoke it afterward.</w:t>
      </w:r>
    </w:p>
    <w:p>
      <w:pPr>
        <w:pStyle w:val="ListNumber"/>
      </w:pPr>
      <w:r>
        <w:t>Show exactly which package/implementation is failing and who maintains it.</w:t>
      </w:r>
    </w:p>
    <w:p>
      <w:pPr>
        <w:pStyle w:val="ListNumber"/>
      </w:pPr>
      <w:r>
        <w:t>Run known workflows deterministically while escalating only unknown states to AI.</w:t>
      </w:r>
    </w:p>
    <w:p>
      <w:pPr>
        <w:pStyle w:val="ListNumber"/>
      </w:pPr>
      <w:r>
        <w:t>Let developers build one excellent component rather than another giant SaaS suite.</w:t>
      </w:r>
    </w:p>
    <w:p>
      <w:pPr>
        <w:pStyle w:val="ListNumber"/>
      </w:pPr>
      <w:r>
        <w:t>Keep the business as the owner of its data and configuration while software remains replaceable.</w:t>
      </w:r>
    </w:p>
    <w:p>
      <w:pPr>
        <w:pStyle w:val="Heading1"/>
      </w:pPr>
      <w:r>
        <w:t>29. Final Operating Principle</w:t>
      </w:r>
    </w:p>
    <w:p>
      <w:r>
        <w:rPr>
          <w:b/>
          <w:color w:val="433484"/>
          <w:sz w:val="28"/>
        </w:rPr>
        <w:t>Ghost standardizes the interfaces between independent pieces instead of centrally owning every piece.</w:t>
      </w:r>
    </w:p>
    <w:p>
      <w:r>
        <w:t>The foundation should stay boring, stable and portable. The ecosystem around it - web apps, UI designs, connectors, AppMaps, AI tools, workflows and hardware drivers - can evolve rapidly. A business keeps its identity, structured data, permissions and configuration while choosing who is allowed to maintain or replace the software around it.</w:t>
      </w:r>
    </w:p>
    <w:p>
      <w:r>
        <w:rPr>
          <w:b/>
          <w:color w:val="154758"/>
          <w:sz w:val="30"/>
        </w:rPr>
        <w:t>Ghost owns the contracts. Publishers own implementations. Businesses own their truth.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Ghost Orchestration &amp; Maintenance Model</w:t>
    </w:r>
  </w:p>
  <w:p>
    <w:pPr>
      <w:jc w:val="center"/>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4758"/>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33484"/>
      <w:sz w:val="3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475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ind w:left="259" w:right="259"/>
    </w:pPr>
    <w:rPr>
      <w:rFonts w:ascii="Consolas" w:hAnsi="Consolas"/>
      <w:color w:val="E8EEF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