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00"/>
      </w:pPr>
      <w:r>
        <w:rPr>
          <w:rFonts w:ascii="Calibri" w:cs="Calibri" w:eastAsia="Calibri" w:hAnsi="Calibri"/>
          <w:b/>
          <w:bCs/>
          <w:color w:val="1E40AF"/>
          <w:sz w:val="36"/>
          <w:szCs w:val="36"/>
        </w:rPr>
        <w:t xml:space="preserve">PROPUESTA Y JUSTIFICACIÓN DEL PRESUPUESTO OFICIAL 2027: OBJETIVO +7,5%</w:t>
      </w: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1E40AF"/>
          <w:sz w:val="26"/>
          <w:szCs w:val="26"/>
        </w:rPr>
        <w:t xml:space="preserve">Departamento de Revenue Management y Dirección Comercial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Hotel: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Sercotel Guadiana (Ciudad Real – 108 habitaciones / 39.420 RN disponibles)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Fecha: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Octubre 2026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Documento: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Informe Ejecutivo y Memoria Técnica de Justificación Presupuestaria 2027</w:t>
      </w:r>
    </w:p>
    <w:p>
      <w:pPr>
        <w:pBdr>
          <w:bottom w:val="single" w:color="CBD5E1" w:sz="6"/>
        </w:pBdr>
        <w:spacing w:after="140" w:before="14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1E40AF"/>
          <w:sz w:val="26"/>
          <w:szCs w:val="26"/>
        </w:rPr>
        <w:t xml:space="preserve">1. RESUMEN EJECUTIVO Y OBJETIVOS CLAVE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Tras auditar la serie histórica consolidada de producción real del hotel (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2016 – 2025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), el Presupuesto Oficial Aprobado de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2026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(1.395.014 €) y el ritmo de cierre acumulado (</w:t>
      </w:r>
      <w:r>
        <w:rPr>
          <w:rFonts w:ascii="Calibri" w:cs="Calibri" w:eastAsia="Calibri" w:hAnsi="Calibri"/>
          <w:b w:val="false"/>
          <w:bCs w:val="false"/>
          <w:i/>
          <w:iCs/>
          <w:color w:val="334155"/>
          <w:sz w:val="20"/>
          <w:szCs w:val="20"/>
        </w:rPr>
        <w:t xml:space="preserve">pace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de demanda del ejercicio en curso), presento formalmente la propuesta de presupuesto de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Alojamiento (Room Revenue) para el ejercicio 2027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.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El objetivo central se establece en un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crecimiento de ingresos del +7,50%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respecto a la base de cierre del ejercicio actual, fijando la meta presupuestaria de Alojamiento en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1.573.386,12 €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(+109.771 € de incremento neto). Esta meta consolida la senda de crecimiento demostrada por el hotel y aplica una gestión tarifaria selectiva por estacionalidad.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Cuadro Resumen de Indicadores Clave (KPIs)</w:t>
      </w:r>
    </w:p>
    <w:tbl>
      <w:tblPr>
        <w:tblW w:type="dxa" w:w="14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2220"/>
        <w:gridCol w:w="2220"/>
        <w:gridCol w:w="2220"/>
        <w:gridCol w:w="2220"/>
        <w:gridCol w:w="2220"/>
      </w:tblGrid>
      <w:tr>
        <w:trPr>
          <w:cantSplit/>
          <w:tblHeader/>
        </w:trPr>
        <w:tc>
          <w:tcPr>
            <w:tcW w:type="dxa" w:w="370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Métrica</w:t>
            </w:r>
          </w:p>
        </w:tc>
        <w:tc>
          <w:tcPr>
            <w:tcW w:type="dxa" w:w="222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Presupuesto 2026 Oficial</w:t>
            </w:r>
          </w:p>
        </w:tc>
        <w:tc>
          <w:tcPr>
            <w:tcW w:type="dxa" w:w="222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Cierre Estimado 2026</w:t>
            </w:r>
          </w:p>
        </w:tc>
        <w:tc>
          <w:tcPr>
            <w:tcW w:type="dxa" w:w="222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Propuesta 2027</w:t>
            </w:r>
          </w:p>
        </w:tc>
        <w:tc>
          <w:tcPr>
            <w:tcW w:type="dxa" w:w="222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Variación vs BGT 2026</w:t>
            </w:r>
          </w:p>
        </w:tc>
        <w:tc>
          <w:tcPr>
            <w:tcW w:type="dxa" w:w="222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Variación vs Cierre Est.</w:t>
            </w:r>
          </w:p>
        </w:tc>
      </w:tr>
      <w:tr>
        <w:trPr>
          <w:cantSplit/>
          <w:tblHeader w:val="off"/>
        </w:trP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Room Revenue (€)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1.395.014 €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1.463.615 €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1.573.386,12 €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+12,79% (+178.372 €)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+7,50% (+109.771 €)</w:t>
            </w:r>
          </w:p>
        </w:tc>
      </w:tr>
      <w:tr>
        <w:trPr>
          <w:cantSplit/>
          <w:tblHeader w:val="off"/>
        </w:trP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Habitaciones Noche (RN)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21.240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22.618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23.393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+10,14% (+2.153 RN)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+3,43% (+775 RN)</w:t>
            </w:r>
          </w:p>
        </w:tc>
      </w:tr>
      <w:tr>
        <w:trPr>
          <w:cantSplit/>
          <w:tblHeader w:val="off"/>
        </w:trP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Tarifa Media Diaria (ADR)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65,68 €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64,71 €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67,30 €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+2,47% (+1,62 €)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+4,00% (+2,59 €)</w:t>
            </w:r>
          </w:p>
        </w:tc>
      </w:tr>
      <w:tr>
        <w:trPr>
          <w:cantSplit/>
          <w:tblHeader w:val="off"/>
        </w:trP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Ocupación Media (%)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56,96%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57,38%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59,34%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+2,38 p.p.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+1,96 p.p.</w:t>
            </w:r>
          </w:p>
        </w:tc>
      </w:tr>
      <w:tr>
        <w:trPr>
          <w:cantSplit/>
          <w:tblHeader w:val="off"/>
        </w:trP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RevPAR Estimado (€)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37,47 €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37,13 €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39,91 €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+6,51%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+7,50%</w:t>
            </w:r>
          </w:p>
        </w:tc>
      </w:tr>
    </w:tbl>
    <w:p>
      <w:pPr>
        <w:spacing w:after="120" w:before="100"/>
      </w:pPr>
    </w:p>
    <w:p>
      <w:pPr>
        <w:pBdr>
          <w:bottom w:val="single" w:color="CBD5E1" w:sz="6"/>
        </w:pBdr>
        <w:spacing w:after="140" w:before="14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1E40AF"/>
          <w:sz w:val="26"/>
          <w:szCs w:val="26"/>
        </w:rPr>
        <w:t xml:space="preserve">2. AUDITORÍA HISTÓRICA MULTIANUAL (2016 – 2025): EVIDENCIA DEL CRECIMIENTO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Para justificar con solvencia los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1,57 M€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ante la Dirección, no nos basamos en una proyección aislada, sino en la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curva real de transformación del hotel durante la última década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.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Los datos de producción real extraídos de nuestro histórico muestran una aceleración sostenida tanto en ingresos como en poder de fijación de precio (</w:t>
      </w:r>
      <w:r>
        <w:rPr>
          <w:rFonts w:ascii="Calibri" w:cs="Calibri" w:eastAsia="Calibri" w:hAnsi="Calibri"/>
          <w:b w:val="false"/>
          <w:bCs w:val="false"/>
          <w:i/>
          <w:iCs/>
          <w:color w:val="334155"/>
          <w:sz w:val="20"/>
          <w:szCs w:val="20"/>
        </w:rPr>
        <w:t xml:space="preserve">pricing power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):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Serie Histórica Consolidada 2016 – 2025 (Exclusivo Alojamiento)</w:t>
      </w:r>
    </w:p>
    <w:tbl>
      <w:tblPr>
        <w:tblW w:type="dxa" w:w="14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0"/>
        <w:gridCol w:w="2220"/>
        <w:gridCol w:w="1776"/>
        <w:gridCol w:w="1628"/>
        <w:gridCol w:w="1628"/>
        <w:gridCol w:w="1628"/>
        <w:gridCol w:w="4440"/>
      </w:tblGrid>
      <w:tr>
        <w:trPr>
          <w:cantSplit/>
          <w:tblHeader/>
        </w:trPr>
        <w:tc>
          <w:tcPr>
            <w:tcW w:type="dxa" w:w="148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Ejercicio</w:t>
            </w:r>
          </w:p>
        </w:tc>
        <w:tc>
          <w:tcPr>
            <w:tcW w:type="dxa" w:w="222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Room Revenue (€)</w:t>
            </w:r>
          </w:p>
        </w:tc>
        <w:tc>
          <w:tcPr>
            <w:tcW w:type="dxa" w:w="1776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Habitaciones (RN)</w:t>
            </w:r>
          </w:p>
        </w:tc>
        <w:tc>
          <w:tcPr>
            <w:tcW w:type="dxa" w:w="1628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ADR (€)</w:t>
            </w:r>
          </w:p>
        </w:tc>
        <w:tc>
          <w:tcPr>
            <w:tcW w:type="dxa" w:w="1628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Ocupación (%)</w:t>
            </w:r>
          </w:p>
        </w:tc>
        <w:tc>
          <w:tcPr>
            <w:tcW w:type="dxa" w:w="1628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RevPAR (€)</w:t>
            </w:r>
          </w:p>
        </w:tc>
        <w:tc>
          <w:tcPr>
            <w:tcW w:type="dxa" w:w="444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Contexto de Mercado (Alojamiento)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2016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899.135 €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21.346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42,12 €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54,1%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22,81 €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Etapa base tarifaria baja.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2017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1.032.432 €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22.607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45,67 €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57,3%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26,19 €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Primer umbral del millón de euros en habitaciones.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2018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1.058.646 €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22.822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46,39 €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57,9%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26,86 €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Estabilidad de volumen pre-pandemia.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2019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1.047.019 €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20.200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51,83 €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51,2%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26,56 €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Salto inicial de ADR (&gt;50 €).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2020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517.991 €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10.161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50,98 €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25,8%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13,14 €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Ejercicio COVID-19.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2021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915.712 €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18.345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49,92 €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46,5%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23,23 €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Recuperación gradual de pernoctaciones.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2022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1.010.330 €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18.236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55,40 €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46,3%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25,63 €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Consolidación de tarifa post-pandemia.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2023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1.035.549 €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17.627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58,75 €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44,7%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26,27 €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Reposicionamiento hacia cliente corporativo directo.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2024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1.234.818 €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20.765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59,47 €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52,7%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31,32 €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Fuerte expansión de demanda (+19,2% en Room Rev).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2025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1.318.860 €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21.031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62,71 €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53,4%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33,46 €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Récord histórico consolidado de habitaciones.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2026 (Est.)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1.463.615 €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22.618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64,71 €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57,4%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37,13 €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Cierre proyectado en curso.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2027 (Prop.)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1.573.386 €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23.393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67,30 €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59,3%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39,91 €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Objetivo Presupuestario de Habitaciones.</w:t>
            </w:r>
          </w:p>
        </w:tc>
      </w:tr>
    </w:tbl>
    <w:p>
      <w:pPr>
        <w:spacing w:after="120" w:before="10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Conclusiones Clave de la Serie Histórica de Alojamiento: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El ADR de alojamiento se ha incrementado un +48,9% desde 2016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(pasando de 42,12 € a 62,71 € en 2025 y 64,71 € en 2026). El objetivo de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67,30 €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para 2027 representa una subida moderada de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+2,59 € (+4,0%)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, perfectamente alineada con la progresión del hotel.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El hotel ya demostró capacidad física de absorber más de 22.800 habitaciones al año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(22.822 RN en 2018 y 22.607 RN en 2017). Comercializar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23.393 RN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en 2027 supone recuperar ese volumen histórico de pernoctaciones pero capturando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+21 € más de tarifa por habitación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que en 2018.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El RevPAR crece de forma constante hasta los 39,91 €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, garantizando la máxima rentabilidad por habitación disponible de la historia del establecimiento.</w:t>
      </w:r>
    </w:p>
    <w:p>
      <w:pPr>
        <w:pBdr>
          <w:bottom w:val="single" w:color="CBD5E1" w:sz="6"/>
        </w:pBdr>
        <w:spacing w:after="140" w:before="14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1E40AF"/>
          <w:sz w:val="26"/>
          <w:szCs w:val="26"/>
        </w:rPr>
        <w:t xml:space="preserve">3. COMPORTAMIENTO ESTACIONAL HISTÓRICO: ANÁLISIS 2022 – 2025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Al auditar la serie mensual de los últimos 4 ejercicios cerrados, la estacionalidad de Ciudad Real refleja patrones estructurales muy claros que sustentan nuestro reparto de 2027: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Comparativa de Room Revenue (€) Mes a Mes (2022 – 2025)</w:t>
      </w:r>
    </w:p>
    <w:tbl>
      <w:tblPr>
        <w:tblW w:type="dxa" w:w="14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850"/>
        <w:gridCol w:w="1850"/>
        <w:gridCol w:w="1850"/>
        <w:gridCol w:w="1850"/>
        <w:gridCol w:w="1850"/>
        <w:gridCol w:w="1850"/>
        <w:gridCol w:w="1850"/>
      </w:tblGrid>
      <w:tr>
        <w:trPr>
          <w:cantSplit/>
          <w:tblHeader/>
        </w:trPr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Mes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2022 (€)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2023 (€)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2024 (€)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2025 (€)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Media 4 Años (€)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Propuesta 2027 (€)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Justificación de Crecimiento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Enero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53.221 €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49.845 €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41.029 €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46.594 €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47.672 €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75.310 €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Captación activa de grupos y eventos deportivos base.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Febrero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92.867 €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81.304 €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59.827 €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65.276 €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74.819 €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80.555 €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Retorno al nivel medio de demanda de febrero.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Marzo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58.393 €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71.543 €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125.581 €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85.752 €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85.317 €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120.510 €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Efecto congresos primavera + Semana Santa / ferias.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Abril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82.924 €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107.118 €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130.668 €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112.422 €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108.283 €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146.868 €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Alta demanda corporativa y puentes primaverales.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Mayo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143.835 €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127.007 €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124.149 €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161.051 €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139.011 €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141.294 €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Estabilización de ADR tras pico atípico de 2025.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Junio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85.069 €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80.273 €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105.104 €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107.233 €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94.420 €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133.789 €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Cierre corporativo y eventos formativos.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Julio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82.766 €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86.808 €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129.310 €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129.649 €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107.133 €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137.521 €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Consolidación del turismo estival en tránsito.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Agosto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81.625 €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89.013 €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121.359 €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124.448 €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104.111 €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147.756 €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Volumen familiar y paso vacacional hacia el sur.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Septiembre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89.156 €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110.396 €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102.697 €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143.034 €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111.321 €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167.550 €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Reactivación corporativa otoñal a pleno rendimiento.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Octubre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100.195 €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107.855 €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117.252 €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146.243 €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117.886 €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184.822 €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Mes líder absoluto: compresión empresarial y AVE.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Noviembre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73.495 €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50.767 €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103.299 €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106.319 €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83.470 €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129.376 €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Continuidad de tráfico institucional y jornadas.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Diciembre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66.784 €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73.620 €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74.543 €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90.839 €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76.447 €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108.036 €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Puentes de diciembre y ocio navideño familiar.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TOTAL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1.010.330 €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1.035.549 €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1.234.818 €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1.318.860 €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1.149.889 €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1.573.386 €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Crecimiento respaldado por la tendencia real.</w:t>
            </w:r>
          </w:p>
        </w:tc>
      </w:tr>
    </w:tbl>
    <w:p>
      <w:pPr>
        <w:spacing w:after="120" w:before="100"/>
      </w:pPr>
    </w:p>
    <w:p>
      <w:pPr>
        <w:pBdr>
          <w:bottom w:val="single" w:color="CBD5E1" w:sz="6"/>
        </w:pBdr>
        <w:spacing w:after="140" w:before="14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1E40AF"/>
          <w:sz w:val="26"/>
          <w:szCs w:val="26"/>
        </w:rPr>
        <w:t xml:space="preserve">4. ANÁLISIS DE PRECISIÓN DEL MES LÍDER: OCTUBRE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El histórico de habitaciones noche de los últimos años confirma por qué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OCTUBRE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es el motor financiero del Sercotel Guadiana: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Evolución Real de Habitaciones Vendidas en Octubre: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Octubre 2022: 1.855 RN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Octubre 2023: 1.730 RN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Octubre 2024: 1.951 RN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Octubre 2025: 2.693 RN (Récord histórico mensual de ocupación)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Octubre 2026 (BGT Oficial): 2.637 RN (83,40% ocupación presupuestada)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Octubre 2027 (Propuesta): 2.905 RN (86,8% ocupación / 184.821,89 €)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¿Por qué Octubre tiene margen para alcanzar los 184.822 €?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En octubre confluyen simultáneamente: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La máxima ocupación corporativa entre semana de Ciudad Real: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De martes a jueves la plaza opera por encima del 95%, lo que permite aplicar restricciones de estancia y elevar la tarifa media individual por encima de los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80 €–85 €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Turismo institucional y académico: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Actividad plena de las consejerías autonómicas, la Diputación Provincial y las facultades del campus de la UCLM.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El Puente del Pilar y turismo otoñal: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Evita la caída de ocupación de los fines de semana.</w:t>
      </w:r>
    </w:p>
    <w:p>
      <w:pPr>
        <w:pBdr>
          <w:bottom w:val="single" w:color="CBD5E1" w:sz="6"/>
        </w:pBdr>
        <w:spacing w:after="140" w:before="14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1E40AF"/>
          <w:sz w:val="26"/>
          <w:szCs w:val="26"/>
        </w:rPr>
        <w:t xml:space="preserve">5. PLAN MAESTRO MENSUAL 2027 (DETALLE POR HABITACIONES, ADR Y REVPAR)</w:t>
      </w:r>
    </w:p>
    <w:tbl>
      <w:tblPr>
        <w:tblW w:type="dxa" w:w="14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000"/>
        <w:gridCol w:w="1300"/>
        <w:gridCol w:w="1600"/>
        <w:gridCol w:w="1800"/>
        <w:gridCol w:w="1300"/>
        <w:gridCol w:w="1300"/>
        <w:gridCol w:w="1300"/>
        <w:gridCol w:w="1600"/>
        <w:gridCol w:w="2000"/>
      </w:tblGrid>
      <w:tr>
        <w:trPr>
          <w:cantSplit/>
          <w:tblHeader/>
        </w:trPr>
        <w:tc>
          <w:tcPr>
            <w:tcW w:type="dxa" w:w="160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Mes</w:t>
            </w:r>
          </w:p>
        </w:tc>
        <w:tc>
          <w:tcPr>
            <w:tcW w:type="dxa" w:w="100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Días</w:t>
            </w:r>
          </w:p>
        </w:tc>
        <w:tc>
          <w:tcPr>
            <w:tcW w:type="dxa" w:w="130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Capacidad (RN)</w:t>
            </w:r>
          </w:p>
        </w:tc>
        <w:tc>
          <w:tcPr>
            <w:tcW w:type="dxa" w:w="160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BGT 2026 (€)</w:t>
            </w:r>
          </w:p>
        </w:tc>
        <w:tc>
          <w:tcPr>
            <w:tcW w:type="dxa" w:w="180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Propuesta 2027 (€)</w:t>
            </w:r>
          </w:p>
        </w:tc>
        <w:tc>
          <w:tcPr>
            <w:tcW w:type="dxa" w:w="130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RN 2027</w:t>
            </w:r>
          </w:p>
        </w:tc>
        <w:tc>
          <w:tcPr>
            <w:tcW w:type="dxa" w:w="130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ADR 2027 (€)</w:t>
            </w:r>
          </w:p>
        </w:tc>
        <w:tc>
          <w:tcPr>
            <w:tcW w:type="dxa" w:w="130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Ocupación (%)</w:t>
            </w:r>
          </w:p>
        </w:tc>
        <w:tc>
          <w:tcPr>
            <w:tcW w:type="dxa" w:w="160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RevPAR (€)</w:t>
            </w:r>
          </w:p>
        </w:tc>
        <w:tc>
          <w:tcPr>
            <w:tcW w:type="dxa" w:w="200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Variación vs 2026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Enero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31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3.348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57.715 €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75.309,58 €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1.197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62,94 €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35,8%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22,49 €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+30,5%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Febrero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28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3.024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68.021 €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80.555,06 €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1.274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63,24 €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42,1%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26,64 €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+18,4%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Marzo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31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3.348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89.561 €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120.509,54 €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1.570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76,75 €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46,9%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35,99 €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+34,6%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Abril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30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3.240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126.055 €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146.867,73 €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2.041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71,97 €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63,0%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45,33 €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+16,5%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Mayo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31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3.348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167.691 €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141.294,13 €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1.986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71,13 €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59,3%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42,20 €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-15,7%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Junio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30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3.240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114.464 €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133.788,99 €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1.854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72,15 €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57,2%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41,29 €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+16,9%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Julio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31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3.348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118.640 €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137.521,26 €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1.945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70,71 €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58,1%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41,08 €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+15,9%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Agosto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31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3.348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131.039 €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147.756,26 €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2.363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62,52 €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70,6%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44,13 €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+12,8%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Septiembre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30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3.240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148.593 €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167.549,70 €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2.602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64,39 €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80,3%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51,71 €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+12,8%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Octubre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31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3.348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163.911 €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184.821,89 €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2.905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63,62 €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86,8%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55,20 €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+12,8%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Noviembre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30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3.240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114.738 €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129.375,66 €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1.967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65,78 €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60,7%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39,93 €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+12,8%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Diciembre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31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3.348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94.586 €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108.036,31 €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1.689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63,96 €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50,4%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32,27 €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+14,2%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TOTAL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365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39.420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1.395.014 €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1.573.386,12 €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23.393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67,30 €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59,34%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39,91 €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+12,79%</w:t>
            </w:r>
          </w:p>
        </w:tc>
      </w:tr>
    </w:tbl>
    <w:p>
      <w:pPr>
        <w:spacing w:after="120" w:before="100"/>
      </w:pP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i/>
          <w:iCs/>
          <w:color w:val="334155"/>
          <w:sz w:val="20"/>
          <w:szCs w:val="20"/>
        </w:rPr>
        <w:t xml:space="preserve">(Nota: En Mayo se corrige el objetivo sobredimensionado del BGT 2026 de 167 k€ que exigía un ADR de 81,68 € poco sostenible, normalizándolo a 71,13 € y trasladando ese potencial a meses de mayor tracción real como Septiembre, Octubre y Marzo).</w:t>
      </w:r>
    </w:p>
    <w:p>
      <w:pPr>
        <w:pBdr>
          <w:bottom w:val="single" w:color="CBD5E1" w:sz="6"/>
        </w:pBdr>
        <w:spacing w:after="140" w:before="14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1E40AF"/>
          <w:sz w:val="26"/>
          <w:szCs w:val="26"/>
        </w:rPr>
        <w:t xml:space="preserve">6. MODELIZACIÓN Y ESTRATEGIA DEL SEGMENTO GRUPOS: COTIZACIÓN PRINCIPALMENTE DINÁMICA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Fruto del proceso de modernización tecnológica y de la implantación de la nueva disciplina de Revenue Management compartida con el Hotel Cumbria,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la tarifa del segmento grupos será PRINCIPALMENTE DINÁMICA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.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Se abandonan de forma definitiva los acuerdos a tarifas planas o estáticas del pasado. A partir de 2027, toda cotización para grupos se tarifica de manera dinámica e indexada a la ocupación proyectada, a la curva de reserva y a los tramos de precio del cliente individual. Esta estrategia permite rentabilizar al máximo los periodos valle y proteger el RevPAR en fechas punta, asegurando que el segmento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Grupos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aporte una cuota anual controlada del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6,3%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(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1.467 habitaciones noche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y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95.516 €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de facturación a un ADR ponderado de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65,11 €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):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Desglose Mensual del Segmento Grupos 2027</w:t>
      </w:r>
    </w:p>
    <w:tbl>
      <w:tblPr>
        <w:tblW w:type="dxa" w:w="14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0"/>
        <w:gridCol w:w="1628"/>
        <w:gridCol w:w="1628"/>
        <w:gridCol w:w="1480"/>
        <w:gridCol w:w="1480"/>
        <w:gridCol w:w="1924"/>
        <w:gridCol w:w="5180"/>
      </w:tblGrid>
      <w:tr>
        <w:trPr>
          <w:cantSplit/>
          <w:tblHeader/>
        </w:trPr>
        <w:tc>
          <w:tcPr>
            <w:tcW w:type="dxa" w:w="148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Mes</w:t>
            </w:r>
          </w:p>
        </w:tc>
        <w:tc>
          <w:tcPr>
            <w:tcW w:type="dxa" w:w="1628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Total RN Hotel</w:t>
            </w:r>
          </w:p>
        </w:tc>
        <w:tc>
          <w:tcPr>
            <w:tcW w:type="dxa" w:w="1628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RN Grupos</w:t>
            </w:r>
          </w:p>
        </w:tc>
        <w:tc>
          <w:tcPr>
            <w:tcW w:type="dxa" w:w="148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Cuota Grupos (% RN)</w:t>
            </w:r>
          </w:p>
        </w:tc>
        <w:tc>
          <w:tcPr>
            <w:tcW w:type="dxa" w:w="148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ADR Grupos (€)</w:t>
            </w:r>
          </w:p>
        </w:tc>
        <w:tc>
          <w:tcPr>
            <w:tcW w:type="dxa" w:w="1924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Facturación Grupos (€)</w:t>
            </w:r>
          </w:p>
        </w:tc>
        <w:tc>
          <w:tcPr>
            <w:tcW w:type="dxa" w:w="518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Directriz Comercial de Contratación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Enero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1.197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108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9,0%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56,00 €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6.048 €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Relleno base: Grupos deportivos / circuitos de invierno con tarifa dinámica valle.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Febrero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1.274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108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8,5%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57,50 €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6.210 €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Ocupación valle: Culturales y escapadas indexadas a demanda.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Marzo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1.570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94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6,0%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68,00 €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6.392 €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Filtro tarifario: Cotización dinámica con suelo elevado.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Abril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2.041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133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6,5%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69,50 €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9.243 €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Semana Santa / Puentes: Cupos controlados a precio dinámico premium.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Mayo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1.986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109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5,5%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71,00 €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7.739 €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Selectividad: Grupos admitidos solo a precio medio dinámico de temporada alta.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Junio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1.854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111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6,0%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68,00 €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7.548 €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Cierre escolar/asociativo: Tarifa dinámica con yield activo.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Julio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1.945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136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7,0%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64,00 €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8.704 €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Turismo estival: Grupos vacacionales en tránsito.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Agosto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2.363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189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8,0%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60,00 €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11.340 €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Volumen veraniego: Ocupación familiar y grupos a tarifa dinámica competitiva.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Septiembre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2.602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117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4,5%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70,00 €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8.190 €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Contención: Tarifa dinámica alta para no desplazar corporativo directo.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Octubre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2.905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116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4,0%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74,00 €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8.584 €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Yield Máximo: Tarifa dinámica alineada con individual (&gt;74 €–80 €).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Noviembre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1.967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128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6,5%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65,00 €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8.320 €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Equilibrio: Grupos técnicos y asociativos indexados a pick-up.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Diciembre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1.689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118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7,0%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61,00 €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7.198 €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Puentes y escapadas: Grupos senior / culturales de fin de año.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TOTAL AÑO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23.393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1.467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6,3%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65,11 €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95.516 €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Aporte Grupos: 1.467 habitaciones y 95.516 € bajo tarifa dinámica.</w:t>
            </w:r>
          </w:p>
        </w:tc>
      </w:tr>
    </w:tbl>
    <w:p>
      <w:pPr>
        <w:spacing w:after="120" w:before="10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Reglas Comerciales Obligatorias para el Equipo de Ventas: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Cotización Principalmente Dinámica: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Ninguna cotización de grupo se emitirá a tarifa fija sin consultar la disponibilidad y el precio medio dinámico sugerido por el RMS / cotizador (Nexus Groups).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En meses pico (Octubre y Septiembre):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La cotización dinámica no bajará en ningún caso de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72 €–74 €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de ADR para evitar el desplazamiento de clientes individuales que pagan por encima de 85 €.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En meses valle (Enero, Febrero, Diciembre):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Se autorizan tarifas dinámicas promocionales para asegurar el volumen de clubes deportivos y colectivos que cubran costes fijos sin degradar el precio de venta individual.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Sincronización: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Las curvas de precio dinámico quedan integradas como techos y suelos oficiales en el sistema de ventas.</w:t>
      </w:r>
    </w:p>
    <w:p>
      <w:pPr>
        <w:pBdr>
          <w:bottom w:val="single" w:color="CBD5E1" w:sz="6"/>
        </w:pBdr>
        <w:spacing w:after="140" w:before="140"/>
      </w:pPr>
    </w:p>
    <w:p>
      <w:pPr>
        <w:pBdr>
          <w:bottom w:val="single" w:color="CBD5E1" w:sz="6"/>
        </w:pBdr>
        <w:spacing w:after="140" w:before="14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1E40AF"/>
          <w:sz w:val="26"/>
          <w:szCs w:val="26"/>
        </w:rPr>
        <w:t xml:space="preserve">7. ANÁLISIS DE CARTERA REAL (OTB 2027 EN LIBROS): GRADO DE COBERTURA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A fecha actual, el sistema registra ya una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cartera contratada (*On-The-Books / OTB*) de 508.378,01 € y 8.179 habitaciones noche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para el ejercicio 2027 (de enero a octubre).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Esto demuestra que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un 32,3% del presupuesto anual total (y un 38,1% del periodo analizado) ya está físicamente asegurado con más de un año de antelación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, lo que reduce drásticamente el riesgo de cumplimiento y aporta una solidez excepcional a la propuesta: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Cobertura de Cartera 2027 vs. Objetivo Presupuestario</w:t>
      </w:r>
    </w:p>
    <w:tbl>
      <w:tblPr>
        <w:tblW w:type="dxa" w:w="14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850"/>
        <w:gridCol w:w="1850"/>
        <w:gridCol w:w="1850"/>
        <w:gridCol w:w="1850"/>
        <w:gridCol w:w="1850"/>
        <w:gridCol w:w="1850"/>
        <w:gridCol w:w="1850"/>
      </w:tblGrid>
      <w:tr>
        <w:trPr>
          <w:cantSplit/>
          <w:tblHeader/>
        </w:trPr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Mes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 Cartera 2027 (OTB €)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RN en Libros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ADR Cartera (€)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Objetivo 2027 (€)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% Ya Asegurado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Pickup Pendiente (€)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Valoración Comercial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Enero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44.055,89 €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722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61,02 €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75.309,58 €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58,5%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31.253,69 €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Excelente base: Enero tiene más de la mitad cubierto.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Febrero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34.784,42 €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462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75,29 €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80.555,06 €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43,2%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45.770,64 €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Tarifa alta: ADR en cartera muy potente (75,29 €).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Marzo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54.914,94 €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973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56,44 €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120.509,54 €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45,6%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65.594,60 €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Buena anticipación de primavera.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Abril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66.924,15 €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1.204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55,58 €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146.867,73 €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45,6%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79.943,58 €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Fuerte demanda de Semana Santa / puentes ya en libros.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Mayo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115.355,43 €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1.380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83,59 €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141.294,13 €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81,6%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25.938,70 €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Prácticamente cerrado: Mayo tiene el 82% garantizado a 83,59 € ADR.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Junio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70.279,39 €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1.069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65,74 €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133.788,99 €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52,5%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63.509,60 €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Más de la mitad del mes contratado.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Julio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30.368,83 €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600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50,61 €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137.521,26 €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22,1%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107.152,43 €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Ritmo habitual de verano (reserva más tardía).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Agosto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32.773,61 €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653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50,19 €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147.756,26 €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22,2%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114.982,65 €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Curva normal de reservas estivales.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Septiembre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41.966,76 €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806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52,07 €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167.549,70 €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25,0%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125.582,94 €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Arranque de cartera corporativa de otoño.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Octubre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16.954,59 €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310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54,69 €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184.821,89 €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9,2%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167.867,30 €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Mayor recorrido de yield (máxima ventana de venta directa).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TOTAL (Ene-Oct)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508.378,01 €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8.179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62,16 €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1.336.004,15 €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38,1%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827.626,14 €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Medio millón de euros ya asegurado.</w:t>
            </w:r>
          </w:p>
        </w:tc>
      </w:tr>
    </w:tbl>
    <w:p>
      <w:pPr>
        <w:spacing w:after="120" w:before="10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Tres Argumentos Clave para la Dirección: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Riesgo Operativo Mínimo: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No estamos presupuestando sobre un papel en blanco;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más de medio millón de euros (508 k€)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ya está firmado y en los libros del hotel.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Mayo está prácticamente hecho al 82%: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Con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115.355 €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ya contratados a una tarifa media récord de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83,59 €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, solo faltan ~25 k€ para completar el mes.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El primer semestre (Ene - Jun) tiene un 54,6% de cobertura: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Contar con 386 k€ ya asegurados en la primera mitad del año da total tranquilidad de tesorería y valida la viabilidad del crecimiento.</w:t>
      </w: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1E40AF"/>
          <w:sz w:val="26"/>
          <w:szCs w:val="26"/>
        </w:rPr>
        <w:t xml:space="preserve">8. CONCLUSIÓN Y DICTAMEN FINAL: VIABILIDAD DEL OBJETIVO +7,5%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La propuesta de alcanzar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1.573.386,12 € (+7,50% de crecimiento)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en 2027 no es una hipótesis voluntarista, sino un objetivo técnico medido y de máxima solidez para el Sercotel Guadiana: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Defensa Directa Frente a la Inflación y Protección del Margen Operativo (GOP):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El objetivo combina una subida de tarifa media del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+4,00% (ADR de 67,30 €)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y un incremento moderado de pernoctaciones del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+3,43% (+775 RN al año)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Este aumento del ADR (+2,59 € netos por habitación ocupada)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absorbe con creces la inflación estructural esperada de costes (convenios colectivos, energía, suministros y lavandería)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, proyectada en el entorno del 2,5%–3,0%.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Cada euro adicional captado vía tarifa media impacta directamente en el beneficio neto (</w:t>
      </w:r>
      <w:r>
        <w:rPr>
          <w:rFonts w:ascii="Calibri" w:cs="Calibri" w:eastAsia="Calibri" w:hAnsi="Calibri"/>
          <w:b w:val="false"/>
          <w:bCs w:val="false"/>
          <w:i/>
          <w:iCs/>
          <w:color w:val="334155"/>
          <w:sz w:val="20"/>
          <w:szCs w:val="20"/>
        </w:rPr>
        <w:t xml:space="preserve">bottom-line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), asegurando la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expansión del margen bruto de explotación (GOP)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sin incrementar proporcionalmente los costes variables de servicio.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Respaldo Incontestable de la Serie Histórica de 10 Años (2016 – 2025):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El hotel ha demostrado una progresión sólida de tarifa (+48,9% desde 2016) y cuenta con capacidad contrastada para absorber más de 22.800 habitaciones al año (como ya ocurrió en 2017 y 2018).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La meta de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23.393 habitaciones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representa un nivel de ocupación equilibrado (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59,34%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), perfectamente asumible para la operativa interna sin generar saturación de plantilla ni caídas en la satisfacción del huésped.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Garantía de Cartera Real: Más de Medio Millón de Euros Ya Asegurado: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La existencia de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508.378,01 € en cartera cerrada (*On-The-Books*)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para 2027 con más de un año de antelación otorga un grado de certidumbre excepcional: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el 38,1% del periodo de enero a octubre ya está físicamente vendido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Meses estratégicos como Mayo (81,6% de cobertura con un ADR de 83,59 €) reducen al mínimo el riesgo de desviación, permitiendo concentrar los esfuerzos de </w:t>
      </w:r>
      <w:r>
        <w:rPr>
          <w:rFonts w:ascii="Calibri" w:cs="Calibri" w:eastAsia="Calibri" w:hAnsi="Calibri"/>
          <w:b w:val="false"/>
          <w:bCs w:val="false"/>
          <w:i/>
          <w:iCs/>
          <w:color w:val="334155"/>
          <w:sz w:val="20"/>
          <w:szCs w:val="20"/>
        </w:rPr>
        <w:t xml:space="preserve">yield management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en maximizar el precio de las habitaciones restantes.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En conclusión, el objetivo de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1.573.386,12 € (+7,5%)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maximiza el valor patrimonial y operativo del hotel, blinda su cuenta de resultados frente al escenario macroeconómico y sitúa el RevPAR en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39,91 €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, el rendimiento por habitación más alto en la historia del establecimiento.</w:t>
      </w:r>
    </w:p>
    <w:sectPr>
      <w:pgSz w:w="16838" w:h="11906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4155"/>
        <w:sz w:val="20"/>
        <w:szCs w:val="20"/>
      </w:rPr>
    </w:rPrDefault>
    <w:pPrDefault>
      <w:pPr>
        <w:spacing w:after="60" w:before="60" w:line="26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2026-10-15T22:00:42.429Z</dcterms:created>
  <dcterms:modified xsi:type="dcterms:W3CDTF">2026-10-15T22:00:42.430Z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