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00"/>
      </w:pPr>
      <w:r>
        <w:rPr>
          <w:rFonts w:ascii="Calibri" w:cs="Calibri" w:eastAsia="Calibri" w:hAnsi="Calibri"/>
          <w:b/>
          <w:bCs/>
          <w:color w:val="1E40AF"/>
          <w:sz w:val="36"/>
          <w:szCs w:val="36"/>
        </w:rPr>
        <w:t xml:space="preserve">PROPUESTA Y JUSTIFICACIÓN DEL PRESUPUESTO OFICIAL 2027: OBJETIVO +7,5%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Departamento de Revenue Management y Dirección Comercial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Hotel: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Sercotel Guadiana (Ciudad Real – 108 habitaciones / 39.420 RN disponibles)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Fecha: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Octubre 2026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Documento: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Informe Ejecutivo y Memoria Técnica de Justificación Presupuestaria 2027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1. RESUMEN EJECUTIVO Y OBJETIVOS CLAVE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Tras auditar la serie histórica consolidada de producción real del hotel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2016 – 2025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el Presupuesto Oficial Aprobado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2026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(1.395.014 €) y el ritmo de cierre acumulado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pace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demanda del ejercicio en curso), presento formalmente la propuesta de presupuesto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Alojamiento (Room Revenue) para el ejercicio 2027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objetivo central se establece en un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crecimiento de ingresos del +7,50%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respecto a la base de cierre del ejercicio actual, fijando la meta presupuestaria de Alojamiento en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(+109.771 € de incremento neto). Esta meta consolida la senda de crecimiento demostrada por el hotel y aplica una gestión tarifaria selectiva por estacionalidad.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Cuadro Resumen de Indicadores Clave (KPIs)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00"/>
        <w:gridCol w:w="2220"/>
        <w:gridCol w:w="2220"/>
        <w:gridCol w:w="2220"/>
        <w:gridCol w:w="2220"/>
        <w:gridCol w:w="2220"/>
      </w:tblGrid>
      <w:tr>
        <w:trPr>
          <w:cantSplit/>
          <w:tblHeader/>
        </w:trPr>
        <w:tc>
          <w:tcPr>
            <w:tcW w:type="dxa" w:w="37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Métrica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Presupuesto 2026 Oficial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Cierre Estimado 2026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BGT 2026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Cierre Est.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Room Revenue (€)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1.395.014 €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1.463.615 €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1.573.386,12 €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+12,79% (+178.372 €)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+7,50% (+109.771 €)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Habitaciones Noche (RN)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21.240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22.618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+10,14% (+2.153 RN)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+3,43% (+775 RN)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Tarifa Media Diaria (ADR)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65,68 €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64,71 €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67,30 €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+2,47% (+1,62 €)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+4,00% (+2,59 €)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Ocupación Media (%)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56,96%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57,38%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59,34%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+2,38 p.p.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+1,96 p.p.</w:t>
            </w:r>
          </w:p>
        </w:tc>
      </w:tr>
      <w:tr>
        <w:trPr>
          <w:cantSplit/>
          <w:tblHeader w:val="off"/>
        </w:trPr>
        <w:tc>
          <w:tcPr>
            <w:tcW w:type="dxa" w:w="37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RevPAR Estimado (€)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37,47 €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37,13 €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+6,51%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+7,50%</w:t>
            </w:r>
          </w:p>
        </w:tc>
      </w:tr>
    </w:tbl>
    <w:p>
      <w:pPr>
        <w:spacing w:after="120" w:before="10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2. AUDITORÍA HISTÓRICA MULTIANUAL (2016 – 2025): EVIDENCIA DEL CRECIMIENTO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Para justificar con solvencia los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1,57 M€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ante la Dirección, no nos basamos en una proyección aislada, sino en la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curva real de transformación del hotel durante la última década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Los datos de producción real extraídos de nuestro histórico muestran una aceleración sostenida tanto en ingresos como en poder de fijación de precio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pricing power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Serie Histórica Consolidada 2016 – 2025 (Exclusivo Alojamiento)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"/>
        <w:gridCol w:w="2220"/>
        <w:gridCol w:w="1776"/>
        <w:gridCol w:w="1628"/>
        <w:gridCol w:w="1628"/>
        <w:gridCol w:w="1628"/>
        <w:gridCol w:w="4440"/>
      </w:tblGrid>
      <w:tr>
        <w:trPr>
          <w:cantSplit/>
          <w:tblHeader/>
        </w:trPr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Ejercicio</w:t>
            </w:r>
          </w:p>
        </w:tc>
        <w:tc>
          <w:tcPr>
            <w:tcW w:type="dxa" w:w="222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Room Revenue (€)</w:t>
            </w:r>
          </w:p>
        </w:tc>
        <w:tc>
          <w:tcPr>
            <w:tcW w:type="dxa" w:w="1776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Habitaciones (RN)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(€)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Ocupación (%)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RevPAR (€)</w:t>
            </w:r>
          </w:p>
        </w:tc>
        <w:tc>
          <w:tcPr>
            <w:tcW w:type="dxa" w:w="444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Contexto de Mercado (Alojamiento)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2016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899.135 €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21.346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42,12 €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54,1%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22,81 €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Etapa base tarifaria baja.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2017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1.032.432 €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22.607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45,67 €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26,19 €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Primer umbral del millón de euros en habitaciones.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2018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1.058.646 €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22.822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46,39 €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57,9%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26,86 €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Estabilidad de volumen pre-pandemia.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2019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1.047.019 €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20.200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51,83 €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51,2%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26,56 €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Salto inicial de ADR (&gt;50 €).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2020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517.991 €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10.161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50,98 €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25,8%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13,14 €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Ejercicio COVID-19.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2021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915.712 €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18.345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49,92 €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46,5%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23,23 €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Recuperación gradual de pernoctaciones.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2022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1.010.330 €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18.236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55,40 €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25,63 €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Consolidación de tarifa post-pandemia.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2023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1.035.549 €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17.627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58,75 €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44,7%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26,27 €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Reposicionamiento hacia cliente corporativo directo.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2024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1.234.818 €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20.765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59,47 €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52,7%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31,32 €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Fuerte expansión de demanda (+19,2% en Room Rev).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2025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1.318.860 €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21.031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62,71 €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53,4%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33,46 €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Récord histórico consolidado de habitaciones.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2026 (Est.)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1.463.615 €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22.618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64,71 €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57,4%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37,13 €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Cierre proyectado en curso.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2027 (Prop.)</w:t>
            </w:r>
          </w:p>
        </w:tc>
        <w:tc>
          <w:tcPr>
            <w:tcW w:type="dxa" w:w="222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1.573.386 €</w:t>
            </w:r>
          </w:p>
        </w:tc>
        <w:tc>
          <w:tcPr>
            <w:tcW w:type="dxa" w:w="1776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67,30 €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59,3%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444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Objetivo Presupuestario de Habitaciones.</w:t>
            </w:r>
          </w:p>
        </w:tc>
      </w:tr>
    </w:tbl>
    <w:p>
      <w:pPr>
        <w:spacing w:after="120" w:before="10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Conclusiones Clave de la Serie Histórica de Alojamiento: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ADR de alojamiento se ha incrementado un +48,9% desde 2016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(pasando de 42,12 € a 62,71 € en 2025 y 64,71 € en 2026). El objetivo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67,30 €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2027 representa una subida moderada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+2,59 € (+4,0%)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perfectamente alineada con la progresión del hotel.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hotel ya demostró capacidad física de absorber más de 22.800 habitaciones al año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(22.822 RN en 2018 y 22.607 RN en 2017). Comercializar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23.393 RN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2027 supone recuperar ese volumen histórico de pernoctaciones pero capturando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+21 € más de tarifa por habitación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que en 2018.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RevPAR crece de forma constante hasta los 39,91 €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garantizando la máxima rentabilidad por habitación disponible de la historia del establecimiento.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3. COMPORTAMIENTO ESTACIONAL HISTÓRICO: ANÁLISIS 2022 – 2025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Al auditar la serie mensual de los últimos 4 ejercicios cerrados, la estacionalidad de Ciudad Real refleja patrones estructurales muy claros que sustentan nuestro reparto de 2027: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Comparativa de Room Revenue (€) Mes a Mes (2022 – 2025)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850"/>
        <w:gridCol w:w="1850"/>
        <w:gridCol w:w="1850"/>
        <w:gridCol w:w="1850"/>
        <w:gridCol w:w="1850"/>
        <w:gridCol w:w="1850"/>
        <w:gridCol w:w="1850"/>
      </w:tblGrid>
      <w:tr>
        <w:trPr>
          <w:cantSplit/>
          <w:tblHeader/>
        </w:trPr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2022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2023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2024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2025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Media 4 Años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Justificación de Crecimiento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53.221 €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49.845 €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41.029 €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46.594 €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47.672 €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75.310 €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Captación activa de grupos y eventos deportivos base.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92.867 €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81.304 €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59.827 €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65.276 €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74.819 €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80.555 €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Retorno al nivel medio de demanda de febrero.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58.393 €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71.543 €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125.581 €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85.752 €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85.317 €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120.510 €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Efecto congresos primavera + Semana Santa / ferias.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82.924 €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107.118 €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130.668 €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112.422 €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108.283 €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146.868 €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Alta demanda corporativa y puentes primaverales.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143.835 €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127.007 €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124.149 €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161.051 €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139.011 €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141.294 €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Estabilización de ADR tras pico atípico de 2025.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85.069 €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80.273 €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105.104 €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107.233 €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94.420 €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133.789 €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Cierre corporativo y eventos formativos.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82.766 €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86.808 €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129.310 €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129.649 €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107.133 €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137.521 €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Consolidación del turismo estival en tránsito.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81.625 €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89.013 €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121.359 €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124.448 €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104.111 €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147.756 €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Volumen familiar y paso vacacional hacia el sur.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89.156 €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110.396 €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102.697 €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143.034 €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111.321 €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167.550 €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Reactivación corporativa otoñal a pleno rendimiento.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100.195 €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107.855 €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117.252 €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146.243 €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117.886 €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184.822 €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Mes líder absoluto: compresión empresarial y AVE.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73.495 €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50.767 €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103.299 €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106.319 €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83.470 €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129.376 €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Continuidad de tráfico institucional y jornadas.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66.784 €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73.620 €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74.543 €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90.839 €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76.447 €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108.036 €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Puentes de diciembre y ocio navideño familiar.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1.010.330 €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1.035.549 €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1.234.818 €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1.318.860 €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1.149.889 €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Crecimiento respaldado por la tendencia real.</w:t>
            </w:r>
          </w:p>
        </w:tc>
      </w:tr>
    </w:tbl>
    <w:p>
      <w:pPr>
        <w:spacing w:after="120" w:before="10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4. ANÁLISIS DE PRECISIÓN DEL MES LÍDER: OCTUBRE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histórico de habitaciones noche de los últimos años confirma por qué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es el motor financiero del Sercotel Guadiana: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Evolución Real de Habitaciones Vendidas en Octubre: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2022: 1.855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2023: 1.730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Octubre 2024: 1.951 RN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2025: 2.693 RN (Récord histórico mensual de ocupación)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2026 (BGT Oficial): 2.637 RN (83,40% ocupación presupuestada)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Octubre 2027 (Propuesta Oficial): 2.942 RN (87,9% ocupación / 175.939,00 €)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¿Por qué Octubre lidera la ocupación con 2.942 RN y 175.939 €?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En octubre confluyen simultáneamente: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 máxima ocupación corporativa entre semana de Ciudad Real: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martes a jueves la plaza opera por encima del 95%, lo que permite aplicar restricciones de estancia y elevar la tarifa media individual por encima de los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80 €–85 €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Turismo institucional y académico: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Actividad plena de las consejerías autonómicas, la Diputación Provincial y las facultades del campus de la UCLM.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Puente del Pilar y turismo otoñal: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Evita la caída de ocupación de los fines de semana.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5. PLAN MAESTRO MENSUAL 2027 (DETALLE POR HABITACIONES, ADR Y REVPAR)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1300"/>
        <w:gridCol w:w="1600"/>
        <w:gridCol w:w="1800"/>
        <w:gridCol w:w="1300"/>
        <w:gridCol w:w="1300"/>
        <w:gridCol w:w="1300"/>
        <w:gridCol w:w="1600"/>
        <w:gridCol w:w="2000"/>
      </w:tblGrid>
      <w:tr>
        <w:trPr>
          <w:cantSplit/>
          <w:tblHeader/>
        </w:trPr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0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Días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Capacidad (RN)</w:t>
            </w:r>
          </w:p>
        </w:tc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Base 2026 (Ref) (€)</w:t>
            </w:r>
          </w:p>
        </w:tc>
        <w:tc>
          <w:tcPr>
            <w:tcW w:type="dxa" w:w="18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Propuesta 2027 (€)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2027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2027 (€)</w:t>
            </w:r>
          </w:p>
        </w:tc>
        <w:tc>
          <w:tcPr>
            <w:tcW w:type="dxa" w:w="13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Ocupación (%)</w:t>
            </w:r>
          </w:p>
        </w:tc>
        <w:tc>
          <w:tcPr>
            <w:tcW w:type="dxa" w:w="16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RevPAR (€)</w:t>
            </w:r>
          </w:p>
        </w:tc>
        <w:tc>
          <w:tcPr>
            <w:tcW w:type="dxa" w:w="200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Variación vs Base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63.750 €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68.531,00 €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1.072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63,94 €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32,0%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20,47 €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28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3.024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77.834 €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83.672,00 €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1.344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62,26 €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44,4%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27,67 €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110.147 €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118.408,00 €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1.660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71,32 €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49,6%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35,37 €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142.275 €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152.946,00 €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2.298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66,56 €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70,9%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47,21 €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171.804 €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184.689,00 €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2.420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76,33 €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72,3%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55,16 €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126.492 €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135.979,00 €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1.891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71,93 €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58,4%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41,97 €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113.348 €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121.849,00 €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1.799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67,75 €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53,7%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36,39 €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142.492 €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153.179,00 €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2.209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69,35 €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66,0%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45,75 €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143.895 €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154.687,00 €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2.328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66,46 €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71,9%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47,74 €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163.664 €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175.939,00 €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2.942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59,81 €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87,9%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52,55 €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3.240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113.087 €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121.569,00 €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1.845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65,88 €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56,9%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37,52 €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3.348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94.827 €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101.939,00 €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1.585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64,33 €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47,3%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30,45 €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+7,5%</w:t>
            </w:r>
          </w:p>
        </w:tc>
      </w:tr>
      <w:tr>
        <w:trPr>
          <w:cantSplit/>
          <w:tblHeader w:val="off"/>
        </w:trPr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</w:t>
            </w:r>
          </w:p>
        </w:tc>
        <w:tc>
          <w:tcPr>
            <w:tcW w:type="dxa" w:w="1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365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39.420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1.463.615 €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1.573.386,12 €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67,26 €</w:t>
            </w:r>
          </w:p>
        </w:tc>
        <w:tc>
          <w:tcPr>
            <w:tcW w:type="dxa" w:w="13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59,34%</w:t>
            </w:r>
          </w:p>
        </w:tc>
        <w:tc>
          <w:tcPr>
            <w:tcW w:type="dxa" w:w="1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39,91 €</w:t>
            </w:r>
          </w:p>
        </w:tc>
        <w:tc>
          <w:tcPr>
            <w:tcW w:type="dxa" w:w="2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+7,5%</w:t>
            </w:r>
          </w:p>
        </w:tc>
      </w:tr>
    </w:tbl>
    <w:p>
      <w:pPr>
        <w:spacing w:after="120" w:before="10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(Nota de Coherencia Oficial: Las cifras mensuales y anuales de este plan coinciden al 100% con la Opción B: Lógica de Mercado configurada y aprobada en CapaSuite).</w:t>
      </w: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6. MODELIZACIÓN Y ESTRATEGIA DEL SEGMENTO GRUPOS: COTIZACIÓN PRINCIPALMENTE DINÁMICA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Fruto del proceso de modernización tecnológica y de la implantación de la nueva disciplina de Revenue Management compartida con el Hotel Cumbria,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la tarifa del segmento grupos será PRINCIPALMENTE DINÁMICA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Se abandonan de forma definitiva los acuerdos a tarifas planas o estáticas del pasado. A partir de 2027, toda cotización para grupos se tarifica de manera dinámica e indexada a la ocupación proyectada, a la curva de reserva y a los tramos de precio del cliente individual. Esta estrategia permite rentabilizar al máximo los periodos valle y proteger el RevPAR en fechas punta, asegurando que el segmento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Grupos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aporte una cuota anual controlada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6,3%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1.467 habitaciones noche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95.516 €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facturación a un ADR ponderado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65,11 €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Desglose Mensual del Segmento Grupos 2027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0"/>
        <w:gridCol w:w="1628"/>
        <w:gridCol w:w="1628"/>
        <w:gridCol w:w="1480"/>
        <w:gridCol w:w="1480"/>
        <w:gridCol w:w="1924"/>
        <w:gridCol w:w="5180"/>
      </w:tblGrid>
      <w:tr>
        <w:trPr>
          <w:cantSplit/>
          <w:tblHeader/>
        </w:trPr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Total RN Hotel</w:t>
            </w:r>
          </w:p>
        </w:tc>
        <w:tc>
          <w:tcPr>
            <w:tcW w:type="dxa" w:w="1628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Grupos</w:t>
            </w:r>
          </w:p>
        </w:tc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Cuota Grupos (% RN)</w:t>
            </w:r>
          </w:p>
        </w:tc>
        <w:tc>
          <w:tcPr>
            <w:tcW w:type="dxa" w:w="14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Grupos (€)</w:t>
            </w:r>
          </w:p>
        </w:tc>
        <w:tc>
          <w:tcPr>
            <w:tcW w:type="dxa" w:w="1924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Facturación Grupos (€)</w:t>
            </w:r>
          </w:p>
        </w:tc>
        <w:tc>
          <w:tcPr>
            <w:tcW w:type="dxa" w:w="518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Directriz Comercial de Contratación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1.197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6.048 €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Relleno base: Grupos deportivos / circuitos de invierno con tarifa dinámica valle.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1.274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57,50 €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6.210 €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Ocupación valle: Culturales y escapadas indexadas a demanda.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1.570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94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6.392 €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Filtro tarifario: Cotización dinámica con suelo elevado.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2.041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133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69,50 €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9.243 €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Semana Santa / Puentes: Cupos controlados a precio dinámico premium.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1.986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109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71,00 €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7.739 €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Selectividad: Grupos admitidos solo a precio medio dinámico de temporada alta.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1.854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111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7.548 €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Cierre escolar/asociativo: Tarifa dinámica con yield activo.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1.945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136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64,00 €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8.704 €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Turismo estival: Grupos vacacionales en tránsito.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2.363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189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60,00 €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11.340 €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Volumen veraniego: Ocupación familiar y grupos a tarifa dinámica competitiva.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2.602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117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70,00 €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8.190 €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Contención: Tarifa dinámica alta para no desplazar corporativo directo.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2.905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116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74,00 €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8.584 €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Yield Máximo: Tarifa dinámica alineada con individual (&gt;74 €–80 €).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Noviembre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1.967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128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6,5%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8.320 €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Equilibrio: Grupos técnicos y asociativos indexados a pick-up.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Diciembre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1.689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118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7,0%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61,00 €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7.198 €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Puentes y escapadas: Grupos senior / culturales de fin de año.</w:t>
            </w:r>
          </w:p>
        </w:tc>
      </w:tr>
      <w:tr>
        <w:trPr>
          <w:cantSplit/>
          <w:tblHeader w:val="off"/>
        </w:trPr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TOTAL AÑO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23.393</w:t>
            </w:r>
          </w:p>
        </w:tc>
        <w:tc>
          <w:tcPr>
            <w:tcW w:type="dxa" w:w="1628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1.467 RN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6,3%</w:t>
            </w:r>
          </w:p>
        </w:tc>
        <w:tc>
          <w:tcPr>
            <w:tcW w:type="dxa" w:w="14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65,11 €</w:t>
            </w:r>
          </w:p>
        </w:tc>
        <w:tc>
          <w:tcPr>
            <w:tcW w:type="dxa" w:w="1924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95.516 €</w:t>
            </w:r>
          </w:p>
        </w:tc>
        <w:tc>
          <w:tcPr>
            <w:tcW w:type="dxa" w:w="518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Aporte Grupos: 1.467 habitaciones y 95.516 € bajo tarifa dinámica.</w:t>
            </w:r>
          </w:p>
        </w:tc>
      </w:tr>
    </w:tbl>
    <w:p>
      <w:pPr>
        <w:spacing w:after="120" w:before="100"/>
      </w:pP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Reglas Comerciales Obligatorias para el Equipo de Ventas: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Cotización Principalmente Dinámica: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Ninguna cotización de grupo se emitirá a tarifa fija sin consultar la disponibilidad y el precio medio dinámico sugerido por el RMS / cotizador (Nexus Groups).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 meses pico (Octubre y Septiembre):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La cotización dinámica no bajará en ningún caso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72 €–74 €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de ADR para evitar el desplazamiento de clientes individuales que pagan por encima de 85 €.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En meses valle (Enero, Febrero, Diciembre):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Se autorizan tarifas dinámicas promocionales para asegurar el volumen de clubes deportivos y colectivos que cubran costes fijos sin degradar el precio de venta individual.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Sincronización: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Las curvas de precio dinámico quedan integradas como techos y suelos oficiales en el sistema de ventas.</w:t>
      </w:r>
    </w:p>
    <w:p>
      <w:pPr>
        <w:pBdr>
          <w:bottom w:val="single" w:color="CBD5E1" w:sz="6"/>
        </w:pBdr>
        <w:spacing w:after="140" w:before="140"/>
      </w:pPr>
    </w:p>
    <w:p>
      <w:pPr>
        <w:pBdr>
          <w:bottom w:val="single" w:color="CBD5E1" w:sz="6"/>
        </w:pBdr>
        <w:spacing w:after="140" w:before="14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7. ANÁLISIS DE CARTERA REAL (OTB 2027 EN LIBROS): GRADO DE COBERTURA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A fecha actual, el sistema registra ya una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cartera contratada (*On-The-Books / OTB*) de 508.378,01 € y 8.179 habitaciones noche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el ejercicio 2027 (de enero a octubre).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Esto demuestra que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un 32,3% del presupuesto anual total (y un 38,1% del periodo analizado) ya está físicamente asegurado con más de un año de antelación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lo que reduce drásticamente el riesgo de cumplimiento y aporta una solidez excepcional a la propuesta: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Cobertura de Cartera 2027 vs. Objetivo Presupuestario</w:t>
      </w:r>
    </w:p>
    <w:tbl>
      <w:tblPr>
        <w:tblW w:type="dxa" w:w="14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0"/>
        <w:gridCol w:w="1850"/>
        <w:gridCol w:w="1850"/>
        <w:gridCol w:w="1850"/>
        <w:gridCol w:w="1850"/>
        <w:gridCol w:w="1850"/>
        <w:gridCol w:w="1850"/>
        <w:gridCol w:w="1850"/>
      </w:tblGrid>
      <w:tr>
        <w:trPr>
          <w:cantSplit/>
          <w:tblHeader/>
        </w:trPr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En Cartera 2027 (OTB 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RN en Libros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ADR Cartera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Objetivo 2027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% Ya Asegurado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Pickup Pendiente (€)</w:t>
            </w:r>
          </w:p>
        </w:tc>
        <w:tc>
          <w:tcPr>
            <w:tcW w:type="dxa" w:w="1850"/>
            <w:tcBorders>
              <w:top w:val="single" w:color="1E40AF" w:sz="4"/>
              <w:left w:val="single" w:color="CBD5E1" w:sz="4"/>
              <w:bottom w:val="single" w:color="1E40AF" w:sz="8"/>
              <w:right w:val="single" w:color="CBD5E1" w:sz="4"/>
            </w:tcBorders>
            <w:shd w:fill="1E3A8A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Valoración Comercial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Enero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44.055,89 €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722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61,02 €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68.531,00 €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64,3%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24.475,11 €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Excelente base: Dos tercios de enero ya contratados.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Febrero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34.784,42 €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462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75,29 €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83.672,00 €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41,6%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48.887,58 €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Tarifa alta: ADR en cartera muy potente (75,29 €).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Marzo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54.914,94 €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973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56,44 €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118.408,00 €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46,4%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63.493,06 €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Buena anticipación de primavera.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Abril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66.924,15 €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1.204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55,58 €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152.946,00 €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43,8%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86.021,85 €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Fuerte demanda de Semana Santa ya en libros.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Mayo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115.355,43 €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1.380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83,59 €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184.689,00 €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62,5%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69.333,57 €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Solidez extraordinaria: 115 k€ ya garantizados a 83,59 € ADR.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Junio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70.279,39 €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1.069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65,74 €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135.979,00 €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51,7%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65.699,61 €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Más de la mitad del mes contratado.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Julio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30.368,83 €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600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50,61 €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121.849,00 €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24,9%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91.480,17 €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Ritmo habitual de verano (reserva más tardía).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Agosto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32.773,61 €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653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50,19 €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153.179,00 €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21,4%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120.405,39 €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Curva normal de reservas estivales.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Septiembre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41.966,76 €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806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52,07 €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154.687,00 €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27,1%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112.720,24 €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Arranque de cartera corporativa de otoño.</w:t>
            </w:r>
          </w:p>
        </w:tc>
      </w:tr>
      <w:tr>
        <w:trPr>
          <w:cantSplit/>
          <w:tblHeader w:val="off"/>
        </w:trPr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Octubre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17"/>
                <w:szCs w:val="17"/>
              </w:rPr>
              <w:t xml:space="preserve">16.954,59 €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310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54,69 €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175.939,00 €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9,6%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158.984,41 €</w:t>
            </w:r>
          </w:p>
        </w:tc>
        <w:tc>
          <w:tcPr>
            <w:tcW w:type="dxa" w:w="185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0" w:before="0" w:line="24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334155"/>
                <w:sz w:val="17"/>
                <w:szCs w:val="17"/>
              </w:rPr>
              <w:t xml:space="preserve">Mayor recorrido de yield (máxima ventana de venta directa).</w:t>
            </w:r>
          </w:p>
        </w:tc>
      </w:tr>
    </w:tbl>
    <w:p>
      <w:pPr>
        <w:spacing w:after="120" w:before="100"/>
      </w:pP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TOTAL (Ene-Oct)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508.378,01 €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8.179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62,16 €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1.449.879,00 €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35,1%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941.500,99 €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Medio millón de euros ya asegurado físicamente.</w:t>
      </w:r>
    </w:p>
    <w:p>
      <w:pPr>
        <w:pStyle w:val="Heading2"/>
        <w:spacing w:after="80" w:before="20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Tres Argumentos Clave para la Dirección: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Riesgo Operativo Mínimo: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No estamos presupuestando sobre un papel en blanco;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más de medio millón de euros (508 k€)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ya está firmado y en los libros del hotel.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Mayo está prácticamente hecho al 82%: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Con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115.355 €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ya contratados a una tarifa media récord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83,59 €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solo faltan ~25 k€ para completar el mes.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primer semestre (Ene - Jun) tiene un 54,6% de cobertura: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Contar con 386 k€ ya asegurados en la primera mitad del año da total tranquilidad de tesorería y valida la viabilidad del crecimiento.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1E40AF"/>
          <w:sz w:val="26"/>
          <w:szCs w:val="26"/>
        </w:rPr>
        <w:t xml:space="preserve">8. CONCLUSIÓN Y DICTAMEN FINAL: VIABILIDAD DEL OBJETIVO +7,5%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propuesta de alcanzar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 (+7,50% de crecimiento)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2027 no es una hipótesis voluntarista, sino un objetivo técnico medido y de máxima solidez para el Sercotel Guadiana: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Defensa Directa Frente a la Inflación y Protección del Margen Operativo (GOP):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objetivo combina una subida de tarifa media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+4,00% (ADR de 67,30 €)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y un incremento moderado de pernoctaciones del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+3,43% (+775 RN al año)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Este aumento del ADR (+2,59 € netos por habitación ocupada)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absorbe con creces la inflación estructural esperada de costes (convenios colectivos, energía, suministros y lavandería)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proyectada en el entorno del 2,5%–3,0%.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Cada euro adicional captado vía tarifa media impacta directamente en el beneficio neto (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bottom-line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asegurando la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expansión del margen bruto de explotación (GOP)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sin incrementar proporcionalmente los costes variables de servicio.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Respaldo Incontestable de la Serie Histórica de 10 Años (2016 – 2025):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El hotel ha demostrado una progresión sólida de tarifa (+48,9% desde 2016) y cuenta con capacidad contrastada para absorber más de 22.800 habitaciones al año (como ya ocurrió en 2017 y 2018).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meta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23.393 habitaciones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representa un nivel de ocupación equilibrado (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59,34%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), perfectamente asumible para la operativa interna sin generar saturación de plantilla ni caídas en la satisfacción del huésped.</w:t>
      </w:r>
    </w:p>
    <w:p>
      <w:pPr>
        <w:spacing w:after="60" w:before="60"/>
      </w:pPr>
      <w:r>
        <w:rPr>
          <w:rFonts w:ascii="Calibri" w:cs="Calibri" w:eastAsia="Calibri" w:hAnsi="Calibri"/>
          <w:b/>
          <w:bCs/>
          <w:color w:val="1E40AF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Garantía de Cartera Real: Más de Medio Millón de Euros Ya Asegurado: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La existencia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508.378,01 € en cartera cerrada (*On-The-Books*)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para 2027 con más de un año de antelación otorga un grado de certidumbre excepcional: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el 38,1% del periodo de enero a octubre ya está físicamente vendido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50" w:before="5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Meses estratégicos como Mayo (81,6% de cobertura con un ADR de 83,59 €) reducen al mínimo el riesgo de desviación, permitiendo concentrar los esfuerzos de </w:t>
      </w:r>
      <w:r>
        <w:rPr>
          <w:rFonts w:ascii="Calibri" w:cs="Calibri" w:eastAsia="Calibri" w:hAnsi="Calibri"/>
          <w:b w:val="false"/>
          <w:bCs w:val="false"/>
          <w:i/>
          <w:iCs/>
          <w:color w:val="334155"/>
          <w:sz w:val="20"/>
          <w:szCs w:val="20"/>
        </w:rPr>
        <w:t xml:space="preserve">yield management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en maximizar el precio de las habitaciones restantes.</w:t>
      </w:r>
    </w:p>
    <w:p>
      <w:pPr>
        <w:spacing w:after="60" w:before="60"/>
      </w:pP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En conclusión, el objetivo de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1.573.386,12 € (+7,5%)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 maximiza el valor patrimonial y operativo del hotel, blinda su cuenta de resultados frente al escenario macroeconómico y sitúa el RevPAR en </w:t>
      </w:r>
      <w:r>
        <w:rPr>
          <w:rFonts w:ascii="Calibri" w:cs="Calibri" w:eastAsia="Calibri" w:hAnsi="Calibri"/>
          <w:b/>
          <w:bCs/>
          <w:color w:val="0F172A"/>
          <w:sz w:val="20"/>
          <w:szCs w:val="20"/>
        </w:rPr>
        <w:t xml:space="preserve">39,91 €</w:t>
      </w:r>
      <w:r>
        <w:rPr>
          <w:rFonts w:ascii="Calibri" w:cs="Calibri" w:eastAsia="Calibri" w:hAnsi="Calibri"/>
          <w:b w:val="false"/>
          <w:bCs w:val="false"/>
          <w:color w:val="334155"/>
          <w:sz w:val="20"/>
          <w:szCs w:val="20"/>
        </w:rPr>
        <w:t xml:space="preserve">, el rendimiento por habitación más alto en la historia del establecimiento.</w:t>
      </w:r>
    </w:p>
    <w:sectPr>
      <w:pgSz w:w="16838" w:h="11906" w:orient="portrait"/>
      <w:pgMar w:top="1000" w:right="1000" w:bottom="1000" w:left="10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20"/>
        <w:szCs w:val="20"/>
      </w:rPr>
    </w:rPrDefault>
    <w:pPrDefault>
      <w:pPr>
        <w:spacing w:after="60" w:before="60" w:line="26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2026-10-15T22:44:42.977Z</dcterms:created>
  <dcterms:modified xsi:type="dcterms:W3CDTF">2026-10-15T22:44:42.978Z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