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2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PROPUESTA Y JUSTIFICACIÓN DEL PRESUPUESTO OFICIAL 2027: OBJETIVO +7,5%</w:t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Departamento de Revenue Management y Dirección Comercial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Hotel: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Hotel Cumbria (Ciudad Real – 59 habitaciones / 21.535 RN disponibles)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Fecha: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Octubre 2026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Documento: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Informe Ejecutivo y Memoria Técnica de Justificación Presupuestaria 2027</w:t>
      </w:r>
    </w:p>
    <w:p>
      <w:pPr>
        <w:pBdr>
          <w:bottom w:val="single" w:color="CBD5E1" w:sz="6"/>
        </w:pBdr>
        <w:spacing w:after="140" w:before="14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1. RESUMEN EJECUTIVO Y OBJETIVOS CLAVE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Tras auditar la producción real consolidada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2025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(1.092.750 € en alojamiento), el Presupuesto Oficial Aprobado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2026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(1.196.000 €) y el ritmo de demanda en el corredor empresarial de Ciudad Real, presento formalmente la propuesta de presupuesto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Alojamiento (Room Revenue) para el ejercicio 2027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El objetivo central se establece en un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crecimiento del +7,50%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sobre la base del Presupuesto 2026, fijando la meta presupuestaria de Alojamiento en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1.285.700,00 €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(+89.700 € de incremento neto anual). Frente a la producción real de 2025, esta meta consolida un incremento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+17,66%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(+192.950 €).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Cuadro Resumen de Indicadores Clave (KPIs)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220"/>
        <w:gridCol w:w="2220"/>
        <w:gridCol w:w="2220"/>
        <w:gridCol w:w="2220"/>
        <w:gridCol w:w="2220"/>
      </w:tblGrid>
      <w:tr>
        <w:trPr>
          <w:cantSplit/>
          <w:tblHeader/>
        </w:trPr>
        <w:tc>
          <w:tcPr>
            <w:tcW w:type="dxa" w:w="370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22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Real 2025 Consolidado</w:t>
            </w:r>
          </w:p>
        </w:tc>
        <w:tc>
          <w:tcPr>
            <w:tcW w:type="dxa" w:w="222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Presupuesto 2026 Oficial</w:t>
            </w:r>
          </w:p>
        </w:tc>
        <w:tc>
          <w:tcPr>
            <w:tcW w:type="dxa" w:w="222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Propuesta 2027 (+7,5%)</w:t>
            </w:r>
          </w:p>
        </w:tc>
        <w:tc>
          <w:tcPr>
            <w:tcW w:type="dxa" w:w="222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Variación vs 2026</w:t>
            </w:r>
          </w:p>
        </w:tc>
        <w:tc>
          <w:tcPr>
            <w:tcW w:type="dxa" w:w="222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Variación vs Real 2025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Room Revenue (€)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1.092.750 €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1.196.000 €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1.285.700,00 €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+7,50% (+89.700 €)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+17,66% (+192.950 €)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Habitaciones Noche (RN)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14.773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14.769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15.264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+3,35% (+495 RN)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+3,32% (+491 RN)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Tarifa Media Diaria (ADR)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73,97 €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80,98 €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84,23 €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+4,01% (+3,25 €)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+13,87% (+10,26 €)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Ocupación Media (%)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68,60%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68,58%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70,88%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+2,30 p.p.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+2,28 p.p.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RevPAR Estimado (€)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50,74 €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55,54 €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59,70 €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+7,49% (+4,16 €)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+17,66% (+8,96 €)</w:t>
            </w:r>
          </w:p>
        </w:tc>
      </w:tr>
    </w:tbl>
    <w:p>
      <w:pPr>
        <w:spacing w:after="120" w:before="10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0"/>
          <w:szCs w:val="20"/>
        </w:rPr>
        <w:t xml:space="preserve">(Base de inventario: 59 habitaciones = 21.535 habitaciones disponibles al año).</w:t>
      </w:r>
    </w:p>
    <w:p>
      <w:pPr>
        <w:pBdr>
          <w:bottom w:val="single" w:color="CBD5E1" w:sz="6"/>
        </w:pBdr>
        <w:spacing w:after="140" w:before="14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2. PILARES ESTRATÉGICOS DE LA PROPUESTA (+7,5%)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A diferencia de hoteles de mayor capacidad, 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Hotel Cumbria (59 habitaciones)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cuenta con un perfil boutique-corporativo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alta ocupación estructural (~68%–71%)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. Por tanto, la estrategia para alcanzar los 1,28 M€ no consiste en forzar volumen, sino en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optimización de tarifa y selección de cliente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Expansión del ADR (+4,01% / +3,25 € hasta los 84,23 €):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El Cumbria tiene el ADR más elevado de su segmento en la plaza. Esta subida selectiva permite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absorber holgadamente la inflación estructural de costes operativos (energía, salarios, suministros)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, estimada en el 2,5%–3,0%.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Cada euro adicional de ADR impacta directamente en el margen bruto de explotación (GOP), maximizando el beneficio sin aumentar los costes fijos ni variables de pisos.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Crecimiento de Volumen Muy Moderado (+495 RN al año):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Pasar del 68,58% al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70,88% de ocupación anual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exige comercializar únicamente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1,36 habitaciones adicionales al día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a lo largo de los 365 días del año.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La operativa interna trabaja con máxima fluidez y un estándar de servicio impecable.</w:t>
      </w:r>
    </w:p>
    <w:p>
      <w:pPr>
        <w:pBdr>
          <w:bottom w:val="single" w:color="CBD5E1" w:sz="6"/>
        </w:pBdr>
        <w:spacing w:after="140" w:before="14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3. PLAN PRESUPUESTARIO MENSUAL DETALLADO 2027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Distribución mensual propuesta para 2027 y su comparativa frente a la base del Presupuesto 2026: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300"/>
        <w:gridCol w:w="1600"/>
        <w:gridCol w:w="1800"/>
        <w:gridCol w:w="1300"/>
        <w:gridCol w:w="1300"/>
        <w:gridCol w:w="1300"/>
        <w:gridCol w:w="1600"/>
        <w:gridCol w:w="2000"/>
      </w:tblGrid>
      <w:tr>
        <w:trPr>
          <w:cantSplit/>
          <w:tblHeader/>
        </w:trPr>
        <w:tc>
          <w:tcPr>
            <w:tcW w:type="dxa" w:w="160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</w:t>
            </w:r>
          </w:p>
        </w:tc>
        <w:tc>
          <w:tcPr>
            <w:tcW w:type="dxa" w:w="100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Días</w:t>
            </w:r>
          </w:p>
        </w:tc>
        <w:tc>
          <w:tcPr>
            <w:tcW w:type="dxa" w:w="130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Capacidad (RN)</w:t>
            </w:r>
          </w:p>
        </w:tc>
        <w:tc>
          <w:tcPr>
            <w:tcW w:type="dxa" w:w="160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BGT 2026 (€)</w:t>
            </w:r>
          </w:p>
        </w:tc>
        <w:tc>
          <w:tcPr>
            <w:tcW w:type="dxa" w:w="180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Propuesta 2027 (€)</w:t>
            </w:r>
          </w:p>
        </w:tc>
        <w:tc>
          <w:tcPr>
            <w:tcW w:type="dxa" w:w="130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RN 2027</w:t>
            </w:r>
          </w:p>
        </w:tc>
        <w:tc>
          <w:tcPr>
            <w:tcW w:type="dxa" w:w="130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ADR 2027 (€)</w:t>
            </w:r>
          </w:p>
        </w:tc>
        <w:tc>
          <w:tcPr>
            <w:tcW w:type="dxa" w:w="130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Ocupación (%)</w:t>
            </w:r>
          </w:p>
        </w:tc>
        <w:tc>
          <w:tcPr>
            <w:tcW w:type="dxa" w:w="160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RevPAR (€)</w:t>
            </w:r>
          </w:p>
        </w:tc>
        <w:tc>
          <w:tcPr>
            <w:tcW w:type="dxa" w:w="200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Variación vs 2026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Enero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1.829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66.000 €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70.950,00 €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975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72,80 €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53,3%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38,79 €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+7,50%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Febrero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28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1.652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69.000 €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74.175,00 €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1.019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72,80 €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61,7%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44,90 €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+7,50%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Marzo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1.829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81.000 €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87.075,00 €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1.116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78,00 €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61,0%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47,61 €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+7,50%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Abril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30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1.770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101.000 €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108.575,00 €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1.338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81,12 €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75,6%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61,34 €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+7,50%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Mayo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1.829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118.000 €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126.850,00 €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1.402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90,48 €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76,7%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69,35 €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+7,50%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Junio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30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1.770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108.000 €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116.100,00 €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1.345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86,32 €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76,0%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65,59 €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+7,50%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Julio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1.829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126.000 €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135.450,00 €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1.431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94,64 €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78,2%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74,06 €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+7,50%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Agosto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1.829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118.000 €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126.850,00 €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1.402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90,48 €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76,7%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69,35 €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+7,50%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Septiembre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30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1.770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116.000 €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124.700,00 €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1.394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89,44 €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78,8%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70,45 €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+7,50%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Octubre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1.829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111.000 €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119.325,00 €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1.416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84,24 €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77,4%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65,24 €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+7,50%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Noviembre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30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1.770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96.000 €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103.200,00 €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1.272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81,12 €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71,9%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58,31 €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+7,50%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Diciembre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1.829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86.000 €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92.450,00 €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1.154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80,08 €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63,1%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50,55 €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+7,50%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365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21.535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1.196.000 €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1.285.700,00 €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15.264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84,23 €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70,88%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59,70 €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+7,50%</w:t>
            </w:r>
          </w:p>
        </w:tc>
      </w:tr>
    </w:tbl>
    <w:p>
      <w:pPr>
        <w:spacing w:after="120" w:before="100"/>
      </w:pPr>
    </w:p>
    <w:p>
      <w:pPr>
        <w:pBdr>
          <w:bottom w:val="single" w:color="CBD5E1" w:sz="6"/>
        </w:pBdr>
        <w:spacing w:after="140" w:before="14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4. ANÁLISIS DE ESTACIONALIDAD: JULIO Y MAYO COMO PICOS DE RENTABILIDAD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A diferencia de otros establecimientos de Ciudad Real más dependientes exclusivamente del corporativo de otoño, el Hotel Cumbria presenta una estacionalidad más homogénea con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fuertes picos en primavera y verano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Julio (Mes Récord de Facturación y Tarifa):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135.450,00 €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con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94,64 € de ADR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y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78,2% de ocupación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. Tráfico vacacional de calidad, parejas y escapadas de alto valor.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Mayo y Agosto: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Facturaciones superiores a los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126.850 €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con ADR sostenido por encima de los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90 €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Septiembre y Octubre: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Pleno rendimiento corporativo con ocupaciones estables en torno al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77%–79%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y ADR rozando los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85 €–90 €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.</w:t>
      </w:r>
    </w:p>
    <w:p>
      <w:pPr>
        <w:pBdr>
          <w:bottom w:val="single" w:color="CBD5E1" w:sz="6"/>
        </w:pBdr>
        <w:spacing w:after="140" w:before="14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5. PLAN MENSUAL Y ESTRATEGIA COMERCIAL DEL SEGMENTO GRUPOS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Dada la capacidad reducida del Cumbria (59 habitaciones), la presencia de grupos debe ser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estrictamente controlada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para evitar el bloqueo masivo del inventario. La cuota asignada al segmento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Grupos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se modela en un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5,0% de las habitaciones noche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(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764 RN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y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58.740 €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de facturación anual):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5.1. Distribución Mensual del Segmento Grupos 2027 (Hotel Cumbria)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0"/>
        <w:gridCol w:w="1628"/>
        <w:gridCol w:w="1628"/>
        <w:gridCol w:w="1480"/>
        <w:gridCol w:w="1480"/>
        <w:gridCol w:w="1924"/>
        <w:gridCol w:w="5180"/>
      </w:tblGrid>
      <w:tr>
        <w:trPr>
          <w:cantSplit/>
          <w:tblHeader/>
        </w:trPr>
        <w:tc>
          <w:tcPr>
            <w:tcW w:type="dxa" w:w="148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</w:t>
            </w:r>
          </w:p>
        </w:tc>
        <w:tc>
          <w:tcPr>
            <w:tcW w:type="dxa" w:w="1628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RN Hotel</w:t>
            </w:r>
          </w:p>
        </w:tc>
        <w:tc>
          <w:tcPr>
            <w:tcW w:type="dxa" w:w="1628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RN Grupos</w:t>
            </w:r>
          </w:p>
        </w:tc>
        <w:tc>
          <w:tcPr>
            <w:tcW w:type="dxa" w:w="148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Cuota Grupos (% RN)</w:t>
            </w:r>
          </w:p>
        </w:tc>
        <w:tc>
          <w:tcPr>
            <w:tcW w:type="dxa" w:w="148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ADR Grupos (€)</w:t>
            </w:r>
          </w:p>
        </w:tc>
        <w:tc>
          <w:tcPr>
            <w:tcW w:type="dxa" w:w="1924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Facturación Grupos (€)</w:t>
            </w:r>
          </w:p>
        </w:tc>
        <w:tc>
          <w:tcPr>
            <w:tcW w:type="dxa" w:w="518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Directriz Comercial de Contratación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Enero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975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68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7,0%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66,00 €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4.488 €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Base de invierno: Grupos deportivos reducidos / paso.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Febrero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1.019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71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7,0%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66,00 €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4.686 €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Ocupación valle: Fines de semana culturales / enoturismo.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Marzo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1.116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67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6,0%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72,00 €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4.824 €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Filtro primaveral: Solo grupos selectos.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Abril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1.338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67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5,0%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76,00 €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5.092 €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Semana Santa: Cupo muy reducido a tarifa alta.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Mayo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1.402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56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4,0%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84,00 €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4.704 €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Máxima contención: Solo grupos premium (máx 6-8 hab/noche).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Junio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1.345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67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5,0%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79,00 €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5.293 €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Fin de temporada: Empresas e incentivos.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Julio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1.431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57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4,0%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88,00 €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5.016 €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Pico Estival: Prioridad absoluta a cliente individual.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Agosto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1.402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70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5,0%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82,00 €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5.740 €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Tránsito selectivo: Pequeños grupos familiares de paso.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Septiembre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1.394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56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4,0%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82,00 €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4.592 €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Corporativo: No desplazar empresas individuales.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Octubre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1.416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57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4,0%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78,00 €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4.446 €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Otoño de trabajo: Cupo mínimo.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Noviembre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1.272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76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6,0%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74,00 €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5.624 €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Jornadas y reuniones: Grupos técnicos reducidos.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Diciembre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1.154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82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7,0%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64,00 €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5.248 €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Puentes y fiestas: Grupos vacacionales y de escapada.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TOTAL AÑO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15.264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764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5,0%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76,88 €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58.740 €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Aporte Grupos: 764 habitaciones y 58.740 €</w:t>
            </w:r>
          </w:p>
        </w:tc>
      </w:tr>
    </w:tbl>
    <w:p>
      <w:pPr>
        <w:spacing w:after="120" w:before="10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5.2. Directrices Operativas de Contratación: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Cupo Máximo Innegociable: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Ningún grupo podrá ocupar más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8 habitaciones por noche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(un 13,5% del hotel), protegiendo siempre las 51 habitaciones restantes para venta individual a tarifa completa.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Suelos Tarifarios de Temporada Alta (Mayo a Septiembre):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El ADR de cualquier grupo cotizado no bajará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80 €–88 €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Optimización en Temporada Baja: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En enero y febrero se autorizan tarifas negociadas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66 €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para captar grupos de fin de semana que complementen el corporativo entre semana.</w:t>
      </w:r>
    </w:p>
    <w:p>
      <w:pPr>
        <w:pBdr>
          <w:bottom w:val="single" w:color="CBD5E1" w:sz="6"/>
        </w:pBdr>
        <w:spacing w:after="140" w:before="14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6. CONCLUSIÓN Y DICTAMEN FINAL: VIABILIDAD DEL OBJETIVO +7,5%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La propuesta de alcanzar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1.285.700,00 € (+7,50% de crecimiento)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en 2027 para el Hotel Cumbria representa un objetivo de máxima rentabilidad y rigor operativo: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Defensa Directa Frente a la Inflación y Expansión del Margen Operativo (GOP):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El incremento del ADR 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84,23 € (+4,01% / +3,25 €)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compensa íntegramente la subida prevista de costes energéticos, salarios y suministros (estimada en el 2,5%–3,0%).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Al lograrse casi la totalidad del crecimiento vía tarifa sobre un hotel de alta ocupación (70,88%), el impacto en el margen neto de explotación (</w:t>
      </w: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0"/>
          <w:szCs w:val="20"/>
        </w:rPr>
        <w:t xml:space="preserve">GOP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) es directo y limpio.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Crecimiento Físico Mínimo y Sostenible: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Solo requiere captar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+1,36 habitaciones adicionales al día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sobre el presupuesto actual. No satura al equipo de trabajo y garantiza mantener las mejores valoraciones de servicio del hotel.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Récord Histórico de RevPAR: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Sitúa el RevPAR en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59,70 €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(+4,16 € por habitación disponible frente a 2026 y +8,96 € frente a 2025), consolidando al Cumbria como el hotel líder en rendimiento por metro cuadrado de habitación en la plaza de Ciudad Real.</w:t>
      </w:r>
    </w:p>
    <w:sectPr>
      <w:pgSz w:w="16838" w:h="11906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>
      <w:pPr>
        <w:spacing w:after="60" w:before="60" w:line="2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2026-10-15T21:18:23.527Z</dcterms:created>
  <dcterms:modified xsi:type="dcterms:W3CDTF">2026-10-15T21:18:23.527Z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