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PROPUESTA Y JUSTIFICACIÓN DEL PRESUPUESTO OFICIAL 2027: OBJETIVO +7,5%</w:t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Departamento de Revenue Management y Dirección Comercial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Hotel: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Sercotel Guadiana (Ciudad Real – 108 habitaciones / 39.420 RN disponibles)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Fecha: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Octubre 2026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Documento: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Informe Ejecutivo y Memoria Técnica de Justificación Presupuestaria 2027</w:t>
      </w:r>
    </w:p>
    <w:p>
      <w:pPr>
        <w:pBdr>
          <w:bottom w:val="single" w:color="CBD5E1" w:sz="6"/>
        </w:pBdr>
        <w:spacing w:after="140" w:before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1. RESUMEN EJECUTIVO Y OBJETIVOS CLAVE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Tras auditar la serie histórica consolidada de producción real del hotel (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2016 – 2025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), el Presupuesto Oficial Aprobado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2026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(1.395.014 €) y el ritmo de cierre acumulado (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pace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de demanda del ejercicio en curso), presento formalmente la propuesta de presupuesto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Alojamiento (Room Revenue) para el ejercicio 2027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El objetivo central se establece en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crecimiento de ingresos del +7,50%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respecto a la base de cierre del ejercicio actual, fijando la meta presupuestaria de Alojamiento en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1.573.386,12 €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(+109.771 € de incremento neto). Esta meta consolida la senda de crecimiento demostrada por el hotel y aplica una gestión tarifaria selectiva por estacionalidad.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Cuadro Resumen de Indicadores Clave (KPIs)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220"/>
        <w:gridCol w:w="2220"/>
        <w:gridCol w:w="2220"/>
        <w:gridCol w:w="2220"/>
        <w:gridCol w:w="2220"/>
      </w:tblGrid>
      <w:tr>
        <w:trPr>
          <w:cantSplit/>
          <w:tblHeader/>
        </w:trPr>
        <w:tc>
          <w:tcPr>
            <w:tcW w:type="dxa" w:w="37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22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Presupuesto 2026 Oficial</w:t>
            </w:r>
          </w:p>
        </w:tc>
        <w:tc>
          <w:tcPr>
            <w:tcW w:type="dxa" w:w="222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Cierre Estimado 2026</w:t>
            </w:r>
          </w:p>
        </w:tc>
        <w:tc>
          <w:tcPr>
            <w:tcW w:type="dxa" w:w="222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Propuesta 2027</w:t>
            </w:r>
          </w:p>
        </w:tc>
        <w:tc>
          <w:tcPr>
            <w:tcW w:type="dxa" w:w="222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Variación vs BGT 2026</w:t>
            </w:r>
          </w:p>
        </w:tc>
        <w:tc>
          <w:tcPr>
            <w:tcW w:type="dxa" w:w="222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Variación vs Cierre Est.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Room Revenue (€)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1.395.014 €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1.463.615 €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1.573.386,12 €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+12,79% (+178.372 €)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+7,50% (+109.771 €)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Habitaciones Noche (RN)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21.240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22.618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23.393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+10,14% (+2.153 RN)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+3,43% (+775 RN)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Tarifa Media Diaria (ADR)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65,68 €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64,71 €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67,30 €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+2,47% (+1,62 €)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+4,00% (+2,59 €)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Ocupación Media (%)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56,96%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57,38%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59,34%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+2,38 p.p.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+1,96 p.p.</w:t>
            </w:r>
          </w:p>
        </w:tc>
      </w:tr>
      <w:tr>
        <w:trPr>
          <w:cantSplit/>
          <w:tblHeader w:val="off"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RevPAR Estimado (€)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37,47 €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37,13 €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39,91 €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+6,51%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+7,50%</w:t>
            </w:r>
          </w:p>
        </w:tc>
      </w:tr>
    </w:tbl>
    <w:p>
      <w:pPr>
        <w:spacing w:after="120" w:before="100"/>
      </w:pPr>
    </w:p>
    <w:p>
      <w:pPr>
        <w:pBdr>
          <w:bottom w:val="single" w:color="CBD5E1" w:sz="6"/>
        </w:pBdr>
        <w:spacing w:after="140" w:before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2. AUDITORÍA HISTÓRICA MULTIANUAL (2016 – 2025): EVIDENCIA DEL CRECIMIENTO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Para justificar con solvencia los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1,57 M€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ante la Dirección, no nos basamos en una proyección aislada, sino en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curva real de transformación del hotel durante la última década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Los datos de producción real extraídos de nuestro histórico muestran una aceleración sostenida tanto en ingresos como en poder de fijación de precio (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pricing power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):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Serie Histórica Consolidada 2016 – 2025 (Exclusivo Alojamiento)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"/>
        <w:gridCol w:w="2220"/>
        <w:gridCol w:w="1776"/>
        <w:gridCol w:w="1628"/>
        <w:gridCol w:w="1628"/>
        <w:gridCol w:w="1628"/>
        <w:gridCol w:w="4440"/>
      </w:tblGrid>
      <w:tr>
        <w:trPr>
          <w:cantSplit/>
          <w:tblHeader/>
        </w:trPr>
        <w:tc>
          <w:tcPr>
            <w:tcW w:type="dxa" w:w="148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Ejercicio</w:t>
            </w:r>
          </w:p>
        </w:tc>
        <w:tc>
          <w:tcPr>
            <w:tcW w:type="dxa" w:w="222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Room Revenue (€)</w:t>
            </w:r>
          </w:p>
        </w:tc>
        <w:tc>
          <w:tcPr>
            <w:tcW w:type="dxa" w:w="1776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Habitaciones (RN)</w:t>
            </w:r>
          </w:p>
        </w:tc>
        <w:tc>
          <w:tcPr>
            <w:tcW w:type="dxa" w:w="1628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ADR (€)</w:t>
            </w:r>
          </w:p>
        </w:tc>
        <w:tc>
          <w:tcPr>
            <w:tcW w:type="dxa" w:w="1628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Ocupación (%)</w:t>
            </w:r>
          </w:p>
        </w:tc>
        <w:tc>
          <w:tcPr>
            <w:tcW w:type="dxa" w:w="1628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RevPAR (€)</w:t>
            </w:r>
          </w:p>
        </w:tc>
        <w:tc>
          <w:tcPr>
            <w:tcW w:type="dxa" w:w="444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Contexto de Mercado (Alojamiento)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2016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899.135 €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21.346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42,12 €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54,1%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22,81 €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Etapa base tarifaria baja.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2017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1.032.432 €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22.607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45,67 €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57,3%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26,19 €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Primer umbral del millón de euros en habitaciones.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2018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1.058.646 €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22.822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46,39 €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57,9%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26,86 €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Estabilidad de volumen pre-pandemia.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2019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1.047.019 €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20.200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51,83 €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51,2%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26,56 €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Salto inicial de ADR (&gt;50 €).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2020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517.991 €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10.161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50,98 €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25,8%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13,14 €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Ejercicio COVID-19.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2021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915.712 €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18.345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49,92 €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46,5%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23,23 €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Recuperación gradual de pernoctaciones.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2022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1.010.330 €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18.236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55,40 €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46,3%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25,63 €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Consolidación de tarifa post-pandemia.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2023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1.035.549 €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17.627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58,75 €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44,7%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26,27 €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Reposicionamiento hacia cliente corporativo directo.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2024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1.234.818 €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20.765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59,47 €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52,7%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31,32 €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Fuerte expansión de demanda (+19,2% en Room Rev).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2025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1.318.860 €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21.031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62,71 €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53,4%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33,46 €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Récord histórico consolidado de habitaciones.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2026 (Est.)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1.463.615 €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22.618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64,71 €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57,4%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37,13 €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Cierre proyectado en curso.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2027 (Prop.)</w:t>
            </w:r>
          </w:p>
        </w:tc>
        <w:tc>
          <w:tcPr>
            <w:tcW w:type="dxa" w:w="22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1.573.386 €</w:t>
            </w:r>
          </w:p>
        </w:tc>
        <w:tc>
          <w:tcPr>
            <w:tcW w:type="dxa" w:w="1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23.393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67,30 €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59,3%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39,91 €</w:t>
            </w:r>
          </w:p>
        </w:tc>
        <w:tc>
          <w:tcPr>
            <w:tcW w:type="dxa" w:w="4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Objetivo Presupuestario de Habitaciones.</w:t>
            </w:r>
          </w:p>
        </w:tc>
      </w:tr>
    </w:tbl>
    <w:p>
      <w:pPr>
        <w:spacing w:after="120" w:before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Conclusiones Clave de la Serie Histórica de Alojamiento: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El ADR de alojamiento se ha incrementado un +48,9% desde 2016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(pasando de 42,12 € a 62,71 € en 2025 y 64,71 € en 2026). El objetivo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67,30 €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para 2027 representa una subida moderada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+2,59 € (+4,0%)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, perfectamente alineada con la progresión del hotel.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El hotel ya demostró capacidad física de absorber más de 22.800 habitaciones al año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(22.822 RN en 2018 y 22.607 RN en 2017). Comercializar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23.393 RN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en 2027 supone recuperar ese volumen histórico de pernoctaciones pero capturando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+21 € más de tarifa por habitación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que en 2018.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El RevPAR crece de forma constante hasta los 39,91 €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, garantizando la máxima rentabilidad por habitación disponible de la historia del establecimiento.</w:t>
      </w:r>
    </w:p>
    <w:p>
      <w:pPr>
        <w:pBdr>
          <w:bottom w:val="single" w:color="CBD5E1" w:sz="6"/>
        </w:pBdr>
        <w:spacing w:after="140" w:before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3. COMPORTAMIENTO ESTACIONAL HISTÓRICO: ANÁLISIS 2022 – 2025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Al auditar la serie mensual de los últimos 4 ejercicios cerrados, la estacionalidad de Ciudad Real refleja patrones estructurales muy claros que sustentan nuestro reparto de 2027: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Comparativa de Room Revenue (€) Mes a Mes (2022 – 2025)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cantSplit/>
          <w:tblHeader/>
        </w:trPr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2022 (€)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2023 (€)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2024 (€)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2025 (€)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Media 4 Años (€)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Propuesta 2027 (€)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Justificación de Crecimiento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Enero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53.221 €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49.845 €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41.029 €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46.594 €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47.672 €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75.310 €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Captación activa de grupos y eventos deportivos base.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Febrero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92.867 €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81.304 €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59.827 €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65.276 €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74.819 €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80.555 €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Retorno al nivel medio de demanda de febrero.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Marzo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58.393 €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71.543 €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125.581 €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85.752 €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85.317 €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120.510 €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Efecto congresos primavera + Semana Santa / ferias.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Abril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82.924 €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107.118 €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130.668 €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112.422 €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108.283 €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146.868 €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Alta demanda corporativa y puentes primaverales.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Mayo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143.835 €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127.007 €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124.149 €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161.051 €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139.011 €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141.294 €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Estabilización de ADR tras pico atípico de 2025.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Junio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85.069 €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80.273 €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105.104 €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107.233 €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94.420 €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133.789 €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Cierre corporativo y eventos formativos.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Julio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82.766 €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86.808 €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129.310 €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129.649 €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107.133 €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137.521 €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Consolidación del turismo estival en tránsito.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Agosto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81.625 €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89.013 €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121.359 €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124.448 €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104.111 €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147.756 €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Volumen familiar y paso vacacional hacia el sur.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Septiembre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89.156 €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110.396 €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102.697 €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143.034 €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111.321 €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167.550 €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Reactivación corporativa otoñal a pleno rendimiento.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Octubre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100.195 €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107.855 €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117.252 €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146.243 €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117.886 €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184.822 €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Mes líder absoluto: compresión empresarial y AVE.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Noviembre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73.495 €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50.767 €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103.299 €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106.319 €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83.470 €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129.376 €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Continuidad de tráfico institucional y jornadas.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Diciembre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66.784 €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73.620 €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74.543 €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90.839 €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76.447 €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108.036 €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Puentes de diciembre y ocio navideño familiar.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TOTAL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1.010.330 €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1.035.549 €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1.234.818 €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1.318.860 €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1.149.889 €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1.573.386 €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Crecimiento respaldado por la tendencia real.</w:t>
            </w:r>
          </w:p>
        </w:tc>
      </w:tr>
    </w:tbl>
    <w:p>
      <w:pPr>
        <w:spacing w:after="120" w:before="100"/>
      </w:pPr>
    </w:p>
    <w:p>
      <w:pPr>
        <w:pBdr>
          <w:bottom w:val="single" w:color="CBD5E1" w:sz="6"/>
        </w:pBdr>
        <w:spacing w:after="140" w:before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4. ANÁLISIS DE PRECISIÓN DEL MES LÍDER: OCTUBRE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El histórico de habitaciones noche de los últimos años confirma por qué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OCTUBRE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es el motor financiero del Sercotel Guadiana: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Evolución Real de Habitaciones Vendidas en Octubre: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Octubre 2022: 1.855 RN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Octubre 2023: 1.730 RN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Octubre 2024: 1.951 RN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Octubre 2025: 2.693 RN (Récord histórico mensual de ocupación)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Octubre 2026 (BGT Oficial): 2.637 RN (83,40% ocupación presupuestada)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Octubre 2027 (Propuesta): 2.905 RN (86,8% ocupación / 184.821,89 €)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¿Por qué Octubre tiene margen para alcanzar los 184.822 €?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En octubre confluyen simultáneamente: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La máxima ocupación corporativa entre semana de Ciudad Real: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De martes a jueves la plaza opera por encima del 95%, lo que permite aplicar restricciones de estancia y elevar la tarifa media individual por encima de los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80 €–85 €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Turismo institucional y académico: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Actividad plena de las consejerías autonómicas, la Diputación Provincial y las facultades del campus de la UCLM.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El Puente del Pilar y turismo otoñal: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Evita la caída de ocupación de los fines de semana.</w:t>
      </w:r>
    </w:p>
    <w:p>
      <w:pPr>
        <w:pBdr>
          <w:bottom w:val="single" w:color="CBD5E1" w:sz="6"/>
        </w:pBdr>
        <w:spacing w:after="140" w:before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5. PLAN MAESTRO MENSUAL 2027 (DETALLE POR HABITACIONES, ADR Y REVPAR)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300"/>
        <w:gridCol w:w="1600"/>
        <w:gridCol w:w="1800"/>
        <w:gridCol w:w="1300"/>
        <w:gridCol w:w="1300"/>
        <w:gridCol w:w="1300"/>
        <w:gridCol w:w="1600"/>
        <w:gridCol w:w="2000"/>
      </w:tblGrid>
      <w:tr>
        <w:trPr>
          <w:cantSplit/>
          <w:tblHeader/>
        </w:trPr>
        <w:tc>
          <w:tcPr>
            <w:tcW w:type="dxa" w:w="16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  <w:tc>
          <w:tcPr>
            <w:tcW w:type="dxa" w:w="10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Días</w:t>
            </w:r>
          </w:p>
        </w:tc>
        <w:tc>
          <w:tcPr>
            <w:tcW w:type="dxa" w:w="13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Capacidad (RN)</w:t>
            </w:r>
          </w:p>
        </w:tc>
        <w:tc>
          <w:tcPr>
            <w:tcW w:type="dxa" w:w="16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BGT 2026 (€)</w:t>
            </w:r>
          </w:p>
        </w:tc>
        <w:tc>
          <w:tcPr>
            <w:tcW w:type="dxa" w:w="18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Propuesta 2027 (€)</w:t>
            </w:r>
          </w:p>
        </w:tc>
        <w:tc>
          <w:tcPr>
            <w:tcW w:type="dxa" w:w="13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 2027</w:t>
            </w:r>
          </w:p>
        </w:tc>
        <w:tc>
          <w:tcPr>
            <w:tcW w:type="dxa" w:w="13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ADR 2027 (€)</w:t>
            </w:r>
          </w:p>
        </w:tc>
        <w:tc>
          <w:tcPr>
            <w:tcW w:type="dxa" w:w="13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Ocupación (%)</w:t>
            </w:r>
          </w:p>
        </w:tc>
        <w:tc>
          <w:tcPr>
            <w:tcW w:type="dxa" w:w="16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RevPAR (€)</w:t>
            </w:r>
          </w:p>
        </w:tc>
        <w:tc>
          <w:tcPr>
            <w:tcW w:type="dxa" w:w="200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Variación vs 2026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Enero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3.348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57.715 €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75.309,58 €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1.197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62,94 €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35,8%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22,49 €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+30,5%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Febrero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28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3.024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68.021 €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80.555,06 €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1.274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63,24 €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42,1%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26,64 €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+18,4%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Marzo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3.348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89.561 €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120.509,54 €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1.570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76,75 €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46,9%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35,99 €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+34,6%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Abril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3.240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126.055 €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146.867,73 €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2.041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71,97 €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63,0%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45,33 €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+16,5%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Mayo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3.348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167.691 €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141.294,13 €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1.986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71,13 €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59,3%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42,20 €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-15,7%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Junio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3.240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114.464 €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133.788,99 €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1.854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72,15 €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57,2%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41,29 €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+16,9%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Julio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3.348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118.640 €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137.521,26 €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1.945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70,71 €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58,1%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41,08 €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+15,9%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Agosto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3.348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131.039 €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147.756,26 €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2.363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62,52 €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70,6%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44,13 €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+12,8%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Septiembre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3.240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148.593 €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167.549,70 €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2.602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64,39 €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80,3%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51,71 €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+12,8%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Octubre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3.348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163.911 €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184.821,89 €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2.905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63,62 €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86,8%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55,20 €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+12,8%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Noviembre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30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3.240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114.738 €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129.375,66 €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1.967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65,78 €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60,7%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39,93 €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+12,8%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Diciembre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3.348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94.586 €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108.036,31 €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1.689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63,96 €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50,4%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32,27 €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+14,2%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365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39.420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1.395.014 €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1.573.386,12 €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23.393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67,30 €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59,34%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39,91 €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+12,79%</w:t>
            </w:r>
          </w:p>
        </w:tc>
      </w:tr>
    </w:tbl>
    <w:p>
      <w:pPr>
        <w:spacing w:after="120" w:before="10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(Nota: En Mayo se corrige el objetivo sobredimensionado del BGT 2026 de 167 k€ que exigía un ADR de 81,68 € poco sostenible, normalizándolo a 71,13 € y trasladando ese potencial a meses de mayor tracción real como Septiembre, Octubre y Marzo).</w:t>
      </w:r>
    </w:p>
    <w:p>
      <w:pPr>
        <w:pBdr>
          <w:bottom w:val="single" w:color="CBD5E1" w:sz="6"/>
        </w:pBdr>
        <w:spacing w:after="140" w:before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6. MODELIZACIÓN Y ESTRATEGIA DEL SEGMENTO GRUPOS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Para que el hotel alcance los 1,57 M€ sin canibalizar ingresos individuales, el segmento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Grupos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se planifica con una cuota anual del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6,3%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(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1.467 habitaciones noche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95.516 €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de facturación):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Desglose Mensual del Segmento Grupos 2027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"/>
        <w:gridCol w:w="1628"/>
        <w:gridCol w:w="1628"/>
        <w:gridCol w:w="1480"/>
        <w:gridCol w:w="1480"/>
        <w:gridCol w:w="1924"/>
        <w:gridCol w:w="5180"/>
      </w:tblGrid>
      <w:tr>
        <w:trPr>
          <w:cantSplit/>
          <w:tblHeader/>
        </w:trPr>
        <w:tc>
          <w:tcPr>
            <w:tcW w:type="dxa" w:w="148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  <w:tc>
          <w:tcPr>
            <w:tcW w:type="dxa" w:w="1628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RN Hotel</w:t>
            </w:r>
          </w:p>
        </w:tc>
        <w:tc>
          <w:tcPr>
            <w:tcW w:type="dxa" w:w="1628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 Grupos</w:t>
            </w:r>
          </w:p>
        </w:tc>
        <w:tc>
          <w:tcPr>
            <w:tcW w:type="dxa" w:w="148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Cuota Grupos (% RN)</w:t>
            </w:r>
          </w:p>
        </w:tc>
        <w:tc>
          <w:tcPr>
            <w:tcW w:type="dxa" w:w="148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ADR Grupos (€)</w:t>
            </w:r>
          </w:p>
        </w:tc>
        <w:tc>
          <w:tcPr>
            <w:tcW w:type="dxa" w:w="1924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Facturación Grupos (€)</w:t>
            </w:r>
          </w:p>
        </w:tc>
        <w:tc>
          <w:tcPr>
            <w:tcW w:type="dxa" w:w="518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Directriz Comercial de Contratación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Enero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1.197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108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56,00 €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6.048 €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Relleno base: Grupos deportivos / circuitos de invierno.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Febrero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1.274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108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8,5%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57,50 €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6.210 €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Ocupación valle: Culturales y escapadas.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Marzo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1.570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94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68,00 €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6.392 €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Filtro tarifario: Solo grupos con tarifa media alta.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Abril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2.041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133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6,5%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69,50 €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9.243 €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Semana Santa / Puentes: Cupos limitados a tarifa premium.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Mayo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1.986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109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5,5%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71,00 €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7.739 €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Selectividad: Grupos de paso solo si no desplazan individual.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Junio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1.854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111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68,00 €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7.548 €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Cierre escolar/asociativo: Tarifa controlada.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Julio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1.945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136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64,00 €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8.704 €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Turismo estival: Grupos vacacionales en tránsito.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Agosto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2.363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189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60,00 €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11.340 €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Volumen veraniego: Ocupación familiar/grupos.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Septiembre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2.602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117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4,5%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70,00 €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8.190 €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Contención: Priorizar corporativo individual sobre grupos.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Octubre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2.905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116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4,0%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74,00 €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8.584 €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Yield Máximo: Suelo estricto (&gt;74 €); máx. 10-12 hab/noche.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Noviembre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1.967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128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6,5%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65,00 €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8.320 €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Equilibrio: Grupos técnicos y asociativos de fin de semana.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Diciembre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1.689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118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7,0%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61,00 €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7.198 €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Puentes y escapadas: Grupos senior / culturales.</w:t>
            </w:r>
          </w:p>
        </w:tc>
      </w:tr>
      <w:tr>
        <w:trPr>
          <w:cantSplit/>
          <w:tblHeader w:val="off"/>
        </w:trPr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TOTAL AÑO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23.393</w:t>
            </w:r>
          </w:p>
        </w:tc>
        <w:tc>
          <w:tcPr>
            <w:tcW w:type="dxa" w:w="16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1.467 RN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6,3%</w:t>
            </w:r>
          </w:p>
        </w:tc>
        <w:tc>
          <w:tcPr>
            <w:tcW w:type="dxa" w:w="1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65,11 €</w:t>
            </w:r>
          </w:p>
        </w:tc>
        <w:tc>
          <w:tcPr>
            <w:tcW w:type="dxa" w:w="1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95.516 €</w:t>
            </w:r>
          </w:p>
        </w:tc>
        <w:tc>
          <w:tcPr>
            <w:tcW w:type="dxa" w:w="5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Aporte Grupos: 1.467 habitaciones y 95.516 €</w:t>
            </w:r>
          </w:p>
        </w:tc>
      </w:tr>
    </w:tbl>
    <w:p>
      <w:pPr>
        <w:spacing w:after="120" w:before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Reglas Comerciales Obligatorias para el Equipo de Ventas: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En meses pico (Octubre y Septiembre):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Queda prohibida la aceptación de grupos por debajo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72 €–74 €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de ADR. Las cotizaciones se limitarán a un cupo máximo de 12 habitaciones por noche para reservar el resto al cliente corporativo directo (&gt;80 € ADR).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En meses valle (Enero, Febrero, Diciembre):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Se lanzará una campaña comercial anticipada para asegurar pernoctaciones de clubes deportivos y colectivos a tarifas suelo (56 €–60 €) que cubran los costes fijos de mantenimiento.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Sincronización: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Estas metas mensuales quedan cargadas como los techos y suelos oficiales en nuestro cotizador de grupos (Nexus Groups).</w:t>
      </w:r>
    </w:p>
    <w:p>
      <w:pPr>
        <w:pBdr>
          <w:bottom w:val="single" w:color="CBD5E1" w:sz="6"/>
        </w:pBdr>
        <w:spacing w:after="140" w:before="140"/>
      </w:pPr>
    </w:p>
    <w:p>
      <w:pPr>
        <w:pBdr>
          <w:bottom w:val="single" w:color="CBD5E1" w:sz="6"/>
        </w:pBdr>
        <w:spacing w:after="140" w:before="140"/>
      </w:pP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7. ANÁLISIS DE CARTERA REAL (OTB 2027 EN LIBROS): GRADO DE COBERTURA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A fecha actual, el sistema registra ya una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cartera contratada (*On-The-Books / OTB*) de 508.378,01 € y 8.179 habitaciones noche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para el ejercicio 2027 (de enero a octubre).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Esto demuestra que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un 32,3% del presupuesto anual total (y un 38,1% del periodo analizado) ya está físicamente asegurado con más de un año de antelación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, lo que reduce drásticamente el riesgo de cumplimiento y aporta una solidez excepcional a la propuesta: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Cobertura de Cartera 2027 vs. Objetivo Presupuestario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rPr>
          <w:cantSplit/>
          <w:tblHeader/>
        </w:trPr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 Cartera 2027 (OTB €)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 en Libros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ADR Cartera (€)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 2027 (€)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Ya Asegurado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Pickup Pendiente (€)</w:t>
            </w:r>
          </w:p>
        </w:tc>
        <w:tc>
          <w:tcPr>
            <w:tcW w:type="dxa" w:w="1850"/>
            <w:tcBorders>
              <w:top w:val="single" w:color="1E40AF" w:sz="4"/>
              <w:left w:val="single" w:color="CBD5E1" w:sz="4"/>
              <w:bottom w:val="single" w:color="1E40AF" w:sz="8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Valoración Comercial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Enero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44.055,89 €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722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61,02 €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75.309,58 €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58,5%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31.253,69 €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Excelente base: Enero tiene más de la mitad cubierto.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Febrero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34.784,42 €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462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75,29 €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80.555,06 €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43,2%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45.770,64 €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Tarifa alta: ADR en cartera muy potente (75,29 €).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Marzo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54.914,94 €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973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56,44 €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120.509,54 €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45,6%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65.594,60 €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Buena anticipación de primavera.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Abril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66.924,15 €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1.204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55,58 €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146.867,73 €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45,6%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79.943,58 €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Fuerte demanda de Semana Santa / puentes ya en libros.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Mayo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115.355,43 €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1.380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83,59 €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141.294,13 €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81,6%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25.938,70 €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Prácticamente cerrado: Mayo tiene el 82% garantizado a 83,59 € ADR.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Junio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70.279,39 €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1.069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65,74 €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133.788,99 €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52,5%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63.509,60 €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Más de la mitad del mes contratado.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Julio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30.368,83 €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600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50,61 €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137.521,26 €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22,1%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107.152,43 €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Ritmo habitual de verano (reserva más tardía).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Agosto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32.773,61 €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653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50,19 €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147.756,26 €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22,2%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114.982,65 €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Curva normal de reservas estivales.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Septiembre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41.966,76 €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806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52,07 €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167.549,70 €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25,0%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125.582,94 €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Arranque de cartera corporativa de otoño.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Octubre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16.954,59 €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310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54,69 €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184.821,89 €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9,2%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167.867,30 €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Mayor recorrido de yield (máxima ventana de venta directa).</w:t>
            </w:r>
          </w:p>
        </w:tc>
      </w:tr>
      <w:tr>
        <w:trPr>
          <w:cantSplit/>
          <w:tblHeader w:val="off"/>
        </w:trPr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TOTAL (Ene-Oct)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508.378,01 €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8.179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62,16 €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1.336.004,15 €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38,1%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827.626,14 €</w:t>
            </w:r>
          </w:p>
        </w:tc>
        <w:tc>
          <w:tcPr>
            <w:tcW w:type="dxa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Medio millón de euros ya asegurado.</w:t>
            </w:r>
          </w:p>
        </w:tc>
      </w:tr>
    </w:tbl>
    <w:p>
      <w:pPr>
        <w:spacing w:after="120" w:before="1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Tres Argumentos Clave para la Dirección: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Riesgo Operativo Mínimo: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No estamos presupuestando sobre un papel en blanco;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más de medio millón de euros (508 k€)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ya está firmado y en los libros del hotel.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Mayo está prácticamente hecho al 82%: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Con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115.355 €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ya contratados a una tarifa media récord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83,59 €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, solo faltan ~25 k€ para completar el mes.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El primer semestre (Ene - Jun) tiene un 54,6% de cobertura: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Contar con 386 k€ ya asegurados en la primera mitad del año da total tranquilidad de tesorería y valida la viabilidad del crecimiento.</w:t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8. CONCLUSIÓN Y DICTAMEN FINAL: VIABILIDAD DEL OBJETIVO +7,5%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La propuesta de alcanzar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1.573.386,12 € (+7,50% de crecimiento)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en 2027 no es una hipótesis voluntarista, sino un objetivo técnico medido y de máxima solidez para el Sercotel Guadiana: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Defensa Directa Frente a la Inflación y Protección del Margen Operativo (GOP):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El objetivo combina una subida de tarifa media del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+4,00% (ADR de 67,30 €)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y un incremento moderado de pernoctaciones del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+3,43% (+775 RN al año)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Este aumento del ADR (+2,59 € netos por habitación ocupada)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absorbe con creces la inflación estructural esperada de costes (convenios colectivos, energía, suministros y lavandería)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, proyectada en el entorno del 2,5%–3,0%.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Cada euro adicional captado vía tarifa media impacta directamente en el beneficio neto (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bottom-line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), asegurando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expansión del margen bruto de explotación (GOP)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sin incrementar proporcionalmente los costes variables de servicio.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Respaldo Incontestable de la Serie Histórica de 10 Años (2016 – 2025):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El hotel ha demostrado una progresión sólida de tarifa (+48,9% desde 2016) y cuenta con capacidad contrastada para absorber más de 22.800 habitaciones al año (como ya ocurrió en 2017 y 2018).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La meta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23.393 habitaciones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representa un nivel de ocupación equilibrado (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59,34%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), perfectamente asumible para la operativa interna sin generar saturación de plantilla ni caídas en la satisfacción del huésped.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40AF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Garantía de Cartera Real: Más de Medio Millón de Euros Ya Asegurado: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La existencia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508.378,01 € en cartera cerrada (*On-The-Books*)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para 2027 con más de un año de antelación otorga un grado de certidumbre excepcional: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el 38,1% del periodo de enero a octubre ya está físicamente vendido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Meses estratégicos como Mayo (81,6% de cobertura con un ADR de 83,59 €) reducen al mínimo el riesgo de desviación, permitiendo concentrar los esfuerzos de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yield management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en maximizar el precio de las habitaciones restantes.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En conclusión, el objetivo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1.573.386,12 € (+7,5%)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 maximiza el valor patrimonial y operativo del hotel, blinda su cuenta de resultados frente al escenario macroeconómico y sitúa el RevPAR en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39,91 €</w:t>
      </w:r>
      <w:r>
        <w:rPr>
          <w:rFonts w:ascii="Calibri" w:cs="Calibri" w:eastAsia="Calibri" w:hAnsi="Calibri"/>
          <w:b w:val="false"/>
          <w:bCs w:val="false"/>
          <w:color w:val="334155"/>
          <w:sz w:val="20"/>
          <w:szCs w:val="20"/>
        </w:rPr>
        <w:t xml:space="preserve">, el rendimiento por habitación más alto en la historia del establecimiento.</w:t>
      </w:r>
    </w:p>
    <w:sectPr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>
      <w:pPr>
        <w:spacing w:after="60" w:before="60" w:line="2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2026-10-15T21:18:23.463Z</dcterms:created>
  <dcterms:modified xsi:type="dcterms:W3CDTF">2026-10-15T21:18:23.464Z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