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pPr>
      <w:r>
        <w:rPr>
          <w:rFonts w:ascii="Calibri" w:cs="Calibri" w:eastAsia="Calibri" w:hAnsi="Calibri"/>
          <w:b/>
          <w:bCs/>
          <w:color w:val="1E40AF"/>
          <w:sz w:val="36"/>
          <w:szCs w:val="36"/>
        </w:rPr>
        <w:t xml:space="preserve">PROPUESTA Y FUNDAMENTACIÓN DEL PRIMER PRESUPUESTO OFICIAL 2027: OBJETIVO +7,5%</w:t>
      </w:r>
    </w:p>
    <w:p>
      <w:pPr>
        <w:pStyle w:val="Heading1"/>
        <w:spacing w:after="100" w:before="280"/>
      </w:pPr>
      <w:r>
        <w:rPr>
          <w:rFonts w:ascii="Calibri" w:cs="Calibri" w:eastAsia="Calibri" w:hAnsi="Calibri"/>
          <w:b/>
          <w:bCs/>
          <w:color w:val="1E40AF"/>
          <w:sz w:val="26"/>
          <w:szCs w:val="26"/>
        </w:rPr>
        <w:t xml:space="preserve">Departamento de Revenue Management y Dirección Comercial</w:t>
      </w:r>
    </w:p>
    <w:p>
      <w:pPr>
        <w:spacing w:after="60" w:before="60"/>
      </w:pPr>
      <w:r>
        <w:rPr>
          <w:rFonts w:ascii="Calibri" w:cs="Calibri" w:eastAsia="Calibri" w:hAnsi="Calibri"/>
          <w:b/>
          <w:bCs/>
          <w:color w:val="0F172A"/>
          <w:sz w:val="20"/>
          <w:szCs w:val="20"/>
        </w:rPr>
        <w:t xml:space="preserve">Hotel:</w:t>
      </w:r>
      <w:r>
        <w:rPr>
          <w:rFonts w:ascii="Calibri" w:cs="Calibri" w:eastAsia="Calibri" w:hAnsi="Calibri"/>
          <w:b w:val="false"/>
          <w:bCs w:val="false"/>
          <w:color w:val="334155"/>
          <w:sz w:val="20"/>
          <w:szCs w:val="20"/>
        </w:rPr>
        <w:t xml:space="preserve"> Hotel Cumbria (Ciudad Real – 59 habitaciones / 21.535 RN anuales)</w:t>
      </w:r>
    </w:p>
    <w:p>
      <w:pPr>
        <w:spacing w:after="60" w:before="60"/>
      </w:pPr>
      <w:r>
        <w:rPr>
          <w:rFonts w:ascii="Calibri" w:cs="Calibri" w:eastAsia="Calibri" w:hAnsi="Calibri"/>
          <w:b/>
          <w:bCs/>
          <w:color w:val="0F172A"/>
          <w:sz w:val="20"/>
          <w:szCs w:val="20"/>
        </w:rPr>
        <w:t xml:space="preserve">Proyecto Estratégico:</w:t>
      </w:r>
      <w:r>
        <w:rPr>
          <w:rFonts w:ascii="Calibri" w:cs="Calibri" w:eastAsia="Calibri" w:hAnsi="Calibri"/>
          <w:b w:val="false"/>
          <w:bCs w:val="false"/>
          <w:color w:val="334155"/>
          <w:sz w:val="20"/>
          <w:szCs w:val="20"/>
        </w:rPr>
        <w:t xml:space="preserve"> Plan de Reposicionamiento y Elevación de Categoría de 3 a 4 Estrellas</w:t>
      </w:r>
    </w:p>
    <w:p>
      <w:pPr>
        <w:spacing w:after="60" w:before="60"/>
      </w:pPr>
      <w:r>
        <w:rPr>
          <w:rFonts w:ascii="Calibri" w:cs="Calibri" w:eastAsia="Calibri" w:hAnsi="Calibri"/>
          <w:b/>
          <w:bCs/>
          <w:color w:val="0F172A"/>
          <w:sz w:val="20"/>
          <w:szCs w:val="20"/>
        </w:rPr>
        <w:t xml:space="preserve">Fecha:</w:t>
      </w:r>
      <w:r>
        <w:rPr>
          <w:rFonts w:ascii="Calibri" w:cs="Calibri" w:eastAsia="Calibri" w:hAnsi="Calibri"/>
          <w:b w:val="false"/>
          <w:bCs w:val="false"/>
          <w:color w:val="334155"/>
          <w:sz w:val="20"/>
          <w:szCs w:val="20"/>
        </w:rPr>
        <w:t xml:space="preserve"> Octubre 2026</w:t>
      </w:r>
    </w:p>
    <w:p>
      <w:pPr>
        <w:spacing w:after="60" w:before="60"/>
      </w:pPr>
      <w:r>
        <w:rPr>
          <w:rFonts w:ascii="Calibri" w:cs="Calibri" w:eastAsia="Calibri" w:hAnsi="Calibri"/>
          <w:b/>
          <w:bCs/>
          <w:color w:val="0F172A"/>
          <w:sz w:val="20"/>
          <w:szCs w:val="20"/>
        </w:rPr>
        <w:t xml:space="preserve">Documento:</w:t>
      </w:r>
      <w:r>
        <w:rPr>
          <w:rFonts w:ascii="Calibri" w:cs="Calibri" w:eastAsia="Calibri" w:hAnsi="Calibri"/>
          <w:b w:val="false"/>
          <w:bCs w:val="false"/>
          <w:color w:val="334155"/>
          <w:sz w:val="20"/>
          <w:szCs w:val="20"/>
        </w:rPr>
        <w:t xml:space="preserve"> Memoria Técnica de Implantación del Primer Presupuesto Oficial de Alojamiento (2027)</w:t>
      </w: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1. CONTEXTO INSTITUCIONAL: PRIMER PRESUPUESTO OFICIAL Y ELEVACIÓN A 4 ESTRELLAS</w:t>
      </w:r>
    </w:p>
    <w:p>
      <w:pPr>
        <w:spacing w:after="60" w:before="60"/>
      </w:pPr>
      <w:r>
        <w:rPr>
          <w:rFonts w:ascii="Calibri" w:cs="Calibri" w:eastAsia="Calibri" w:hAnsi="Calibri"/>
          <w:b w:val="false"/>
          <w:bCs w:val="false"/>
          <w:color w:val="334155"/>
          <w:sz w:val="20"/>
          <w:szCs w:val="20"/>
        </w:rPr>
        <w:t xml:space="preserve">El ejercicio 2027 representa el </w:t>
      </w:r>
      <w:r>
        <w:rPr>
          <w:rFonts w:ascii="Calibri" w:cs="Calibri" w:eastAsia="Calibri" w:hAnsi="Calibri"/>
          <w:b/>
          <w:bCs/>
          <w:color w:val="0F172A"/>
          <w:sz w:val="20"/>
          <w:szCs w:val="20"/>
        </w:rPr>
        <w:t xml:space="preserve">punto de inflexión más trascendental en la historia de gestión del Hotel Cumbria</w:t>
      </w:r>
      <w:r>
        <w:rPr>
          <w:rFonts w:ascii="Calibri" w:cs="Calibri" w:eastAsia="Calibri" w:hAnsi="Calibri"/>
          <w:b w:val="false"/>
          <w:bCs w:val="false"/>
          <w:color w:val="334155"/>
          <w:sz w:val="20"/>
          <w:szCs w:val="20"/>
        </w:rPr>
        <w:t xml:space="preserve">: confluyen la aprobación de su </w:t>
      </w:r>
      <w:r>
        <w:rPr>
          <w:rFonts w:ascii="Calibri" w:cs="Calibri" w:eastAsia="Calibri" w:hAnsi="Calibri"/>
          <w:b/>
          <w:bCs/>
          <w:color w:val="0F172A"/>
          <w:sz w:val="20"/>
          <w:szCs w:val="20"/>
        </w:rPr>
        <w:t xml:space="preserve">PRIMER PRESUPUESTO OFICIAL FORMAL</w:t>
      </w:r>
      <w:r>
        <w:rPr>
          <w:rFonts w:ascii="Calibri" w:cs="Calibri" w:eastAsia="Calibri" w:hAnsi="Calibri"/>
          <w:b w:val="false"/>
          <w:bCs w:val="false"/>
          <w:color w:val="334155"/>
          <w:sz w:val="20"/>
          <w:szCs w:val="20"/>
        </w:rPr>
        <w:t xml:space="preserve"> y el </w:t>
      </w:r>
      <w:r>
        <w:rPr>
          <w:rFonts w:ascii="Calibri" w:cs="Calibri" w:eastAsia="Calibri" w:hAnsi="Calibri"/>
          <w:b/>
          <w:bCs/>
          <w:color w:val="0F172A"/>
          <w:sz w:val="20"/>
          <w:szCs w:val="20"/>
        </w:rPr>
        <w:t xml:space="preserve">PROYECTO DE ELEVACIÓN DE CATEGORÍA DE 3 A 4 ESTRELLAS</w:t>
      </w:r>
      <w:r>
        <w:rPr>
          <w:rFonts w:ascii="Calibri" w:cs="Calibri" w:eastAsia="Calibri" w:hAnsi="Calibri"/>
          <w:b w:val="false"/>
          <w:bCs w:val="false"/>
          <w:color w:val="334155"/>
          <w:sz w:val="20"/>
          <w:szCs w:val="20"/>
        </w:rPr>
        <w:t xml:space="preserve">.</w:t>
      </w:r>
    </w:p>
    <w:p>
      <w:pPr>
        <w:spacing w:after="60" w:before="60"/>
      </w:pPr>
      <w:r>
        <w:rPr>
          <w:rFonts w:ascii="Calibri" w:cs="Calibri" w:eastAsia="Calibri" w:hAnsi="Calibri"/>
          <w:b w:val="false"/>
          <w:bCs w:val="false"/>
          <w:color w:val="334155"/>
          <w:sz w:val="20"/>
          <w:szCs w:val="20"/>
        </w:rPr>
        <w:t xml:space="preserve">Hasta la fecha, el establecimiento venía operando como hotel de 3 estrellas sin un marco presupuestario formalmente cerrado por la Dirección General y la Propiedad, apoyándose en estimaciones provisionales o inercias del mercado. Por tratarse del </w:t>
      </w:r>
      <w:r>
        <w:rPr>
          <w:rFonts w:ascii="Calibri" w:cs="Calibri" w:eastAsia="Calibri" w:hAnsi="Calibri"/>
          <w:b/>
          <w:bCs/>
          <w:color w:val="0F172A"/>
          <w:sz w:val="20"/>
          <w:szCs w:val="20"/>
        </w:rPr>
        <w:t xml:space="preserve">primer presupuesto oficial del establecimiento</w:t>
      </w:r>
      <w:r>
        <w:rPr>
          <w:rFonts w:ascii="Calibri" w:cs="Calibri" w:eastAsia="Calibri" w:hAnsi="Calibri"/>
          <w:b w:val="false"/>
          <w:bCs w:val="false"/>
          <w:color w:val="334155"/>
          <w:sz w:val="20"/>
          <w:szCs w:val="20"/>
        </w:rPr>
        <w:t xml:space="preserve">, este documento tiene un carácter fundacional y se rige por un principio irrenunciable: </w:t>
      </w:r>
      <w:r>
        <w:rPr>
          <w:rFonts w:ascii="Calibri" w:cs="Calibri" w:eastAsia="Calibri" w:hAnsi="Calibri"/>
          <w:b/>
          <w:bCs/>
          <w:color w:val="0F172A"/>
          <w:sz w:val="20"/>
          <w:szCs w:val="20"/>
        </w:rPr>
        <w:t xml:space="preserve">MÁXIMA CREDIBILIDAD, RIGOR TÉCNICO Y FACTIBILIDAD OPERATIVA</w:t>
      </w:r>
      <w:r>
        <w:rPr>
          <w:rFonts w:ascii="Calibri" w:cs="Calibri" w:eastAsia="Calibri" w:hAnsi="Calibri"/>
          <w:b w:val="false"/>
          <w:bCs w:val="false"/>
          <w:color w:val="334155"/>
          <w:sz w:val="20"/>
          <w:szCs w:val="20"/>
        </w:rPr>
        <w:t xml:space="preserve">.</w:t>
      </w:r>
    </w:p>
    <w:p>
      <w:pPr>
        <w:pStyle w:val="Heading2"/>
        <w:spacing w:after="80" w:before="200"/>
      </w:pPr>
      <w:r>
        <w:rPr>
          <w:rFonts w:ascii="Calibri" w:cs="Calibri" w:eastAsia="Calibri" w:hAnsi="Calibri"/>
          <w:b/>
          <w:bCs/>
          <w:color w:val="0F172A"/>
          <w:sz w:val="22"/>
          <w:szCs w:val="22"/>
        </w:rPr>
        <w:t xml:space="preserve">La 4ª Estrella como Catalizador Comercial y Justificación del Crecimiento</w:t>
      </w:r>
    </w:p>
    <w:p>
      <w:pPr>
        <w:spacing w:after="60" w:before="60"/>
      </w:pPr>
      <w:r>
        <w:rPr>
          <w:rFonts w:ascii="Calibri" w:cs="Calibri" w:eastAsia="Calibri" w:hAnsi="Calibri"/>
          <w:b w:val="false"/>
          <w:bCs w:val="false"/>
          <w:color w:val="334155"/>
          <w:sz w:val="20"/>
          <w:szCs w:val="20"/>
        </w:rPr>
        <w:t xml:space="preserve">La subida de categoría a 4 estrellas solventa la principal limitación histórica de comercialización del Cumbria. En el mercado actual, numerosos operadores turísticos, agencias corporativas, organizadores de congresos (MICE) y federaciones deportivas exigen por pliego y normativa interna la </w:t>
      </w:r>
      <w:r>
        <w:rPr>
          <w:rFonts w:ascii="Calibri" w:cs="Calibri" w:eastAsia="Calibri" w:hAnsi="Calibri"/>
          <w:b/>
          <w:bCs/>
          <w:color w:val="0F172A"/>
          <w:sz w:val="20"/>
          <w:szCs w:val="20"/>
        </w:rPr>
        <w:t xml:space="preserve">categoría mínima de 4 estrellas</w:t>
      </w:r>
      <w:r>
        <w:rPr>
          <w:rFonts w:ascii="Calibri" w:cs="Calibri" w:eastAsia="Calibri" w:hAnsi="Calibri"/>
          <w:b w:val="false"/>
          <w:bCs w:val="false"/>
          <w:color w:val="334155"/>
          <w:sz w:val="20"/>
          <w:szCs w:val="20"/>
        </w:rPr>
        <w:t xml:space="preserve">. Al obtenerla, el hotel:</w:t>
      </w:r>
    </w:p>
    <w:p>
      <w:pPr>
        <w:spacing w:after="60" w:before="60"/>
      </w:pPr>
      <w:r>
        <w:rPr>
          <w:rFonts w:ascii="Calibri" w:cs="Calibri" w:eastAsia="Calibri" w:hAnsi="Calibri"/>
          <w:b/>
          <w:bCs/>
          <w:color w:val="1E40AF"/>
          <w:sz w:val="20"/>
          <w:szCs w:val="20"/>
        </w:rPr>
        <w:t xml:space="preserve">1. </w:t>
      </w:r>
      <w:r>
        <w:rPr>
          <w:rFonts w:ascii="Calibri" w:cs="Calibri" w:eastAsia="Calibri" w:hAnsi="Calibri"/>
          <w:b w:val="false"/>
          <w:bCs w:val="false"/>
          <w:color w:val="334155"/>
          <w:sz w:val="20"/>
          <w:szCs w:val="20"/>
        </w:rPr>
        <w:t xml:space="preserve">Accede a concursos, acuerdos corporativos y turoperación receptiva vetados hasta ahora para la categoría de 3 estrellas.</w:t>
      </w:r>
    </w:p>
    <w:p>
      <w:pPr>
        <w:spacing w:after="60" w:before="60"/>
      </w:pPr>
      <w:r>
        <w:rPr>
          <w:rFonts w:ascii="Calibri" w:cs="Calibri" w:eastAsia="Calibri" w:hAnsi="Calibri"/>
          <w:b/>
          <w:bCs/>
          <w:color w:val="1E40AF"/>
          <w:sz w:val="20"/>
          <w:szCs w:val="20"/>
        </w:rPr>
        <w:t xml:space="preserve">2. </w:t>
      </w:r>
      <w:r>
        <w:rPr>
          <w:rFonts w:ascii="Calibri" w:cs="Calibri" w:eastAsia="Calibri" w:hAnsi="Calibri"/>
          <w:b w:val="false"/>
          <w:bCs w:val="false"/>
          <w:color w:val="334155"/>
          <w:sz w:val="20"/>
          <w:szCs w:val="20"/>
        </w:rPr>
        <w:t xml:space="preserve">Abre una vía directa para </w:t>
      </w:r>
      <w:r>
        <w:rPr>
          <w:rFonts w:ascii="Calibri" w:cs="Calibri" w:eastAsia="Calibri" w:hAnsi="Calibri"/>
          <w:b/>
          <w:bCs/>
          <w:color w:val="0F172A"/>
          <w:sz w:val="20"/>
          <w:szCs w:val="20"/>
        </w:rPr>
        <w:t xml:space="preserve">incrementar la captación de grupos organizados de mayor calidad y tarifa</w:t>
      </w:r>
      <w:r>
        <w:rPr>
          <w:rFonts w:ascii="Calibri" w:cs="Calibri" w:eastAsia="Calibri" w:hAnsi="Calibri"/>
          <w:b w:val="false"/>
          <w:bCs w:val="false"/>
          <w:color w:val="334155"/>
          <w:sz w:val="20"/>
          <w:szCs w:val="20"/>
        </w:rPr>
        <w:t xml:space="preserve">.</w:t>
      </w:r>
    </w:p>
    <w:p>
      <w:pPr>
        <w:spacing w:after="60" w:before="60"/>
      </w:pPr>
      <w:r>
        <w:rPr>
          <w:rFonts w:ascii="Calibri" w:cs="Calibri" w:eastAsia="Calibri" w:hAnsi="Calibri"/>
          <w:b/>
          <w:bCs/>
          <w:color w:val="1E40AF"/>
          <w:sz w:val="20"/>
          <w:szCs w:val="20"/>
        </w:rPr>
        <w:t xml:space="preserve">3. </w:t>
      </w:r>
      <w:r>
        <w:rPr>
          <w:rFonts w:ascii="Calibri" w:cs="Calibri" w:eastAsia="Calibri" w:hAnsi="Calibri"/>
          <w:b w:val="false"/>
          <w:bCs w:val="false"/>
          <w:color w:val="334155"/>
          <w:sz w:val="20"/>
          <w:szCs w:val="20"/>
        </w:rPr>
        <w:t xml:space="preserve">Justifica de manera natural y transparente ante el mercado la elevación de su tarifa media diaria (ADR).</w:t>
      </w:r>
    </w:p>
    <w:p>
      <w:pPr>
        <w:spacing w:after="60" w:before="60"/>
      </w:pPr>
      <w:r>
        <w:rPr>
          <w:rFonts w:ascii="Calibri" w:cs="Calibri" w:eastAsia="Calibri" w:hAnsi="Calibri"/>
          <w:b w:val="false"/>
          <w:bCs w:val="false"/>
          <w:color w:val="334155"/>
          <w:sz w:val="20"/>
          <w:szCs w:val="20"/>
        </w:rPr>
        <w:t xml:space="preserve">Para blindar la credibilidad ante el Comité de Dirección, la propuesta descarta saltos desproporcionados y modeliza un crecimiento del </w:t>
      </w:r>
      <w:r>
        <w:rPr>
          <w:rFonts w:ascii="Calibri" w:cs="Calibri" w:eastAsia="Calibri" w:hAnsi="Calibri"/>
          <w:b/>
          <w:bCs/>
          <w:color w:val="0F172A"/>
          <w:sz w:val="20"/>
          <w:szCs w:val="20"/>
        </w:rPr>
        <w:t xml:space="preserve">+7,50% sobre el cierre real auditado de 2025 (759.620,00 €)</w:t>
      </w:r>
      <w:r>
        <w:rPr>
          <w:rFonts w:ascii="Calibri" w:cs="Calibri" w:eastAsia="Calibri" w:hAnsi="Calibri"/>
          <w:b w:val="false"/>
          <w:bCs w:val="false"/>
          <w:color w:val="334155"/>
          <w:sz w:val="20"/>
          <w:szCs w:val="20"/>
        </w:rPr>
        <w:t xml:space="preserve">, fijando el objetivo oficial en </w:t>
      </w:r>
      <w:r>
        <w:rPr>
          <w:rFonts w:ascii="Calibri" w:cs="Calibri" w:eastAsia="Calibri" w:hAnsi="Calibri"/>
          <w:b/>
          <w:bCs/>
          <w:color w:val="0F172A"/>
          <w:sz w:val="20"/>
          <w:szCs w:val="20"/>
        </w:rPr>
        <w:t xml:space="preserve">816.591,50 €</w:t>
      </w:r>
      <w:r>
        <w:rPr>
          <w:rFonts w:ascii="Calibri" w:cs="Calibri" w:eastAsia="Calibri" w:hAnsi="Calibri"/>
          <w:b w:val="false"/>
          <w:bCs w:val="false"/>
          <w:color w:val="334155"/>
          <w:sz w:val="20"/>
          <w:szCs w:val="20"/>
        </w:rPr>
        <w:t xml:space="preserve"> de facturación neta de alojamiento (</w:t>
      </w:r>
      <w:r>
        <w:rPr>
          <w:rFonts w:ascii="Calibri" w:cs="Calibri" w:eastAsia="Calibri" w:hAnsi="Calibri"/>
          <w:b w:val="false"/>
          <w:bCs w:val="false"/>
          <w:i/>
          <w:iCs/>
          <w:color w:val="334155"/>
          <w:sz w:val="20"/>
          <w:szCs w:val="20"/>
        </w:rPr>
        <w:t xml:space="preserve">Room Revenue</w:t>
      </w:r>
      <w:r>
        <w:rPr>
          <w:rFonts w:ascii="Calibri" w:cs="Calibri" w:eastAsia="Calibri" w:hAnsi="Calibri"/>
          <w:b w:val="false"/>
          <w:bCs w:val="false"/>
          <w:color w:val="334155"/>
          <w:sz w:val="20"/>
          <w:szCs w:val="20"/>
        </w:rPr>
        <w:t xml:space="preserve">).</w:t>
      </w:r>
    </w:p>
    <w:p>
      <w:pPr>
        <w:pStyle w:val="Heading2"/>
        <w:spacing w:after="80" w:before="200"/>
      </w:pPr>
      <w:r>
        <w:rPr>
          <w:rFonts w:ascii="Calibri" w:cs="Calibri" w:eastAsia="Calibri" w:hAnsi="Calibri"/>
          <w:b/>
          <w:bCs/>
          <w:color w:val="0F172A"/>
          <w:sz w:val="22"/>
          <w:szCs w:val="22"/>
        </w:rPr>
        <w:t xml:space="preserve">Cuadro de Referencia: De la Producción Real al Primer Presupuesto Oficial 2027</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700"/>
        <w:gridCol w:w="2220"/>
        <w:gridCol w:w="2220"/>
        <w:gridCol w:w="2220"/>
        <w:gridCol w:w="2220"/>
        <w:gridCol w:w="2220"/>
      </w:tblGrid>
      <w:tr>
        <w:trPr>
          <w:cantSplit/>
          <w:tblHeader/>
        </w:trPr>
        <w:tc>
          <w:tcPr>
            <w:tcW w:type="dxa" w:w="37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Métrica de Alojamiento</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2023 (3★)</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2024 (3★)</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2025 (3★)</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Propuesta Primer BGT 2027 (4★)</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Crecimiento Objetivo (+7,5% vs 2025)</w:t>
            </w:r>
          </w:p>
        </w:tc>
      </w:tr>
      <w:tr>
        <w:trPr>
          <w:cantSplit/>
          <w:tblHeader w:val="off"/>
        </w:trPr>
        <w:tc>
          <w:tcPr>
            <w:tcW w:type="dxa" w:w="37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Room Revenue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671.251,00 €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664.425,00 €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759.620,00 €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816.591,50 €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+7,50% (+56.971,50 €)</w:t>
            </w:r>
          </w:p>
        </w:tc>
      </w:tr>
      <w:tr>
        <w:trPr>
          <w:cantSplit/>
          <w:tblHeader w:val="off"/>
        </w:trPr>
        <w:tc>
          <w:tcPr>
            <w:tcW w:type="dxa" w:w="3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Habitaciones Noche (RN)</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12.692</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12.180</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12.580</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13.003</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+3,36% (+423 RN)</w:t>
            </w:r>
          </w:p>
        </w:tc>
      </w:tr>
      <w:tr>
        <w:trPr>
          <w:cantSplit/>
          <w:tblHeader w:val="off"/>
        </w:trPr>
        <w:tc>
          <w:tcPr>
            <w:tcW w:type="dxa" w:w="37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Tarifa Media Diaria (ADR)</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52,89 €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54,55 €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60,38 €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62,80 €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+4,01% (+2,42 €)</w:t>
            </w:r>
          </w:p>
        </w:tc>
      </w:tr>
      <w:tr>
        <w:trPr>
          <w:cantSplit/>
          <w:tblHeader w:val="off"/>
        </w:trPr>
        <w:tc>
          <w:tcPr>
            <w:tcW w:type="dxa" w:w="3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Ocupación Media (%)</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58,94%</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56,56%</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58,42%</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60,38%</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+1,96 p.p.</w:t>
            </w:r>
          </w:p>
        </w:tc>
      </w:tr>
      <w:tr>
        <w:trPr>
          <w:cantSplit/>
          <w:tblHeader w:val="off"/>
        </w:trPr>
        <w:tc>
          <w:tcPr>
            <w:tcW w:type="dxa" w:w="37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RevPAR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31,17 €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30,85 €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35,27 €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37,92 €</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+7,51% (+2,65 €)</w:t>
            </w:r>
          </w:p>
        </w:tc>
      </w:tr>
    </w:tbl>
    <w:p>
      <w:pPr>
        <w:spacing w:after="120" w:before="100"/>
      </w:pPr>
    </w:p>
    <w:p>
      <w:pPr>
        <w:spacing w:after="60" w:before="60"/>
      </w:pPr>
      <w:r>
        <w:rPr>
          <w:rFonts w:ascii="Calibri" w:cs="Calibri" w:eastAsia="Calibri" w:hAnsi="Calibri"/>
          <w:b w:val="false"/>
          <w:bCs w:val="false"/>
          <w:i/>
          <w:iCs/>
          <w:color w:val="334155"/>
          <w:sz w:val="20"/>
          <w:szCs w:val="20"/>
        </w:rPr>
        <w:t xml:space="preserve">(Base de dimensionamiento: 59 habitaciones operativas = 21.535 habitaciones noche disponibles al año).</w:t>
      </w: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2. AUDITORÍA HISTÓRICA REAL (2023 – 2025): BASE DE PARTIDA DEL CUMBRIA</w:t>
      </w:r>
    </w:p>
    <w:p>
      <w:pPr>
        <w:spacing w:after="60" w:before="60"/>
      </w:pPr>
      <w:r>
        <w:rPr>
          <w:rFonts w:ascii="Calibri" w:cs="Calibri" w:eastAsia="Calibri" w:hAnsi="Calibri"/>
          <w:b w:val="false"/>
          <w:bCs w:val="false"/>
          <w:color w:val="334155"/>
          <w:sz w:val="20"/>
          <w:szCs w:val="20"/>
        </w:rPr>
        <w:t xml:space="preserve">El análisis de la contabilidad analítica de alojamiento de los tres últimos ejercicios consolidados demuestra la solidez de la base operativa del Hotel Cumbria:</w:t>
      </w:r>
    </w:p>
    <w:p>
      <w:pPr>
        <w:pStyle w:val="Heading2"/>
        <w:spacing w:after="80" w:before="200"/>
      </w:pPr>
      <w:r>
        <w:rPr>
          <w:rFonts w:ascii="Calibri" w:cs="Calibri" w:eastAsia="Calibri" w:hAnsi="Calibri"/>
          <w:b/>
          <w:bCs/>
          <w:color w:val="0F172A"/>
          <w:sz w:val="22"/>
          <w:szCs w:val="22"/>
        </w:rPr>
        <w:t xml:space="preserve">Evolución Real Trianual de Alojamiento (2023 – 2025)</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
        <w:gridCol w:w="2220"/>
        <w:gridCol w:w="1776"/>
        <w:gridCol w:w="1628"/>
        <w:gridCol w:w="1628"/>
        <w:gridCol w:w="1628"/>
        <w:gridCol w:w="4440"/>
      </w:tblGrid>
      <w:tr>
        <w:trPr>
          <w:cantSplit/>
          <w:tblHeader/>
        </w:trPr>
        <w:tc>
          <w:tcPr>
            <w:tcW w:type="dxa" w:w="148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Ejercicio</w:t>
            </w:r>
          </w:p>
        </w:tc>
        <w:tc>
          <w:tcPr>
            <w:tcW w:type="dxa" w:w="222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Room Revenue (€)</w:t>
            </w:r>
          </w:p>
        </w:tc>
        <w:tc>
          <w:tcPr>
            <w:tcW w:type="dxa" w:w="1776"/>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Habitaciones (RN)</w:t>
            </w:r>
          </w:p>
        </w:tc>
        <w:tc>
          <w:tcPr>
            <w:tcW w:type="dxa" w:w="1628"/>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ADR Real (€)</w:t>
            </w:r>
          </w:p>
        </w:tc>
        <w:tc>
          <w:tcPr>
            <w:tcW w:type="dxa" w:w="1628"/>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Ocupación (%)</w:t>
            </w:r>
          </w:p>
        </w:tc>
        <w:tc>
          <w:tcPr>
            <w:tcW w:type="dxa" w:w="1628"/>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RevPAR (€)</w:t>
            </w:r>
          </w:p>
        </w:tc>
        <w:tc>
          <w:tcPr>
            <w:tcW w:type="dxa" w:w="444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Diagnóstico Operativo</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2023</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671.251,00 €</w:t>
            </w:r>
          </w:p>
        </w:tc>
        <w:tc>
          <w:tcPr>
            <w:tcW w:type="dxa" w:w="1776"/>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12.692</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52,89 €</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58,94%</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31,17 €</w:t>
            </w:r>
          </w:p>
        </w:tc>
        <w:tc>
          <w:tcPr>
            <w:tcW w:type="dxa" w:w="444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Etapa de volumen medio y tarifa básica como hotel de 3 estrellas.</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2024</w:t>
            </w:r>
          </w:p>
        </w:tc>
        <w:tc>
          <w:tcPr>
            <w:tcW w:type="dxa" w:w="222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664.425,00 €</w:t>
            </w:r>
          </w:p>
        </w:tc>
        <w:tc>
          <w:tcPr>
            <w:tcW w:type="dxa" w:w="1776"/>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12.180</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54,55 €</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56,56%</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30,85 €</w:t>
            </w:r>
          </w:p>
        </w:tc>
        <w:tc>
          <w:tcPr>
            <w:tcW w:type="dxa" w:w="444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Consolidación de demanda y primer avance en precios medios (+3,1%).</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2025</w:t>
            </w:r>
          </w:p>
        </w:tc>
        <w:tc>
          <w:tcPr>
            <w:tcW w:type="dxa" w:w="222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759.620,00 €</w:t>
            </w:r>
          </w:p>
        </w:tc>
        <w:tc>
          <w:tcPr>
            <w:tcW w:type="dxa" w:w="1776"/>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12.580</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60,38 €</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58,42%</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35,27 €</w:t>
            </w:r>
          </w:p>
        </w:tc>
        <w:tc>
          <w:tcPr>
            <w:tcW w:type="dxa" w:w="444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Cierre récord auditado: Aceleración de facturación (+14,3%) y salto de ADR (+10,7%).</w:t>
            </w:r>
          </w:p>
        </w:tc>
      </w:tr>
    </w:tbl>
    <w:p>
      <w:pPr>
        <w:spacing w:after="120" w:before="100"/>
      </w:pPr>
    </w:p>
    <w:p>
      <w:pPr>
        <w:pStyle w:val="Heading2"/>
        <w:spacing w:after="80" w:before="200"/>
      </w:pPr>
      <w:r>
        <w:rPr>
          <w:rFonts w:ascii="Calibri" w:cs="Calibri" w:eastAsia="Calibri" w:hAnsi="Calibri"/>
          <w:b/>
          <w:bCs/>
          <w:color w:val="0F172A"/>
          <w:sz w:val="22"/>
          <w:szCs w:val="22"/>
        </w:rPr>
        <w:t xml:space="preserve">Diagnóstico Técnico para la Formulación del Presupuesto:</w:t>
      </w:r>
    </w:p>
    <w:p>
      <w:pPr>
        <w:spacing w:after="60" w:before="60"/>
      </w:pPr>
      <w:r>
        <w:rPr>
          <w:rFonts w:ascii="Calibri" w:cs="Calibri" w:eastAsia="Calibri" w:hAnsi="Calibri"/>
          <w:b/>
          <w:bCs/>
          <w:color w:val="1E40AF"/>
          <w:sz w:val="20"/>
          <w:szCs w:val="20"/>
        </w:rPr>
        <w:t xml:space="preserve">1. </w:t>
      </w:r>
      <w:r>
        <w:rPr>
          <w:rFonts w:ascii="Calibri" w:cs="Calibri" w:eastAsia="Calibri" w:hAnsi="Calibri"/>
          <w:b/>
          <w:bCs/>
          <w:color w:val="0F172A"/>
          <w:sz w:val="20"/>
          <w:szCs w:val="20"/>
        </w:rPr>
        <w:t xml:space="preserve">Poder de Fijación de Tarifa Demostrado:</w:t>
      </w:r>
      <w:r>
        <w:rPr>
          <w:rFonts w:ascii="Calibri" w:cs="Calibri" w:eastAsia="Calibri" w:hAnsi="Calibri"/>
          <w:b w:val="false"/>
          <w:bCs w:val="false"/>
          <w:color w:val="334155"/>
          <w:sz w:val="20"/>
          <w:szCs w:val="20"/>
        </w:rPr>
        <w:t xml:space="preserve"> Incluso en la categoría de 3 estrellas, el Cumbria logró elevar su ADR de 52,89 € a 60,38 € (+14,16%) manteniendo la ocupación estable en el 58,4%. Esto prueba que el establecimiento cuenta con una clientela fiel que asume mejoras de tarifa.</w:t>
      </w:r>
    </w:p>
    <w:p>
      <w:pPr>
        <w:spacing w:after="60" w:before="60"/>
      </w:pPr>
      <w:r>
        <w:rPr>
          <w:rFonts w:ascii="Calibri" w:cs="Calibri" w:eastAsia="Calibri" w:hAnsi="Calibri"/>
          <w:b/>
          <w:bCs/>
          <w:color w:val="1E40AF"/>
          <w:sz w:val="20"/>
          <w:szCs w:val="20"/>
        </w:rPr>
        <w:t xml:space="preserve">2. </w:t>
      </w:r>
      <w:r>
        <w:rPr>
          <w:rFonts w:ascii="Calibri" w:cs="Calibri" w:eastAsia="Calibri" w:hAnsi="Calibri"/>
          <w:b/>
          <w:bCs/>
          <w:color w:val="0F172A"/>
          <w:sz w:val="20"/>
          <w:szCs w:val="20"/>
        </w:rPr>
        <w:t xml:space="preserve">Impacto Inmediato del Salto a 4 Estrellas:</w:t>
      </w:r>
      <w:r>
        <w:rPr>
          <w:rFonts w:ascii="Calibri" w:cs="Calibri" w:eastAsia="Calibri" w:hAnsi="Calibri"/>
          <w:b w:val="false"/>
          <w:bCs w:val="false"/>
          <w:color w:val="334155"/>
          <w:sz w:val="20"/>
          <w:szCs w:val="20"/>
        </w:rPr>
        <w:t xml:space="preserve"> Con la nueva categoría, alcanzar un ADR de </w:t>
      </w:r>
      <w:r>
        <w:rPr>
          <w:rFonts w:ascii="Calibri" w:cs="Calibri" w:eastAsia="Calibri" w:hAnsi="Calibri"/>
          <w:b/>
          <w:bCs/>
          <w:color w:val="0F172A"/>
          <w:sz w:val="20"/>
          <w:szCs w:val="20"/>
        </w:rPr>
        <w:t xml:space="preserve">62,80 €</w:t>
      </w:r>
      <w:r>
        <w:rPr>
          <w:rFonts w:ascii="Calibri" w:cs="Calibri" w:eastAsia="Calibri" w:hAnsi="Calibri"/>
          <w:b w:val="false"/>
          <w:bCs w:val="false"/>
          <w:color w:val="334155"/>
          <w:sz w:val="20"/>
          <w:szCs w:val="20"/>
        </w:rPr>
        <w:t xml:space="preserve"> (+4,01% vs 2025) no solo es una meta extraordinariamente prudente, sino que se sitúa en la banda baja de precios de los hoteles de 4 estrellas de la provincia, ofreciendo una relación calidad-precio altamente atractiva.</w:t>
      </w:r>
    </w:p>
    <w:p>
      <w:pPr>
        <w:spacing w:after="60" w:before="60"/>
      </w:pPr>
      <w:r>
        <w:rPr>
          <w:rFonts w:ascii="Calibri" w:cs="Calibri" w:eastAsia="Calibri" w:hAnsi="Calibri"/>
          <w:b/>
          <w:bCs/>
          <w:color w:val="1E40AF"/>
          <w:sz w:val="20"/>
          <w:szCs w:val="20"/>
        </w:rPr>
        <w:t xml:space="preserve">3. </w:t>
      </w:r>
      <w:r>
        <w:rPr>
          <w:rFonts w:ascii="Calibri" w:cs="Calibri" w:eastAsia="Calibri" w:hAnsi="Calibri"/>
          <w:b/>
          <w:bCs/>
          <w:color w:val="0F172A"/>
          <w:sz w:val="20"/>
          <w:szCs w:val="20"/>
        </w:rPr>
        <w:t xml:space="preserve">Escala Operativa de 59 Habitaciones:</w:t>
      </w:r>
      <w:r>
        <w:rPr>
          <w:rFonts w:ascii="Calibri" w:cs="Calibri" w:eastAsia="Calibri" w:hAnsi="Calibri"/>
          <w:b w:val="false"/>
          <w:bCs w:val="false"/>
          <w:color w:val="334155"/>
          <w:sz w:val="20"/>
          <w:szCs w:val="20"/>
        </w:rPr>
        <w:t xml:space="preserve"> Al tratarse de un hotel de 59 habitaciones, absorber el crecimiento de volumen presupuestado (+423 habitaciones noche al año) equivale únicamente a vender </w:t>
      </w:r>
      <w:r>
        <w:rPr>
          <w:rFonts w:ascii="Calibri" w:cs="Calibri" w:eastAsia="Calibri" w:hAnsi="Calibri"/>
          <w:b/>
          <w:bCs/>
          <w:color w:val="0F172A"/>
          <w:sz w:val="20"/>
          <w:szCs w:val="20"/>
        </w:rPr>
        <w:t xml:space="preserve">1,16 habitaciones adicionales al día</w:t>
      </w:r>
      <w:r>
        <w:rPr>
          <w:rFonts w:ascii="Calibri" w:cs="Calibri" w:eastAsia="Calibri" w:hAnsi="Calibri"/>
          <w:b w:val="false"/>
          <w:bCs w:val="false"/>
          <w:color w:val="334155"/>
          <w:sz w:val="20"/>
          <w:szCs w:val="20"/>
        </w:rPr>
        <w:t xml:space="preserve">. La captación de grupos habilitada por la 4ª estrella garantiza con creces este objetivo.</w:t>
      </w: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3. COMPORTAMIENTO HISTÓRICO MENSUAL REAL (2023 – 2025) Y PROYECCIÓN 2027 (+7,5%)</w:t>
      </w:r>
    </w:p>
    <w:p>
      <w:pPr>
        <w:spacing w:after="60" w:before="60"/>
      </w:pPr>
      <w:r>
        <w:rPr>
          <w:rFonts w:ascii="Calibri" w:cs="Calibri" w:eastAsia="Calibri" w:hAnsi="Calibri"/>
          <w:b w:val="false"/>
          <w:bCs w:val="false"/>
          <w:color w:val="334155"/>
          <w:sz w:val="20"/>
          <w:szCs w:val="20"/>
        </w:rPr>
        <w:t xml:space="preserve">La serie mensual auditada permite calibrar con exactitud el comportamiento de la demanda mes a mes, trasladando el objetivo del </w:t>
      </w:r>
      <w:r>
        <w:rPr>
          <w:rFonts w:ascii="Calibri" w:cs="Calibri" w:eastAsia="Calibri" w:hAnsi="Calibri"/>
          <w:b/>
          <w:bCs/>
          <w:color w:val="0F172A"/>
          <w:sz w:val="20"/>
          <w:szCs w:val="20"/>
        </w:rPr>
        <w:t xml:space="preserve">+7,50%</w:t>
      </w:r>
      <w:r>
        <w:rPr>
          <w:rFonts w:ascii="Calibri" w:cs="Calibri" w:eastAsia="Calibri" w:hAnsi="Calibri"/>
          <w:b w:val="false"/>
          <w:bCs w:val="false"/>
          <w:color w:val="334155"/>
          <w:sz w:val="20"/>
          <w:szCs w:val="20"/>
        </w:rPr>
        <w:t xml:space="preserve"> de forma homogénea y rigurosa sobre el ejercicio 2025:</w:t>
      </w:r>
    </w:p>
    <w:p>
      <w:pPr>
        <w:pStyle w:val="Heading2"/>
        <w:spacing w:after="80" w:before="200"/>
      </w:pPr>
      <w:r>
        <w:rPr>
          <w:rFonts w:ascii="Calibri" w:cs="Calibri" w:eastAsia="Calibri" w:hAnsi="Calibri"/>
          <w:b/>
          <w:bCs/>
          <w:color w:val="0F172A"/>
          <w:sz w:val="22"/>
          <w:szCs w:val="22"/>
        </w:rPr>
        <w:t xml:space="preserve">Comparativa de Room Revenue (€) Mes a Mes (2023 – 2025 vs Propuesta 2027)</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750"/>
        <w:gridCol w:w="1750"/>
        <w:gridCol w:w="1850"/>
        <w:gridCol w:w="2100"/>
        <w:gridCol w:w="4200"/>
      </w:tblGrid>
      <w:tr>
        <w:trPr>
          <w:cantSplit/>
          <w:tblHeader/>
        </w:trPr>
        <w:tc>
          <w:tcPr>
            <w:tcW w:type="dxa" w:w="14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Mes</w:t>
            </w:r>
          </w:p>
        </w:tc>
        <w:tc>
          <w:tcPr>
            <w:tcW w:type="dxa" w:w="175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2023 (€)</w:t>
            </w:r>
          </w:p>
        </w:tc>
        <w:tc>
          <w:tcPr>
            <w:tcW w:type="dxa" w:w="175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2024 (€)</w:t>
            </w:r>
          </w:p>
        </w:tc>
        <w:tc>
          <w:tcPr>
            <w:tcW w:type="dxa" w:w="175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2025 (€)</w:t>
            </w:r>
          </w:p>
        </w:tc>
        <w:tc>
          <w:tcPr>
            <w:tcW w:type="dxa" w:w="185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Media 3 Años (€)</w:t>
            </w:r>
          </w:p>
        </w:tc>
        <w:tc>
          <w:tcPr>
            <w:tcW w:type="dxa" w:w="21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Propuesta Oficial 2027 (€)</w:t>
            </w:r>
          </w:p>
        </w:tc>
        <w:tc>
          <w:tcPr>
            <w:tcW w:type="dxa" w:w="42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Criterio de Fijación Presupuestaria 2027</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Enero</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32.851,00 €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32.119,00 €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43.121,00 €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36.030,33 €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46.355,08 €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Corporativo de inicio de año y refuerzo de grupos deportivos 4*.</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Febrero</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47.874,00 €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42.062,00 €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42.183,00 €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44.039,67 €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45.346,73 €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Grupos culturales y de enoturismo en fin de semana.</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Marzo</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47.944,00 €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64.574,00 €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45.587,00 €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52.701,67 €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49.006,03 €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Convenciones técnicas de primavera y eventos formativos.</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Abril</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57.222,00 €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70.553,00 €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57.792,00 €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61.855,67 €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62.126,40 €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Impulso de Semana Santa y circuitos turísticos de primavera.</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Mayo</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71.562,00 €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66.532,00 €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107.674,00 €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81.922,67 €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115.749,55 €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Pico anual absoluto: Máxima concentración de eventos, ADR a 82,59 €.</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Junio</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57.465,00 €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60.156,00 €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63.936,00 €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60.519,00 €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68.731,20 €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Cierre corporativo semestral y primeros grupos organizados de verano.</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Julio</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57.838,00 €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67.400,00 €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67.294,00 €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64.177,33 €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72.341,05 €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Tráfico de paso vacacional y grupos de circuitos intermodales 4*.</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Agosto</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60.066,00 €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52.475,00 €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56.588,00 €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56.376,33 €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60.832,10 €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Soporte de grupos turísticos vacacionales y tránsito de carretera.</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Septiembre</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68.056,00 €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53.000,00 €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67.184,00 €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62.746,67 €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72.222,80 €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Retorno corporativo con ocupación en ascenso y convenciones de empresa.</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Octubre</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65.913,00 €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62.425,00 €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84.528,00 €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70.955,33 €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90.867,60 €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Segundo pilar del hotel: Alta ocupación (81,1%) y congresos técnicos.</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Noviembre</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56.279,00 €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56.985,00 €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67.196,00 €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60.153,33 €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72.235,70 €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Jornadas de trabajo corporativas y delegaciones profesionales.</w:t>
            </w:r>
          </w:p>
        </w:tc>
      </w:tr>
      <w:tr>
        <w:trPr>
          <w:cantSplit/>
          <w:tblHeader w:val="off"/>
        </w:trPr>
        <w:tc>
          <w:tcPr>
            <w:tcW w:type="dxa" w:w="14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Diciembre</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48.181,00 €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36.144,00 €</w:t>
            </w:r>
          </w:p>
        </w:tc>
        <w:tc>
          <w:tcPr>
            <w:tcW w:type="dxa" w:w="17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56.537,00 €</w:t>
            </w:r>
          </w:p>
        </w:tc>
        <w:tc>
          <w:tcPr>
            <w:tcW w:type="dxa" w:w="185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46.954,00 €</w:t>
            </w:r>
          </w:p>
        </w:tc>
        <w:tc>
          <w:tcPr>
            <w:tcW w:type="dxa" w:w="21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60.777,26 €</w:t>
            </w:r>
          </w:p>
        </w:tc>
        <w:tc>
          <w:tcPr>
            <w:tcW w:type="dxa" w:w="42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Puente de la Constitución, eventos familiares y grupos de fin de año.</w:t>
            </w:r>
          </w:p>
        </w:tc>
      </w:tr>
      <w:tr>
        <w:trPr>
          <w:cantSplit/>
          <w:tblHeader w:val="off"/>
        </w:trPr>
        <w:tc>
          <w:tcPr>
            <w:tcW w:type="dxa" w:w="14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TOTAL</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671.251,00 €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664.425,00 €</w:t>
            </w:r>
          </w:p>
        </w:tc>
        <w:tc>
          <w:tcPr>
            <w:tcW w:type="dxa" w:w="17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759.620,00 €</w:t>
            </w:r>
          </w:p>
        </w:tc>
        <w:tc>
          <w:tcPr>
            <w:tcW w:type="dxa" w:w="185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698.431,67 €</w:t>
            </w:r>
          </w:p>
        </w:tc>
        <w:tc>
          <w:tcPr>
            <w:tcW w:type="dxa" w:w="21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816.591,50 €</w:t>
            </w:r>
          </w:p>
        </w:tc>
        <w:tc>
          <w:tcPr>
            <w:tcW w:type="dxa" w:w="42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Primer Presupuesto Oficial: Crecimiento neto +7,50% (+56.971,50 €).</w:t>
            </w:r>
          </w:p>
        </w:tc>
      </w:tr>
    </w:tbl>
    <w:p>
      <w:pPr>
        <w:spacing w:after="120" w:before="100"/>
      </w:pP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4. ANÁLISIS DE LA ESTACIONALIDAD SINGULAR DEL HOTEL CUMBRIA</w:t>
      </w:r>
    </w:p>
    <w:p>
      <w:pPr>
        <w:spacing w:after="60" w:before="60"/>
      </w:pPr>
      <w:r>
        <w:rPr>
          <w:rFonts w:ascii="Calibri" w:cs="Calibri" w:eastAsia="Calibri" w:hAnsi="Calibri"/>
          <w:b w:val="false"/>
          <w:bCs w:val="false"/>
          <w:color w:val="334155"/>
          <w:sz w:val="20"/>
          <w:szCs w:val="20"/>
        </w:rPr>
        <w:t xml:space="preserve">El Hotel Cumbria cuenta con una estructura de demanda bimestral de alto rendimiento combinada con un flujo veraniego muy dinámico:</w:t>
      </w:r>
    </w:p>
    <w:p>
      <w:pPr>
        <w:pStyle w:val="ListParagraph"/>
        <w:numPr>
          <w:ilvl w:val="0"/>
          <w:numId w:val="1"/>
        </w:numPr>
        <w:spacing w:after="50" w:before="50"/>
      </w:pPr>
      <w:r>
        <w:rPr>
          <w:rFonts w:ascii="Calibri" w:cs="Calibri" w:eastAsia="Calibri" w:hAnsi="Calibri"/>
          <w:b/>
          <w:bCs/>
          <w:color w:val="0F172A"/>
          <w:sz w:val="20"/>
          <w:szCs w:val="20"/>
        </w:rPr>
        <w:t xml:space="preserve">Mayo (Pilar Absoluto de Rentabilidad y Facturación):</w:t>
      </w:r>
    </w:p>
    <w:p>
      <w:pPr>
        <w:pStyle w:val="ListParagraph"/>
        <w:numPr>
          <w:ilvl w:val="0"/>
          <w:numId w:val="1"/>
        </w:numPr>
        <w:spacing w:after="50" w:before="50"/>
      </w:pPr>
      <w:r>
        <w:rPr>
          <w:rFonts w:ascii="Calibri" w:cs="Calibri" w:eastAsia="Calibri" w:hAnsi="Calibri"/>
          <w:b/>
          <w:bCs/>
          <w:color w:val="0F172A"/>
          <w:sz w:val="20"/>
          <w:szCs w:val="20"/>
        </w:rPr>
        <w:t xml:space="preserve">Objetivo 2027:</w:t>
      </w:r>
      <w:r>
        <w:rPr>
          <w:rFonts w:ascii="Calibri" w:cs="Calibri" w:eastAsia="Calibri" w:hAnsi="Calibri"/>
          <w:b w:val="false"/>
          <w:bCs w:val="false"/>
          <w:color w:val="334155"/>
          <w:sz w:val="20"/>
          <w:szCs w:val="20"/>
        </w:rPr>
        <w:t xml:space="preserve"> </w:t>
      </w:r>
      <w:r>
        <w:rPr>
          <w:rFonts w:ascii="Calibri" w:cs="Calibri" w:eastAsia="Calibri" w:hAnsi="Calibri"/>
          <w:b/>
          <w:bCs/>
          <w:color w:val="0F172A"/>
          <w:sz w:val="20"/>
          <w:szCs w:val="20"/>
        </w:rPr>
        <w:t xml:space="preserve">115.749,55 €</w:t>
      </w:r>
      <w:r>
        <w:rPr>
          <w:rFonts w:ascii="Calibri" w:cs="Calibri" w:eastAsia="Calibri" w:hAnsi="Calibri"/>
          <w:b w:val="false"/>
          <w:bCs w:val="false"/>
          <w:color w:val="334155"/>
          <w:sz w:val="20"/>
          <w:szCs w:val="20"/>
        </w:rPr>
        <w:t xml:space="preserve"> (14,2% de la facturación anual).</w:t>
      </w:r>
    </w:p>
    <w:p>
      <w:pPr>
        <w:pStyle w:val="ListParagraph"/>
        <w:numPr>
          <w:ilvl w:val="0"/>
          <w:numId w:val="1"/>
        </w:numPr>
        <w:spacing w:after="50" w:before="50"/>
      </w:pPr>
      <w:r>
        <w:rPr>
          <w:rFonts w:ascii="Calibri" w:cs="Calibri" w:eastAsia="Calibri" w:hAnsi="Calibri"/>
          <w:b/>
          <w:bCs/>
          <w:color w:val="0F172A"/>
          <w:sz w:val="20"/>
          <w:szCs w:val="20"/>
        </w:rPr>
        <w:t xml:space="preserve">Comportamiento:</w:t>
      </w:r>
      <w:r>
        <w:rPr>
          <w:rFonts w:ascii="Calibri" w:cs="Calibri" w:eastAsia="Calibri" w:hAnsi="Calibri"/>
          <w:b w:val="false"/>
          <w:bCs w:val="false"/>
          <w:color w:val="334155"/>
          <w:sz w:val="20"/>
          <w:szCs w:val="20"/>
        </w:rPr>
        <w:t xml:space="preserve"> Mayo representa el máximo histórico del establecimiento (107.674 € en 2025). Con el nuevo estándar de 4 estrellas, se proyecta un ADR de </w:t>
      </w:r>
      <w:r>
        <w:rPr>
          <w:rFonts w:ascii="Calibri" w:cs="Calibri" w:eastAsia="Calibri" w:hAnsi="Calibri"/>
          <w:b/>
          <w:bCs/>
          <w:color w:val="0F172A"/>
          <w:sz w:val="20"/>
          <w:szCs w:val="20"/>
        </w:rPr>
        <w:t xml:space="preserve">82,59 €</w:t>
      </w:r>
      <w:r>
        <w:rPr>
          <w:rFonts w:ascii="Calibri" w:cs="Calibri" w:eastAsia="Calibri" w:hAnsi="Calibri"/>
          <w:b w:val="false"/>
          <w:bCs w:val="false"/>
          <w:color w:val="334155"/>
          <w:sz w:val="20"/>
          <w:szCs w:val="20"/>
        </w:rPr>
        <w:t xml:space="preserve"> y una ocupación del </w:t>
      </w:r>
      <w:r>
        <w:rPr>
          <w:rFonts w:ascii="Calibri" w:cs="Calibri" w:eastAsia="Calibri" w:hAnsi="Calibri"/>
          <w:b/>
          <w:bCs/>
          <w:color w:val="0F172A"/>
          <w:sz w:val="20"/>
          <w:szCs w:val="20"/>
        </w:rPr>
        <w:t xml:space="preserve">76,6%</w:t>
      </w:r>
      <w:r>
        <w:rPr>
          <w:rFonts w:ascii="Calibri" w:cs="Calibri" w:eastAsia="Calibri" w:hAnsi="Calibri"/>
          <w:b w:val="false"/>
          <w:bCs w:val="false"/>
          <w:color w:val="334155"/>
          <w:sz w:val="20"/>
          <w:szCs w:val="20"/>
        </w:rPr>
        <w:t xml:space="preserve"> (1.401 habitaciones vendidas).</w:t>
      </w:r>
    </w:p>
    <w:p>
      <w:pPr>
        <w:pStyle w:val="ListParagraph"/>
        <w:numPr>
          <w:ilvl w:val="0"/>
          <w:numId w:val="1"/>
        </w:numPr>
        <w:spacing w:after="50" w:before="50"/>
      </w:pPr>
      <w:r>
        <w:rPr>
          <w:rFonts w:ascii="Calibri" w:cs="Calibri" w:eastAsia="Calibri" w:hAnsi="Calibri"/>
          <w:b/>
          <w:bCs/>
          <w:color w:val="0F172A"/>
          <w:sz w:val="20"/>
          <w:szCs w:val="20"/>
        </w:rPr>
        <w:t xml:space="preserve">Octubre (El Segundo Gran Bastión Corporativo e Institucional):</w:t>
      </w:r>
    </w:p>
    <w:p>
      <w:pPr>
        <w:pStyle w:val="ListParagraph"/>
        <w:numPr>
          <w:ilvl w:val="0"/>
          <w:numId w:val="1"/>
        </w:numPr>
        <w:spacing w:after="50" w:before="50"/>
      </w:pPr>
      <w:r>
        <w:rPr>
          <w:rFonts w:ascii="Calibri" w:cs="Calibri" w:eastAsia="Calibri" w:hAnsi="Calibri"/>
          <w:b/>
          <w:bCs/>
          <w:color w:val="0F172A"/>
          <w:sz w:val="20"/>
          <w:szCs w:val="20"/>
        </w:rPr>
        <w:t xml:space="preserve">Objetivo 2027:</w:t>
      </w:r>
      <w:r>
        <w:rPr>
          <w:rFonts w:ascii="Calibri" w:cs="Calibri" w:eastAsia="Calibri" w:hAnsi="Calibri"/>
          <w:b w:val="false"/>
          <w:bCs w:val="false"/>
          <w:color w:val="334155"/>
          <w:sz w:val="20"/>
          <w:szCs w:val="20"/>
        </w:rPr>
        <w:t xml:space="preserve"> </w:t>
      </w:r>
      <w:r>
        <w:rPr>
          <w:rFonts w:ascii="Calibri" w:cs="Calibri" w:eastAsia="Calibri" w:hAnsi="Calibri"/>
          <w:b/>
          <w:bCs/>
          <w:color w:val="0F172A"/>
          <w:sz w:val="20"/>
          <w:szCs w:val="20"/>
        </w:rPr>
        <w:t xml:space="preserve">90.867,60 €</w:t>
      </w:r>
      <w:r>
        <w:rPr>
          <w:rFonts w:ascii="Calibri" w:cs="Calibri" w:eastAsia="Calibri" w:hAnsi="Calibri"/>
          <w:b w:val="false"/>
          <w:bCs w:val="false"/>
          <w:color w:val="334155"/>
          <w:sz w:val="20"/>
          <w:szCs w:val="20"/>
        </w:rPr>
        <w:t xml:space="preserve"> (11,1% del total anual).</w:t>
      </w:r>
    </w:p>
    <w:p>
      <w:pPr>
        <w:pStyle w:val="ListParagraph"/>
        <w:numPr>
          <w:ilvl w:val="0"/>
          <w:numId w:val="1"/>
        </w:numPr>
        <w:spacing w:after="50" w:before="50"/>
      </w:pPr>
      <w:r>
        <w:rPr>
          <w:rFonts w:ascii="Calibri" w:cs="Calibri" w:eastAsia="Calibri" w:hAnsi="Calibri"/>
          <w:b/>
          <w:bCs/>
          <w:color w:val="0F172A"/>
          <w:sz w:val="20"/>
          <w:szCs w:val="20"/>
        </w:rPr>
        <w:t xml:space="preserve">Comportamiento:</w:t>
      </w:r>
      <w:r>
        <w:rPr>
          <w:rFonts w:ascii="Calibri" w:cs="Calibri" w:eastAsia="Calibri" w:hAnsi="Calibri"/>
          <w:b w:val="false"/>
          <w:bCs w:val="false"/>
          <w:color w:val="334155"/>
          <w:sz w:val="20"/>
          <w:szCs w:val="20"/>
        </w:rPr>
        <w:t xml:space="preserve"> Es el mes de mayor ocupación porcentual (</w:t>
      </w:r>
      <w:r>
        <w:rPr>
          <w:rFonts w:ascii="Calibri" w:cs="Calibri" w:eastAsia="Calibri" w:hAnsi="Calibri"/>
          <w:b/>
          <w:bCs/>
          <w:color w:val="0F172A"/>
          <w:sz w:val="20"/>
          <w:szCs w:val="20"/>
        </w:rPr>
        <w:t xml:space="preserve">81,1%</w:t>
      </w:r>
      <w:r>
        <w:rPr>
          <w:rFonts w:ascii="Calibri" w:cs="Calibri" w:eastAsia="Calibri" w:hAnsi="Calibri"/>
          <w:b w:val="false"/>
          <w:bCs w:val="false"/>
          <w:color w:val="334155"/>
          <w:sz w:val="20"/>
          <w:szCs w:val="20"/>
        </w:rPr>
        <w:t xml:space="preserve">, con 1.483 RN), impulsado por la confluencia de ferias, congresos técnicos y encuentros profesionales.</w:t>
      </w:r>
    </w:p>
    <w:p>
      <w:pPr>
        <w:pStyle w:val="ListParagraph"/>
        <w:numPr>
          <w:ilvl w:val="0"/>
          <w:numId w:val="1"/>
        </w:numPr>
        <w:spacing w:after="50" w:before="50"/>
      </w:pPr>
      <w:r>
        <w:rPr>
          <w:rFonts w:ascii="Calibri" w:cs="Calibri" w:eastAsia="Calibri" w:hAnsi="Calibri"/>
          <w:b/>
          <w:bCs/>
          <w:color w:val="0F172A"/>
          <w:sz w:val="20"/>
          <w:szCs w:val="20"/>
        </w:rPr>
        <w:t xml:space="preserve">El Cuatrimestre Estival (Junio a Septiembre):</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Suma </w:t>
      </w:r>
      <w:r>
        <w:rPr>
          <w:rFonts w:ascii="Calibri" w:cs="Calibri" w:eastAsia="Calibri" w:hAnsi="Calibri"/>
          <w:b/>
          <w:bCs/>
          <w:color w:val="0F172A"/>
          <w:sz w:val="20"/>
          <w:szCs w:val="20"/>
        </w:rPr>
        <w:t xml:space="preserve">274.127,15 €</w:t>
      </w:r>
      <w:r>
        <w:rPr>
          <w:rFonts w:ascii="Calibri" w:cs="Calibri" w:eastAsia="Calibri" w:hAnsi="Calibri"/>
          <w:b w:val="false"/>
          <w:bCs w:val="false"/>
          <w:color w:val="334155"/>
          <w:sz w:val="20"/>
          <w:szCs w:val="20"/>
        </w:rPr>
        <w:t xml:space="preserve"> (33,6% del año), sustentado por el tráfico intermodal por carretera, el turismo de interior y el flujo corporativo constante.</w:t>
      </w:r>
    </w:p>
    <w:p>
      <w:pPr>
        <w:pStyle w:val="ListParagraph"/>
        <w:numPr>
          <w:ilvl w:val="0"/>
          <w:numId w:val="1"/>
        </w:numPr>
        <w:spacing w:after="50" w:before="50"/>
      </w:pPr>
      <w:r>
        <w:rPr>
          <w:rFonts w:ascii="Calibri" w:cs="Calibri" w:eastAsia="Calibri" w:hAnsi="Calibri"/>
          <w:b/>
          <w:bCs/>
          <w:color w:val="0F172A"/>
          <w:sz w:val="20"/>
          <w:szCs w:val="20"/>
        </w:rPr>
        <w:t xml:space="preserve">Los Meses Valle de Invierno (Enero y Febrero):</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Suponen la base de menor intensidad (45.000 € – 46.000 € mensuales), donde la nueva categoría de 4 estrellas permitirá captar grupos deportivos y de paso técnico para elevar la ocupación base.</w:t>
      </w: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5. PLAN MAESTRO MENSUAL 2027 (HABITACIONES, ADR, OCUPACIÓN Y REVPAR)</w:t>
      </w:r>
    </w:p>
    <w:p>
      <w:pPr>
        <w:spacing w:after="60" w:before="60"/>
      </w:pPr>
      <w:r>
        <w:rPr>
          <w:rFonts w:ascii="Calibri" w:cs="Calibri" w:eastAsia="Calibri" w:hAnsi="Calibri"/>
          <w:b w:val="false"/>
          <w:bCs w:val="false"/>
          <w:color w:val="334155"/>
          <w:sz w:val="20"/>
          <w:szCs w:val="20"/>
        </w:rPr>
        <w:t xml:space="preserve">El plan operativo mensual traduce el objetivo del </w:t>
      </w:r>
      <w:r>
        <w:rPr>
          <w:rFonts w:ascii="Calibri" w:cs="Calibri" w:eastAsia="Calibri" w:hAnsi="Calibri"/>
          <w:b/>
          <w:bCs/>
          <w:color w:val="0F172A"/>
          <w:sz w:val="20"/>
          <w:szCs w:val="20"/>
        </w:rPr>
        <w:t xml:space="preserve">+7,50%</w:t>
      </w:r>
      <w:r>
        <w:rPr>
          <w:rFonts w:ascii="Calibri" w:cs="Calibri" w:eastAsia="Calibri" w:hAnsi="Calibri"/>
          <w:b w:val="false"/>
          <w:bCs w:val="false"/>
          <w:color w:val="334155"/>
          <w:sz w:val="20"/>
          <w:szCs w:val="20"/>
        </w:rPr>
        <w:t xml:space="preserve"> en variables de gestión diaria ejecutables por recepción y el departamento comercial:</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300"/>
        <w:gridCol w:w="1600"/>
        <w:gridCol w:w="1800"/>
        <w:gridCol w:w="1300"/>
        <w:gridCol w:w="1300"/>
        <w:gridCol w:w="1300"/>
        <w:gridCol w:w="1600"/>
        <w:gridCol w:w="2000"/>
      </w:tblGrid>
      <w:tr>
        <w:trPr>
          <w:cantSplit/>
          <w:tblHeader/>
        </w:trPr>
        <w:tc>
          <w:tcPr>
            <w:tcW w:type="dxa" w:w="16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Mes</w:t>
            </w:r>
          </w:p>
        </w:tc>
        <w:tc>
          <w:tcPr>
            <w:tcW w:type="dxa" w:w="10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Días</w:t>
            </w:r>
          </w:p>
        </w:tc>
        <w:tc>
          <w:tcPr>
            <w:tcW w:type="dxa" w:w="13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Capacidad (RN)</w:t>
            </w:r>
          </w:p>
        </w:tc>
        <w:tc>
          <w:tcPr>
            <w:tcW w:type="dxa" w:w="16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Real 2025 (€)</w:t>
            </w:r>
          </w:p>
        </w:tc>
        <w:tc>
          <w:tcPr>
            <w:tcW w:type="dxa" w:w="18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Propuesta 2027 (€)</w:t>
            </w:r>
          </w:p>
        </w:tc>
        <w:tc>
          <w:tcPr>
            <w:tcW w:type="dxa" w:w="13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RN 2027</w:t>
            </w:r>
          </w:p>
        </w:tc>
        <w:tc>
          <w:tcPr>
            <w:tcW w:type="dxa" w:w="13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ADR 2027 (€)</w:t>
            </w:r>
          </w:p>
        </w:tc>
        <w:tc>
          <w:tcPr>
            <w:tcW w:type="dxa" w:w="13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Ocupación (%)</w:t>
            </w:r>
          </w:p>
        </w:tc>
        <w:tc>
          <w:tcPr>
            <w:tcW w:type="dxa" w:w="16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RevPAR (€)</w:t>
            </w:r>
          </w:p>
        </w:tc>
        <w:tc>
          <w:tcPr>
            <w:tcW w:type="dxa" w:w="200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Variación vs 2025</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Enero</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43.121,00 €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46.355,08 €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791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58,62 €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43,2%</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25,34 €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Febrero</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28</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1.652</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42.183,00 €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45.346,73 €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797</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56,90 €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48,2%</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27,45 €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Marzo</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45.587,00 €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49.006,03 €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846</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57,96 €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46,3%</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26,79 €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Abril</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1.770</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57.792,00 €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62.126,40 €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951</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65,33 €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53,7%</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35,10 €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Mayo</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107.674,00 €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115.749,55 €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1.401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82,59 €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76,6%</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63,29 €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Junio</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1.770</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63.936,00 €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68.731,20 €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1.170</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58,74 €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66,1%</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38,83 €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Julio</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67.294,00 €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72.341,05 €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1.097</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65,97 €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60,0%</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39,55 €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Agosto</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56.588,00 €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60.832,10 €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993</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61,24 €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54,3%</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33,26 €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Septiembre</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1.770</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67.184,00 €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72.222,80 €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1.163</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62,11 €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65,7%</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40,80 €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Octubre</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84.528,00 €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90.867,60 €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1.483</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61,26 €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81,1%</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49,68 €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Noviembre</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30</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1.770</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67.196,00 €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72.235,70 €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1.255</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57,56 €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70,9%</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40,81 €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Diciembre</w:t>
            </w:r>
          </w:p>
        </w:tc>
        <w:tc>
          <w:tcPr>
            <w:tcW w:type="dxa" w:w="1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31</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1.829</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56.537,00 €</w:t>
            </w:r>
          </w:p>
        </w:tc>
        <w:tc>
          <w:tcPr>
            <w:tcW w:type="dxa" w:w="18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60.777,26 €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1.056</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57,53 €</w:t>
            </w:r>
          </w:p>
        </w:tc>
        <w:tc>
          <w:tcPr>
            <w:tcW w:type="dxa" w:w="13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57,7%</w:t>
            </w:r>
          </w:p>
        </w:tc>
        <w:tc>
          <w:tcPr>
            <w:tcW w:type="dxa" w:w="16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33,23 €</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val="false"/>
                <w:bCs w:val="false"/>
                <w:color w:val="334155"/>
                <w:sz w:val="17"/>
                <w:szCs w:val="17"/>
              </w:rPr>
              <w:t xml:space="preserve">+7,50%</w:t>
            </w:r>
          </w:p>
        </w:tc>
      </w:tr>
      <w:tr>
        <w:trPr>
          <w:cantSplit/>
          <w:tblHeader w:val="off"/>
        </w:trPr>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TOTAL</w:t>
            </w:r>
          </w:p>
        </w:tc>
        <w:tc>
          <w:tcPr>
            <w:tcW w:type="dxa" w:w="1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365</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21.535</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759.620,00 €</w:t>
            </w:r>
          </w:p>
        </w:tc>
        <w:tc>
          <w:tcPr>
            <w:tcW w:type="dxa" w:w="18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816.591,50 €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13.003</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62,80 €</w:t>
            </w:r>
          </w:p>
        </w:tc>
        <w:tc>
          <w:tcPr>
            <w:tcW w:type="dxa" w:w="13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60,38%</w:t>
            </w:r>
          </w:p>
        </w:tc>
        <w:tc>
          <w:tcPr>
            <w:tcW w:type="dxa" w:w="16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37,92 €</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+7,50%</w:t>
            </w:r>
          </w:p>
        </w:tc>
      </w:tr>
    </w:tbl>
    <w:p>
      <w:pPr>
        <w:spacing w:after="120" w:before="100"/>
      </w:pP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6. MODELIZACIÓN Y ESTRATEGIA DEL SEGMENTO GRUPOS BAJO LA NUEVA CATEGORÍA 4 ESTRELLAS</w:t>
      </w:r>
    </w:p>
    <w:p>
      <w:pPr>
        <w:spacing w:after="60" w:before="60"/>
      </w:pPr>
      <w:r>
        <w:rPr>
          <w:rFonts w:ascii="Calibri" w:cs="Calibri" w:eastAsia="Calibri" w:hAnsi="Calibri"/>
          <w:b w:val="false"/>
          <w:bCs w:val="false"/>
          <w:color w:val="334155"/>
          <w:sz w:val="20"/>
          <w:szCs w:val="20"/>
        </w:rPr>
        <w:t xml:space="preserve">La subida a 4 estrellas transforma de forma radical la posición competitiva del Hotel Cumbria en el mercado de grupos. Hasta ahora, el hotel quedaba automáticamente excluido de las licitaciones corporativas, acuerdos con turoperadores receptivos y pliegos de federaciones que exigen estrictamente la homologación de 4 estrellas.</w:t>
      </w:r>
    </w:p>
    <w:p>
      <w:pPr>
        <w:spacing w:after="60" w:before="60"/>
      </w:pPr>
      <w:r>
        <w:rPr>
          <w:rFonts w:ascii="Calibri" w:cs="Calibri" w:eastAsia="Calibri" w:hAnsi="Calibri"/>
          <w:b w:val="false"/>
          <w:bCs w:val="false"/>
          <w:color w:val="334155"/>
          <w:sz w:val="20"/>
          <w:szCs w:val="20"/>
        </w:rPr>
        <w:t xml:space="preserve">Con la 4ª estrella, el Cumbria prevé y planifica una </w:t>
      </w:r>
      <w:r>
        <w:rPr>
          <w:rFonts w:ascii="Calibri" w:cs="Calibri" w:eastAsia="Calibri" w:hAnsi="Calibri"/>
          <w:b/>
          <w:bCs/>
          <w:color w:val="0F172A"/>
          <w:sz w:val="20"/>
          <w:szCs w:val="20"/>
        </w:rPr>
        <w:t xml:space="preserve">mayor captación de grupos organizados de alto valor añadido</w:t>
      </w:r>
      <w:r>
        <w:rPr>
          <w:rFonts w:ascii="Calibri" w:cs="Calibri" w:eastAsia="Calibri" w:hAnsi="Calibri"/>
          <w:b w:val="false"/>
          <w:bCs w:val="false"/>
          <w:color w:val="334155"/>
          <w:sz w:val="20"/>
          <w:szCs w:val="20"/>
        </w:rPr>
        <w:t xml:space="preserve">. Para un establecimiento de 59 habitaciones, la estrategia combina </w:t>
      </w:r>
      <w:r>
        <w:rPr>
          <w:rFonts w:ascii="Calibri" w:cs="Calibri" w:eastAsia="Calibri" w:hAnsi="Calibri"/>
          <w:b/>
          <w:bCs/>
          <w:color w:val="0F172A"/>
          <w:sz w:val="20"/>
          <w:szCs w:val="20"/>
        </w:rPr>
        <w:t xml:space="preserve">aprovechar la nueva capacidad de captación en meses de demanda valle y media, mientras se protege el inventario individual a máxima tarifa en picos</w:t>
      </w:r>
      <w:r>
        <w:rPr>
          <w:rFonts w:ascii="Calibri" w:cs="Calibri" w:eastAsia="Calibri" w:hAnsi="Calibri"/>
          <w:b w:val="false"/>
          <w:bCs w:val="false"/>
          <w:color w:val="334155"/>
          <w:sz w:val="20"/>
          <w:szCs w:val="20"/>
        </w:rPr>
        <w:t xml:space="preserve">:</w:t>
      </w:r>
    </w:p>
    <w:p>
      <w:pPr>
        <w:pStyle w:val="Heading2"/>
        <w:spacing w:after="80" w:before="200"/>
      </w:pPr>
      <w:r>
        <w:rPr>
          <w:rFonts w:ascii="Calibri" w:cs="Calibri" w:eastAsia="Calibri" w:hAnsi="Calibri"/>
          <w:b/>
          <w:bCs/>
          <w:color w:val="0F172A"/>
          <w:sz w:val="22"/>
          <w:szCs w:val="22"/>
        </w:rPr>
        <w:t xml:space="preserve">Parámetros del Segmento Grupos 2027:</w:t>
      </w:r>
    </w:p>
    <w:p>
      <w:pPr>
        <w:pStyle w:val="ListParagraph"/>
        <w:numPr>
          <w:ilvl w:val="0"/>
          <w:numId w:val="1"/>
        </w:numPr>
        <w:spacing w:after="50" w:before="50"/>
      </w:pPr>
      <w:r>
        <w:rPr>
          <w:rFonts w:ascii="Calibri" w:cs="Calibri" w:eastAsia="Calibri" w:hAnsi="Calibri"/>
          <w:b/>
          <w:bCs/>
          <w:color w:val="0F172A"/>
          <w:sz w:val="20"/>
          <w:szCs w:val="20"/>
        </w:rPr>
        <w:t xml:space="preserve">Volumen Presupuestado:</w:t>
      </w:r>
      <w:r>
        <w:rPr>
          <w:rFonts w:ascii="Calibri" w:cs="Calibri" w:eastAsia="Calibri" w:hAnsi="Calibri"/>
          <w:b w:val="false"/>
          <w:bCs w:val="false"/>
          <w:color w:val="334155"/>
          <w:sz w:val="20"/>
          <w:szCs w:val="20"/>
        </w:rPr>
        <w:t xml:space="preserve"> </w:t>
      </w:r>
      <w:r>
        <w:rPr>
          <w:rFonts w:ascii="Calibri" w:cs="Calibri" w:eastAsia="Calibri" w:hAnsi="Calibri"/>
          <w:b/>
          <w:bCs/>
          <w:color w:val="0F172A"/>
          <w:sz w:val="20"/>
          <w:szCs w:val="20"/>
        </w:rPr>
        <w:t xml:space="preserve">965 Habitaciones Noche (RN)</w:t>
      </w:r>
      <w:r>
        <w:rPr>
          <w:rFonts w:ascii="Calibri" w:cs="Calibri" w:eastAsia="Calibri" w:hAnsi="Calibri"/>
          <w:b w:val="false"/>
          <w:bCs w:val="false"/>
          <w:color w:val="334155"/>
          <w:sz w:val="20"/>
          <w:szCs w:val="20"/>
        </w:rPr>
        <w:t xml:space="preserve"> (representa el </w:t>
      </w:r>
      <w:r>
        <w:rPr>
          <w:rFonts w:ascii="Calibri" w:cs="Calibri" w:eastAsia="Calibri" w:hAnsi="Calibri"/>
          <w:b/>
          <w:bCs/>
          <w:color w:val="0F172A"/>
          <w:sz w:val="20"/>
          <w:szCs w:val="20"/>
        </w:rPr>
        <w:t xml:space="preserve">7,42% del total de estancias del hotel</w:t>
      </w:r>
      <w:r>
        <w:rPr>
          <w:rFonts w:ascii="Calibri" w:cs="Calibri" w:eastAsia="Calibri" w:hAnsi="Calibri"/>
          <w:b w:val="false"/>
          <w:bCs w:val="false"/>
          <w:color w:val="334155"/>
          <w:sz w:val="20"/>
          <w:szCs w:val="20"/>
        </w:rPr>
        <w:t xml:space="preserve">, frente a la cuota testimonial previa).</w:t>
      </w:r>
    </w:p>
    <w:p>
      <w:pPr>
        <w:pStyle w:val="ListParagraph"/>
        <w:numPr>
          <w:ilvl w:val="0"/>
          <w:numId w:val="1"/>
        </w:numPr>
        <w:spacing w:after="50" w:before="50"/>
      </w:pPr>
      <w:r>
        <w:rPr>
          <w:rFonts w:ascii="Calibri" w:cs="Calibri" w:eastAsia="Calibri" w:hAnsi="Calibri"/>
          <w:b/>
          <w:bCs/>
          <w:color w:val="0F172A"/>
          <w:sz w:val="20"/>
          <w:szCs w:val="20"/>
        </w:rPr>
        <w:t xml:space="preserve">Tarifa Media Ponderada Estimada (ADR Grupos 4★):</w:t>
      </w:r>
      <w:r>
        <w:rPr>
          <w:rFonts w:ascii="Calibri" w:cs="Calibri" w:eastAsia="Calibri" w:hAnsi="Calibri"/>
          <w:b w:val="false"/>
          <w:bCs w:val="false"/>
          <w:color w:val="334155"/>
          <w:sz w:val="20"/>
          <w:szCs w:val="20"/>
        </w:rPr>
        <w:t xml:space="preserve"> </w:t>
      </w:r>
      <w:r>
        <w:rPr>
          <w:rFonts w:ascii="Calibri" w:cs="Calibri" w:eastAsia="Calibri" w:hAnsi="Calibri"/>
          <w:b/>
          <w:bCs/>
          <w:color w:val="0F172A"/>
          <w:sz w:val="20"/>
          <w:szCs w:val="20"/>
        </w:rPr>
        <w:t xml:space="preserve">58,66 €</w:t>
      </w:r>
      <w:r>
        <w:rPr>
          <w:rFonts w:ascii="Calibri" w:cs="Calibri" w:eastAsia="Calibri" w:hAnsi="Calibri"/>
          <w:b w:val="false"/>
          <w:bCs w:val="false"/>
          <w:color w:val="334155"/>
          <w:sz w:val="20"/>
          <w:szCs w:val="20"/>
        </w:rPr>
        <w:t xml:space="preserve"> (muy competitiva para 4 estrellas, pero con margen superior al histórico de 3 estrellas).</w:t>
      </w:r>
    </w:p>
    <w:p>
      <w:pPr>
        <w:pStyle w:val="ListParagraph"/>
        <w:numPr>
          <w:ilvl w:val="0"/>
          <w:numId w:val="1"/>
        </w:numPr>
        <w:spacing w:after="50" w:before="50"/>
      </w:pPr>
      <w:r>
        <w:rPr>
          <w:rFonts w:ascii="Calibri" w:cs="Calibri" w:eastAsia="Calibri" w:hAnsi="Calibri"/>
          <w:b/>
          <w:bCs/>
          <w:color w:val="0F172A"/>
          <w:sz w:val="20"/>
          <w:szCs w:val="20"/>
        </w:rPr>
        <w:t xml:space="preserve">Facturación Neta Grupos:</w:t>
      </w:r>
      <w:r>
        <w:rPr>
          <w:rFonts w:ascii="Calibri" w:cs="Calibri" w:eastAsia="Calibri" w:hAnsi="Calibri"/>
          <w:b w:val="false"/>
          <w:bCs w:val="false"/>
          <w:color w:val="334155"/>
          <w:sz w:val="20"/>
          <w:szCs w:val="20"/>
        </w:rPr>
        <w:t xml:space="preserve"> </w:t>
      </w:r>
      <w:r>
        <w:rPr>
          <w:rFonts w:ascii="Calibri" w:cs="Calibri" w:eastAsia="Calibri" w:hAnsi="Calibri"/>
          <w:b/>
          <w:bCs/>
          <w:color w:val="0F172A"/>
          <w:sz w:val="20"/>
          <w:szCs w:val="20"/>
        </w:rPr>
        <w:t xml:space="preserve">56.560,00 €</w:t>
      </w:r>
      <w:r>
        <w:rPr>
          <w:rFonts w:ascii="Calibri" w:cs="Calibri" w:eastAsia="Calibri" w:hAnsi="Calibri"/>
          <w:b w:val="false"/>
          <w:bCs w:val="false"/>
          <w:color w:val="334155"/>
          <w:sz w:val="20"/>
          <w:szCs w:val="20"/>
        </w:rPr>
        <w:t xml:space="preserve"> (6,93% del presupuesto total de alojamiento).</w:t>
      </w:r>
    </w:p>
    <w:p>
      <w:pPr>
        <w:pStyle w:val="Heading2"/>
        <w:spacing w:after="80" w:before="200"/>
      </w:pPr>
      <w:r>
        <w:rPr>
          <w:rFonts w:ascii="Calibri" w:cs="Calibri" w:eastAsia="Calibri" w:hAnsi="Calibri"/>
          <w:b/>
          <w:bCs/>
          <w:color w:val="0F172A"/>
          <w:sz w:val="22"/>
          <w:szCs w:val="22"/>
        </w:rPr>
        <w:t xml:space="preserve">Directriz de Contratación: Tarifa Principalmente Dinámica y Cupo de hasta 25 Habitaciones:</w:t>
      </w:r>
    </w:p>
    <w:p>
      <w:pPr>
        <w:pStyle w:val="ListParagraph"/>
        <w:numPr>
          <w:ilvl w:val="0"/>
          <w:numId w:val="1"/>
        </w:numPr>
        <w:spacing w:after="50" w:before="50"/>
      </w:pPr>
      <w:r>
        <w:rPr>
          <w:rFonts w:ascii="Calibri" w:cs="Calibri" w:eastAsia="Calibri" w:hAnsi="Calibri"/>
          <w:b/>
          <w:bCs/>
          <w:color w:val="0F172A"/>
          <w:sz w:val="20"/>
          <w:szCs w:val="20"/>
        </w:rPr>
        <w:t xml:space="preserve">Estrategia Tarifaria Dinámica:</w:t>
      </w:r>
      <w:r>
        <w:rPr>
          <w:rFonts w:ascii="Calibri" w:cs="Calibri" w:eastAsia="Calibri" w:hAnsi="Calibri"/>
          <w:b w:val="false"/>
          <w:bCs w:val="false"/>
          <w:color w:val="334155"/>
          <w:sz w:val="20"/>
          <w:szCs w:val="20"/>
        </w:rPr>
        <w:t xml:space="preserve"> En el marco de la modernización tecnológica y de Revenue Management compartida por ambos hoteles de la compañía, </w:t>
      </w:r>
      <w:r>
        <w:rPr>
          <w:rFonts w:ascii="Calibri" w:cs="Calibri" w:eastAsia="Calibri" w:hAnsi="Calibri"/>
          <w:b/>
          <w:bCs/>
          <w:color w:val="0F172A"/>
          <w:sz w:val="20"/>
          <w:szCs w:val="20"/>
        </w:rPr>
        <w:t xml:space="preserve">la tarifa del segmento grupos será PRINCIPALMENTE DINÁMICA</w:t>
      </w:r>
      <w:r>
        <w:rPr>
          <w:rFonts w:ascii="Calibri" w:cs="Calibri" w:eastAsia="Calibri" w:hAnsi="Calibri"/>
          <w:b w:val="false"/>
          <w:bCs w:val="false"/>
          <w:color w:val="334155"/>
          <w:sz w:val="20"/>
          <w:szCs w:val="20"/>
        </w:rPr>
        <w:t xml:space="preserve">. Se erradican las tarifas planas estáticas del pasado: las cotizaciones grupales se calculan en tiempo real vinculadas al ritmo de demanda (</w:t>
      </w:r>
      <w:r>
        <w:rPr>
          <w:rFonts w:ascii="Calibri" w:cs="Calibri" w:eastAsia="Calibri" w:hAnsi="Calibri"/>
          <w:b w:val="false"/>
          <w:bCs w:val="false"/>
          <w:i/>
          <w:iCs/>
          <w:color w:val="334155"/>
          <w:sz w:val="20"/>
          <w:szCs w:val="20"/>
        </w:rPr>
        <w:t xml:space="preserve">pick-up</w:t>
      </w:r>
      <w:r>
        <w:rPr>
          <w:rFonts w:ascii="Calibri" w:cs="Calibri" w:eastAsia="Calibri" w:hAnsi="Calibri"/>
          <w:b w:val="false"/>
          <w:bCs w:val="false"/>
          <w:color w:val="334155"/>
          <w:sz w:val="20"/>
          <w:szCs w:val="20"/>
        </w:rPr>
        <w:t xml:space="preserve">), a la anticipación de reserva y al precio dinámico del cliente individual, evitando la dilución tarifaria (</w:t>
      </w:r>
      <w:r>
        <w:rPr>
          <w:rFonts w:ascii="Calibri" w:cs="Calibri" w:eastAsia="Calibri" w:hAnsi="Calibri"/>
          <w:b w:val="false"/>
          <w:bCs w:val="false"/>
          <w:i/>
          <w:iCs/>
          <w:color w:val="334155"/>
          <w:sz w:val="20"/>
          <w:szCs w:val="20"/>
        </w:rPr>
        <w:t xml:space="preserve">revenue dilution</w:t>
      </w:r>
      <w:r>
        <w:rPr>
          <w:rFonts w:ascii="Calibri" w:cs="Calibri" w:eastAsia="Calibri" w:hAnsi="Calibri"/>
          <w:b w:val="false"/>
          <w:bCs w:val="false"/>
          <w:color w:val="334155"/>
          <w:sz w:val="20"/>
          <w:szCs w:val="20"/>
        </w:rPr>
        <w:t xml:space="preserve">) y optimizando el RevPAR en todas las fechas.</w:t>
      </w:r>
    </w:p>
    <w:p>
      <w:pPr>
        <w:pStyle w:val="ListParagraph"/>
        <w:numPr>
          <w:ilvl w:val="0"/>
          <w:numId w:val="1"/>
        </w:numPr>
        <w:spacing w:after="50" w:before="50"/>
      </w:pPr>
      <w:r>
        <w:rPr>
          <w:rFonts w:ascii="Calibri" w:cs="Calibri" w:eastAsia="Calibri" w:hAnsi="Calibri"/>
          <w:b/>
          <w:bCs/>
          <w:color w:val="0F172A"/>
          <w:sz w:val="20"/>
          <w:szCs w:val="20"/>
        </w:rPr>
        <w:t xml:space="preserve">Cupo Máximo Operativo (Hasta 25 Habitaciones por Noche):</w:t>
      </w:r>
      <w:r>
        <w:rPr>
          <w:rFonts w:ascii="Calibri" w:cs="Calibri" w:eastAsia="Calibri" w:hAnsi="Calibri"/>
          <w:b w:val="false"/>
          <w:bCs w:val="false"/>
          <w:color w:val="334155"/>
          <w:sz w:val="20"/>
          <w:szCs w:val="20"/>
        </w:rPr>
        <w:t xml:space="preserve"> Se autoriza un cupo de hasta </w:t>
      </w:r>
      <w:r>
        <w:rPr>
          <w:rFonts w:ascii="Calibri" w:cs="Calibri" w:eastAsia="Calibri" w:hAnsi="Calibri"/>
          <w:b/>
          <w:bCs/>
          <w:color w:val="0F172A"/>
          <w:sz w:val="20"/>
          <w:szCs w:val="20"/>
        </w:rPr>
        <w:t xml:space="preserve">25 habitaciones por noche</w:t>
      </w:r>
      <w:r>
        <w:rPr>
          <w:rFonts w:ascii="Calibri" w:cs="Calibri" w:eastAsia="Calibri" w:hAnsi="Calibri"/>
          <w:b w:val="false"/>
          <w:bCs w:val="false"/>
          <w:color w:val="334155"/>
          <w:sz w:val="20"/>
          <w:szCs w:val="20"/>
        </w:rPr>
        <w:t xml:space="preserve"> (42,4% del inventario total de 59 habitaciones del hotel), lo que confiere la capacidad comercial indispensable para alojar </w:t>
      </w:r>
      <w:r>
        <w:rPr>
          <w:rFonts w:ascii="Calibri" w:cs="Calibri" w:eastAsia="Calibri" w:hAnsi="Calibri"/>
          <w:b/>
          <w:bCs/>
          <w:color w:val="0F172A"/>
          <w:sz w:val="20"/>
          <w:szCs w:val="20"/>
        </w:rPr>
        <w:t xml:space="preserve">autocares completos de circuitos turísticos, grandes delegaciones corporativas o equipos deportivos íntegros</w:t>
      </w:r>
      <w:r>
        <w:rPr>
          <w:rFonts w:ascii="Calibri" w:cs="Calibri" w:eastAsia="Calibri" w:hAnsi="Calibri"/>
          <w:b w:val="false"/>
          <w:bCs w:val="false"/>
          <w:color w:val="334155"/>
          <w:sz w:val="20"/>
          <w:szCs w:val="20"/>
        </w:rPr>
        <w:t xml:space="preserve"> (35 a 50 personas).</w:t>
      </w:r>
    </w:p>
    <w:p>
      <w:pPr>
        <w:pStyle w:val="ListParagraph"/>
        <w:numPr>
          <w:ilvl w:val="0"/>
          <w:numId w:val="1"/>
        </w:numPr>
        <w:spacing w:after="50" w:before="50"/>
      </w:pPr>
      <w:r>
        <w:rPr>
          <w:rFonts w:ascii="Calibri" w:cs="Calibri" w:eastAsia="Calibri" w:hAnsi="Calibri"/>
          <w:b/>
          <w:bCs/>
          <w:color w:val="0F172A"/>
          <w:sz w:val="20"/>
          <w:szCs w:val="20"/>
        </w:rPr>
        <w:t xml:space="preserve">Protección del Inventario Individual:</w:t>
      </w:r>
      <w:r>
        <w:rPr>
          <w:rFonts w:ascii="Calibri" w:cs="Calibri" w:eastAsia="Calibri" w:hAnsi="Calibri"/>
          <w:b w:val="false"/>
          <w:bCs w:val="false"/>
          <w:color w:val="334155"/>
          <w:sz w:val="20"/>
          <w:szCs w:val="20"/>
        </w:rPr>
        <w:t xml:space="preserve"> Se garantiza en todo momento una reserva mínima de </w:t>
      </w:r>
      <w:r>
        <w:rPr>
          <w:rFonts w:ascii="Calibri" w:cs="Calibri" w:eastAsia="Calibri" w:hAnsi="Calibri"/>
          <w:b/>
          <w:bCs/>
          <w:color w:val="0F172A"/>
          <w:sz w:val="20"/>
          <w:szCs w:val="20"/>
        </w:rPr>
        <w:t xml:space="preserve">34 habitaciones disponibles para la venta individual</w:t>
      </w:r>
      <w:r>
        <w:rPr>
          <w:rFonts w:ascii="Calibri" w:cs="Calibri" w:eastAsia="Calibri" w:hAnsi="Calibri"/>
          <w:b w:val="false"/>
          <w:bCs w:val="false"/>
          <w:color w:val="334155"/>
          <w:sz w:val="20"/>
          <w:szCs w:val="20"/>
        </w:rPr>
        <w:t xml:space="preserve"> a tarifa abierta, salvaguardando los días de máxima demanda corporativa. En caso de solicitarse un volumen superior a las 25 habitaciones, solo se valorará si el grupo asume íntegramente el precio dinámico de venta individual directa sin bonificación.</w:t>
      </w:r>
    </w:p>
    <w:p>
      <w:pPr>
        <w:pStyle w:val="Heading2"/>
        <w:spacing w:after="80" w:before="200"/>
      </w:pPr>
      <w:r>
        <w:rPr>
          <w:rFonts w:ascii="Calibri" w:cs="Calibri" w:eastAsia="Calibri" w:hAnsi="Calibri"/>
          <w:b/>
          <w:bCs/>
          <w:color w:val="0F172A"/>
          <w:sz w:val="22"/>
          <w:szCs w:val="22"/>
        </w:rPr>
        <w:t xml:space="preserve">Desglose Mensual del Segmento Grupos 2027 (Hotel Cumbria – 4 Estrellas)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
        <w:gridCol w:w="1628"/>
        <w:gridCol w:w="1628"/>
        <w:gridCol w:w="1480"/>
        <w:gridCol w:w="1480"/>
        <w:gridCol w:w="1924"/>
        <w:gridCol w:w="5180"/>
      </w:tblGrid>
      <w:tr>
        <w:trPr>
          <w:cantSplit/>
          <w:tblHeader/>
        </w:trPr>
        <w:tc>
          <w:tcPr>
            <w:tcW w:type="dxa" w:w="148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Mes</w:t>
            </w:r>
          </w:p>
        </w:tc>
        <w:tc>
          <w:tcPr>
            <w:tcW w:type="dxa" w:w="1628"/>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Total RN Hotel</w:t>
            </w:r>
          </w:p>
        </w:tc>
        <w:tc>
          <w:tcPr>
            <w:tcW w:type="dxa" w:w="1628"/>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RN Grupos</w:t>
            </w:r>
          </w:p>
        </w:tc>
        <w:tc>
          <w:tcPr>
            <w:tcW w:type="dxa" w:w="148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Cuota Grupos (% RN)</w:t>
            </w:r>
          </w:p>
        </w:tc>
        <w:tc>
          <w:tcPr>
            <w:tcW w:type="dxa" w:w="148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ADR Grupos (€)</w:t>
            </w:r>
          </w:p>
        </w:tc>
        <w:tc>
          <w:tcPr>
            <w:tcW w:type="dxa" w:w="1924"/>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right"/>
            </w:pPr>
            <w:r>
              <w:rPr>
                <w:rFonts w:ascii="Calibri" w:cs="Calibri" w:eastAsia="Calibri" w:hAnsi="Calibri"/>
                <w:b/>
                <w:bCs/>
                <w:color w:val="FFFFFF"/>
                <w:sz w:val="18"/>
                <w:szCs w:val="18"/>
              </w:rPr>
              <w:t xml:space="preserve">Facturación Grupos (€)</w:t>
            </w:r>
          </w:p>
        </w:tc>
        <w:tc>
          <w:tcPr>
            <w:tcW w:type="dxa" w:w="5180"/>
            <w:tcBorders>
              <w:top w:val="single" w:color="1E40AF" w:sz="4"/>
              <w:left w:val="single" w:color="CBD5E1" w:sz="4"/>
              <w:bottom w:val="single" w:color="1E40AF" w:sz="8"/>
              <w:right w:val="single" w:color="CBD5E1" w:sz="4"/>
            </w:tcBorders>
            <w:shd w:fill="1E3A8A" w:val="clear"/>
            <w:tcMar>
              <w:top w:type="dxa" w:w="120"/>
              <w:left w:type="dxa" w:w="140"/>
              <w:bottom w:type="dxa" w:w="120"/>
              <w:right w:type="dxa" w:w="140"/>
            </w:tcMar>
          </w:tcPr>
          <w:p>
            <w:pPr>
              <w:spacing w:after="0" w:before="0" w:line="240"/>
              <w:jc w:val="left"/>
            </w:pPr>
            <w:r>
              <w:rPr>
                <w:rFonts w:ascii="Calibri" w:cs="Calibri" w:eastAsia="Calibri" w:hAnsi="Calibri"/>
                <w:b/>
                <w:bCs/>
                <w:color w:val="FFFFFF"/>
                <w:sz w:val="18"/>
                <w:szCs w:val="18"/>
              </w:rPr>
              <w:t xml:space="preserve">Directriz Comercial de Contratación 4★</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Enero</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791</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75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9,5%</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53,00 €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3.975,00 €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Captación 4*: Grupos deportivos y técnicos homologados.</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Febrero</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797</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75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9,4%</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53,00 €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3.975,00 €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Circuitos culturales: Escapadas enológicas y de patrimonio.</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Marzo</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846</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80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9,5%</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55,00 €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4.400,00 €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Encuentros profesionales: Convenciones formativas de empresa.</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Abril</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951</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75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7,9%</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60,00 €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4.500,00 €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Semana Santa: Grupos de circuito cultural a tarifa elevada.</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Mayo</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1.401</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65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4,6%</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74,00 €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4.810,00 €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Filtro estricto: Solo grupos estratégicos a tarifa máxima de 4*.</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Junio</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1.170</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85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7,3%</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56,00 €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4.760,00 €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Corporativo semestral: Delegaciones comerciales y sectoriales.</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Julio</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1.097</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90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8,2%</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62,00 €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5.580,00 €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Tránsito estival: Circuitos internacionales de paso homologados 4*.</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Agosto</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993</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90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9,1%</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57,00 €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5.130,00 €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Soporte vacacional: Relleno de semanas valle con tarifa protegida.</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Septiembre</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1.163</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85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7,3%</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59,00 €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5.015,00 €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Convenciones: Encuentros técnicos y grupos corporativos de otoño.</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Octubre</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1.483</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70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4,7%</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65,00 €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4.550,00 €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Alta ocupación otoñal: Restricción selectiva para priorizar directo.</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Noviembre</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1.255</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95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7,6%</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55,00 €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5.225,00 €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Congresos y jornadas: Grupos profesionales entre semana.</w:t>
            </w:r>
          </w:p>
        </w:tc>
      </w:tr>
      <w:tr>
        <w:trPr>
          <w:cantSplit/>
          <w:tblHeader w:val="off"/>
        </w:trPr>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Diciembre</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1.056</w:t>
            </w:r>
          </w:p>
        </w:tc>
        <w:tc>
          <w:tcPr>
            <w:tcW w:type="dxa" w:w="1628"/>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80 RN</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7,6%</w:t>
            </w:r>
          </w:p>
        </w:tc>
        <w:tc>
          <w:tcPr>
            <w:tcW w:type="dxa" w:w="14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58,00 €</w:t>
            </w:r>
          </w:p>
        </w:tc>
        <w:tc>
          <w:tcPr>
            <w:tcW w:type="dxa" w:w="1924"/>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right"/>
            </w:pPr>
            <w:r>
              <w:rPr>
                <w:rFonts w:ascii="Calibri" w:cs="Calibri" w:eastAsia="Calibri" w:hAnsi="Calibri"/>
                <w:b w:val="false"/>
                <w:bCs w:val="false"/>
                <w:color w:val="334155"/>
                <w:sz w:val="17"/>
                <w:szCs w:val="17"/>
              </w:rPr>
              <w:t xml:space="preserve">4.640,00 €</w:t>
            </w:r>
          </w:p>
        </w:tc>
        <w:tc>
          <w:tcPr>
            <w:tcW w:type="dxa" w:w="518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Puentes y festividades: Grupos familiares y deportivos de fin de año.</w:t>
            </w:r>
          </w:p>
        </w:tc>
      </w:tr>
      <w:tr>
        <w:trPr>
          <w:cantSplit/>
          <w:tblHeader w:val="off"/>
        </w:trPr>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TOTAL</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13.003</w:t>
            </w:r>
          </w:p>
        </w:tc>
        <w:tc>
          <w:tcPr>
            <w:tcW w:type="dxa" w:w="1628"/>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965 RN</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7,42%</w:t>
            </w:r>
          </w:p>
        </w:tc>
        <w:tc>
          <w:tcPr>
            <w:tcW w:type="dxa" w:w="14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58,66 €</w:t>
            </w:r>
          </w:p>
        </w:tc>
        <w:tc>
          <w:tcPr>
            <w:tcW w:type="dxa" w:w="1924"/>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right"/>
            </w:pPr>
            <w:r>
              <w:rPr>
                <w:rFonts w:ascii="Calibri" w:cs="Calibri" w:eastAsia="Calibri" w:hAnsi="Calibri"/>
                <w:b/>
                <w:bCs/>
                <w:color w:val="0F172A"/>
                <w:sz w:val="17"/>
                <w:szCs w:val="17"/>
              </w:rPr>
              <w:t xml:space="preserve">56.560,00 €</w:t>
            </w:r>
          </w:p>
        </w:tc>
        <w:tc>
          <w:tcPr>
            <w:tcW w:type="dxa" w:w="5180"/>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0" w:before="0" w:line="240"/>
              <w:jc w:val="left"/>
            </w:pPr>
            <w:r>
              <w:rPr>
                <w:rFonts w:ascii="Calibri" w:cs="Calibri" w:eastAsia="Calibri" w:hAnsi="Calibri"/>
                <w:b/>
                <w:bCs/>
                <w:color w:val="0F172A"/>
                <w:sz w:val="17"/>
                <w:szCs w:val="17"/>
              </w:rPr>
              <w:t xml:space="preserve">Segmento Grupos reforzado: Base de ocupación sólida y tarifa 4★.</w:t>
            </w:r>
          </w:p>
        </w:tc>
      </w:tr>
    </w:tbl>
    <w:p>
      <w:pPr>
        <w:spacing w:after="120" w:before="100"/>
      </w:pP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7. PLAN DE ACCIÓN COMERCIAL Y CONTROL DE REVENUE MANAGEMENT</w:t>
      </w:r>
    </w:p>
    <w:p>
      <w:pPr>
        <w:spacing w:after="60" w:before="60"/>
      </w:pPr>
      <w:r>
        <w:rPr>
          <w:rFonts w:ascii="Calibri" w:cs="Calibri" w:eastAsia="Calibri" w:hAnsi="Calibri"/>
          <w:b w:val="false"/>
          <w:bCs w:val="false"/>
          <w:color w:val="334155"/>
          <w:sz w:val="20"/>
          <w:szCs w:val="20"/>
        </w:rPr>
        <w:t xml:space="preserve">Para garantizar el cumplimiento de este primer presupuesto oficial y capitalizar de inmediato la subida a 4 estrellas, se activan cuatro ejes operativos prioritarios:</w:t>
      </w:r>
    </w:p>
    <w:p>
      <w:pPr>
        <w:spacing w:after="60" w:before="60"/>
      </w:pPr>
      <w:r>
        <w:rPr>
          <w:rFonts w:ascii="Calibri" w:cs="Calibri" w:eastAsia="Calibri" w:hAnsi="Calibri"/>
          <w:b/>
          <w:bCs/>
          <w:color w:val="1E40AF"/>
          <w:sz w:val="20"/>
          <w:szCs w:val="20"/>
        </w:rPr>
        <w:t xml:space="preserve">1. </w:t>
      </w:r>
      <w:r>
        <w:rPr>
          <w:rFonts w:ascii="Calibri" w:cs="Calibri" w:eastAsia="Calibri" w:hAnsi="Calibri"/>
          <w:b/>
          <w:bCs/>
          <w:color w:val="0F172A"/>
          <w:sz w:val="20"/>
          <w:szCs w:val="20"/>
        </w:rPr>
        <w:t xml:space="preserve">Homologación Inmediata en Canales de Turoperación y Pliegos Corporativos 4★:</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Actualización del registro en bancos de camas, agencias receptivas y plataformas corporativas con la nueva ficha de 4 estrellas, activando la contratación con turoperadores de circuitos que exigían esta categoría.</w:t>
      </w:r>
    </w:p>
    <w:p>
      <w:pPr>
        <w:spacing w:after="60" w:before="60"/>
      </w:pPr>
      <w:r>
        <w:rPr>
          <w:rFonts w:ascii="Calibri" w:cs="Calibri" w:eastAsia="Calibri" w:hAnsi="Calibri"/>
          <w:b/>
          <w:bCs/>
          <w:color w:val="1E40AF"/>
          <w:sz w:val="20"/>
          <w:szCs w:val="20"/>
        </w:rPr>
        <w:t xml:space="preserve">2. </w:t>
      </w:r>
      <w:r>
        <w:rPr>
          <w:rFonts w:ascii="Calibri" w:cs="Calibri" w:eastAsia="Calibri" w:hAnsi="Calibri"/>
          <w:b/>
          <w:bCs/>
          <w:color w:val="0F172A"/>
          <w:sz w:val="20"/>
          <w:szCs w:val="20"/>
        </w:rPr>
        <w:t xml:space="preserve">Cotización Principalmente Dinámica y Gestión de Cupos de Grupos:</w:t>
      </w:r>
    </w:p>
    <w:p>
      <w:pPr>
        <w:pStyle w:val="ListParagraph"/>
        <w:numPr>
          <w:ilvl w:val="0"/>
          <w:numId w:val="1"/>
        </w:numPr>
        <w:spacing w:after="50" w:before="50"/>
      </w:pPr>
      <w:r>
        <w:rPr>
          <w:rFonts w:ascii="Calibri" w:cs="Calibri" w:eastAsia="Calibri" w:hAnsi="Calibri"/>
          <w:b/>
          <w:bCs/>
          <w:color w:val="0F172A"/>
          <w:sz w:val="20"/>
          <w:szCs w:val="20"/>
        </w:rPr>
        <w:t xml:space="preserve">Tarifa de grupos dinámica:</w:t>
      </w:r>
      <w:r>
        <w:rPr>
          <w:rFonts w:ascii="Calibri" w:cs="Calibri" w:eastAsia="Calibri" w:hAnsi="Calibri"/>
          <w:b w:val="false"/>
          <w:bCs w:val="false"/>
          <w:color w:val="334155"/>
          <w:sz w:val="20"/>
          <w:szCs w:val="20"/>
        </w:rPr>
        <w:t xml:space="preserve"> Implementación de la cotización dinámica para grupos en tiempo real, vinculada a la curva de reserva y a los precios de cliente individual, eliminando tarifas fijas devaluadas y evitando la dilución de ingresos.</w:t>
      </w:r>
    </w:p>
    <w:p>
      <w:pPr>
        <w:pStyle w:val="ListParagraph"/>
        <w:numPr>
          <w:ilvl w:val="0"/>
          <w:numId w:val="1"/>
        </w:numPr>
        <w:spacing w:after="50" w:before="50"/>
      </w:pPr>
      <w:r>
        <w:rPr>
          <w:rFonts w:ascii="Calibri" w:cs="Calibri" w:eastAsia="Calibri" w:hAnsi="Calibri"/>
          <w:b/>
          <w:bCs/>
          <w:color w:val="0F172A"/>
          <w:sz w:val="20"/>
          <w:szCs w:val="20"/>
        </w:rPr>
        <w:t xml:space="preserve">Cupo de hasta 25 habitaciones:</w:t>
      </w:r>
      <w:r>
        <w:rPr>
          <w:rFonts w:ascii="Calibri" w:cs="Calibri" w:eastAsia="Calibri" w:hAnsi="Calibri"/>
          <w:b w:val="false"/>
          <w:bCs w:val="false"/>
          <w:color w:val="334155"/>
          <w:sz w:val="20"/>
          <w:szCs w:val="20"/>
        </w:rPr>
        <w:t xml:space="preserve"> Autorización de contratación de hasta 25 habitaciones por noche para circuitos y colectivos completos, asegurando un suelo inviolable de 34 habitaciones para la venta individual directa. En fechas de alta demanda (mayo y octubre), las tarifas individuales superarán los 85 € y las cotizaciones de grupo se ajustarán al alza en consecuencia.</w:t>
      </w:r>
    </w:p>
    <w:p>
      <w:pPr>
        <w:spacing w:after="60" w:before="60"/>
      </w:pPr>
      <w:r>
        <w:rPr>
          <w:rFonts w:ascii="Calibri" w:cs="Calibri" w:eastAsia="Calibri" w:hAnsi="Calibri"/>
          <w:b/>
          <w:bCs/>
          <w:color w:val="1E40AF"/>
          <w:sz w:val="20"/>
          <w:szCs w:val="20"/>
        </w:rPr>
        <w:t xml:space="preserve">3. </w:t>
      </w:r>
      <w:r>
        <w:rPr>
          <w:rFonts w:ascii="Calibri" w:cs="Calibri" w:eastAsia="Calibri" w:hAnsi="Calibri"/>
          <w:b/>
          <w:bCs/>
          <w:color w:val="0F172A"/>
          <w:sz w:val="20"/>
          <w:szCs w:val="20"/>
        </w:rPr>
        <w:t xml:space="preserve">Potenciación del Canal Propio Directo:</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Promoción del reposicionamiento del hotel en la web oficial y canal telefónico con ventajas exclusivas para clientes directos, manteniendo el control de los costes de intermediación de agencias online (OTAs).</w:t>
      </w:r>
    </w:p>
    <w:p>
      <w:pPr>
        <w:spacing w:after="60" w:before="60"/>
      </w:pPr>
      <w:r>
        <w:rPr>
          <w:rFonts w:ascii="Calibri" w:cs="Calibri" w:eastAsia="Calibri" w:hAnsi="Calibri"/>
          <w:b/>
          <w:bCs/>
          <w:color w:val="1E40AF"/>
          <w:sz w:val="20"/>
          <w:szCs w:val="20"/>
        </w:rPr>
        <w:t xml:space="preserve">4. </w:t>
      </w:r>
      <w:r>
        <w:rPr>
          <w:rFonts w:ascii="Calibri" w:cs="Calibri" w:eastAsia="Calibri" w:hAnsi="Calibri"/>
          <w:b/>
          <w:bCs/>
          <w:color w:val="0F172A"/>
          <w:sz w:val="20"/>
          <w:szCs w:val="20"/>
        </w:rPr>
        <w:t xml:space="preserve">Monitorización Rigurosa del Pick-up Semanal:</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Celebración semanal del Comité de Revenue Management para evaluar el ritmo de reservas de grupos e individuales frente al presupuesto mes a mes, aplicando medidas correctoras inmediatas ante cualquier desviación.</w:t>
      </w:r>
    </w:p>
    <w:p>
      <w:pPr>
        <w:pBdr>
          <w:bottom w:val="single" w:color="CBD5E1" w:sz="6"/>
        </w:pBdr>
        <w:spacing w:after="140" w:before="140"/>
      </w:pPr>
    </w:p>
    <w:p>
      <w:pPr>
        <w:pStyle w:val="Heading1"/>
        <w:spacing w:after="100" w:before="280"/>
      </w:pPr>
      <w:r>
        <w:rPr>
          <w:rFonts w:ascii="Calibri" w:cs="Calibri" w:eastAsia="Calibri" w:hAnsi="Calibri"/>
          <w:b/>
          <w:bCs/>
          <w:color w:val="1E40AF"/>
          <w:sz w:val="26"/>
          <w:szCs w:val="26"/>
        </w:rPr>
        <w:t xml:space="preserve">8. CONCLUSIÓN Y DICTAMEN FINAL: CREDIBILIDAD, ABSORCIÓN DE INFLACIÓN Y EXPANSIÓN DE MARGEN</w:t>
      </w:r>
    </w:p>
    <w:p>
      <w:pPr>
        <w:spacing w:after="60" w:before="60"/>
      </w:pPr>
      <w:r>
        <w:rPr>
          <w:rFonts w:ascii="Calibri" w:cs="Calibri" w:eastAsia="Calibri" w:hAnsi="Calibri"/>
          <w:b w:val="false"/>
          <w:bCs w:val="false"/>
          <w:color w:val="334155"/>
          <w:sz w:val="20"/>
          <w:szCs w:val="20"/>
        </w:rPr>
        <w:t xml:space="preserve">La propuesta presupuestaria de </w:t>
      </w:r>
      <w:r>
        <w:rPr>
          <w:rFonts w:ascii="Calibri" w:cs="Calibri" w:eastAsia="Calibri" w:hAnsi="Calibri"/>
          <w:b/>
          <w:bCs/>
          <w:color w:val="0F172A"/>
          <w:sz w:val="20"/>
          <w:szCs w:val="20"/>
        </w:rPr>
        <w:t xml:space="preserve">816.591,50 € para el ejercicio 2027</w:t>
      </w:r>
      <w:r>
        <w:rPr>
          <w:rFonts w:ascii="Calibri" w:cs="Calibri" w:eastAsia="Calibri" w:hAnsi="Calibri"/>
          <w:b w:val="false"/>
          <w:bCs w:val="false"/>
          <w:color w:val="334155"/>
          <w:sz w:val="20"/>
          <w:szCs w:val="20"/>
        </w:rPr>
        <w:t xml:space="preserve"> es un documento inexpugnable, avalado por datos reales y reforzado por la elevación de categoría del establecimiento:</w:t>
      </w:r>
    </w:p>
    <w:p>
      <w:pPr>
        <w:spacing w:after="60" w:before="60"/>
      </w:pPr>
      <w:r>
        <w:rPr>
          <w:rFonts w:ascii="Calibri" w:cs="Calibri" w:eastAsia="Calibri" w:hAnsi="Calibri"/>
          <w:b/>
          <w:bCs/>
          <w:color w:val="1E40AF"/>
          <w:sz w:val="20"/>
          <w:szCs w:val="20"/>
        </w:rPr>
        <w:t xml:space="preserve">1. </w:t>
      </w:r>
      <w:r>
        <w:rPr>
          <w:rFonts w:ascii="Calibri" w:cs="Calibri" w:eastAsia="Calibri" w:hAnsi="Calibri"/>
          <w:b/>
          <w:bCs/>
          <w:color w:val="0F172A"/>
          <w:sz w:val="20"/>
          <w:szCs w:val="20"/>
        </w:rPr>
        <w:t xml:space="preserve">Credibilidad Fundacional Inexpugnable:</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Al ser el </w:t>
      </w:r>
      <w:r>
        <w:rPr>
          <w:rFonts w:ascii="Calibri" w:cs="Calibri" w:eastAsia="Calibri" w:hAnsi="Calibri"/>
          <w:b/>
          <w:bCs/>
          <w:color w:val="0F172A"/>
          <w:sz w:val="20"/>
          <w:szCs w:val="20"/>
        </w:rPr>
        <w:t xml:space="preserve">primer presupuesto oficial del Hotel Cumbria</w:t>
      </w:r>
      <w:r>
        <w:rPr>
          <w:rFonts w:ascii="Calibri" w:cs="Calibri" w:eastAsia="Calibri" w:hAnsi="Calibri"/>
          <w:b w:val="false"/>
          <w:bCs w:val="false"/>
          <w:color w:val="334155"/>
          <w:sz w:val="20"/>
          <w:szCs w:val="20"/>
        </w:rPr>
        <w:t xml:space="preserve">, se prescinde por completo de proyecciones ficticias o conjeturas teóricas. La meta se construye sobre la base inquebrantable de los </w:t>
      </w:r>
      <w:r>
        <w:rPr>
          <w:rFonts w:ascii="Calibri" w:cs="Calibri" w:eastAsia="Calibri" w:hAnsi="Calibri"/>
          <w:b/>
          <w:bCs/>
          <w:color w:val="0F172A"/>
          <w:sz w:val="20"/>
          <w:szCs w:val="20"/>
        </w:rPr>
        <w:t xml:space="preserve">759.620,00 € reales auditados en 2025</w:t>
      </w:r>
      <w:r>
        <w:rPr>
          <w:rFonts w:ascii="Calibri" w:cs="Calibri" w:eastAsia="Calibri" w:hAnsi="Calibri"/>
          <w:b w:val="false"/>
          <w:bCs w:val="false"/>
          <w:color w:val="334155"/>
          <w:sz w:val="20"/>
          <w:szCs w:val="20"/>
        </w:rPr>
        <w:t xml:space="preserve">, aplicando un crecimiento medido y riguroso del </w:t>
      </w:r>
      <w:r>
        <w:rPr>
          <w:rFonts w:ascii="Calibri" w:cs="Calibri" w:eastAsia="Calibri" w:hAnsi="Calibri"/>
          <w:b/>
          <w:bCs/>
          <w:color w:val="0F172A"/>
          <w:sz w:val="20"/>
          <w:szCs w:val="20"/>
        </w:rPr>
        <w:t xml:space="preserve">+7,50%</w:t>
      </w:r>
      <w:r>
        <w:rPr>
          <w:rFonts w:ascii="Calibri" w:cs="Calibri" w:eastAsia="Calibri" w:hAnsi="Calibri"/>
          <w:b w:val="false"/>
          <w:bCs w:val="false"/>
          <w:color w:val="334155"/>
          <w:sz w:val="20"/>
          <w:szCs w:val="20"/>
        </w:rPr>
        <w:t xml:space="preserve"> (+56.971,50 €).</w:t>
      </w:r>
    </w:p>
    <w:p>
      <w:pPr>
        <w:spacing w:after="60" w:before="60"/>
      </w:pPr>
      <w:r>
        <w:rPr>
          <w:rFonts w:ascii="Calibri" w:cs="Calibri" w:eastAsia="Calibri" w:hAnsi="Calibri"/>
          <w:b/>
          <w:bCs/>
          <w:color w:val="1E40AF"/>
          <w:sz w:val="20"/>
          <w:szCs w:val="20"/>
        </w:rPr>
        <w:t xml:space="preserve">2. </w:t>
      </w:r>
      <w:r>
        <w:rPr>
          <w:rFonts w:ascii="Calibri" w:cs="Calibri" w:eastAsia="Calibri" w:hAnsi="Calibri"/>
          <w:b/>
          <w:bCs/>
          <w:color w:val="0F172A"/>
          <w:sz w:val="20"/>
          <w:szCs w:val="20"/>
        </w:rPr>
        <w:t xml:space="preserve">Respaldo Real en la Elevación a 4 Estrellas:</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La subida de categoría no es solo una mejora de imagen: es la palanca comercial que abre el mercado de </w:t>
      </w:r>
      <w:r>
        <w:rPr>
          <w:rFonts w:ascii="Calibri" w:cs="Calibri" w:eastAsia="Calibri" w:hAnsi="Calibri"/>
          <w:b/>
          <w:bCs/>
          <w:color w:val="0F172A"/>
          <w:sz w:val="20"/>
          <w:szCs w:val="20"/>
        </w:rPr>
        <w:t xml:space="preserve">grupos corporativos, deportivos y de circuitos</w:t>
      </w:r>
      <w:r>
        <w:rPr>
          <w:rFonts w:ascii="Calibri" w:cs="Calibri" w:eastAsia="Calibri" w:hAnsi="Calibri"/>
          <w:b w:val="false"/>
          <w:bCs w:val="false"/>
          <w:color w:val="334155"/>
          <w:sz w:val="20"/>
          <w:szCs w:val="20"/>
        </w:rPr>
        <w:t xml:space="preserve"> (aportando 965 RN y 56.560 €), garantizando el cumplimiento del volumen sin saturar la operativa.</w:t>
      </w:r>
    </w:p>
    <w:p>
      <w:pPr>
        <w:spacing w:after="60" w:before="60"/>
      </w:pPr>
      <w:r>
        <w:rPr>
          <w:rFonts w:ascii="Calibri" w:cs="Calibri" w:eastAsia="Calibri" w:hAnsi="Calibri"/>
          <w:b/>
          <w:bCs/>
          <w:color w:val="1E40AF"/>
          <w:sz w:val="20"/>
          <w:szCs w:val="20"/>
        </w:rPr>
        <w:t xml:space="preserve">3. </w:t>
      </w:r>
      <w:r>
        <w:rPr>
          <w:rFonts w:ascii="Calibri" w:cs="Calibri" w:eastAsia="Calibri" w:hAnsi="Calibri"/>
          <w:b/>
          <w:bCs/>
          <w:color w:val="0F172A"/>
          <w:sz w:val="20"/>
          <w:szCs w:val="20"/>
        </w:rPr>
        <w:t xml:space="preserve">Esfuerzo Operativo Plenamente Asumible:</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Alcanzar el objetivo exige únicamente sumar </w:t>
      </w:r>
      <w:r>
        <w:rPr>
          <w:rFonts w:ascii="Calibri" w:cs="Calibri" w:eastAsia="Calibri" w:hAnsi="Calibri"/>
          <w:b/>
          <w:bCs/>
          <w:color w:val="0F172A"/>
          <w:sz w:val="20"/>
          <w:szCs w:val="20"/>
        </w:rPr>
        <w:t xml:space="preserve">423 habitaciones adicionales en todo el ejercicio</w:t>
      </w:r>
      <w:r>
        <w:rPr>
          <w:rFonts w:ascii="Calibri" w:cs="Calibri" w:eastAsia="Calibri" w:hAnsi="Calibri"/>
          <w:b w:val="false"/>
          <w:bCs w:val="false"/>
          <w:color w:val="334155"/>
          <w:sz w:val="20"/>
          <w:szCs w:val="20"/>
        </w:rPr>
        <w:t xml:space="preserve">, lo que representa vender tan solo </w:t>
      </w:r>
      <w:r>
        <w:rPr>
          <w:rFonts w:ascii="Calibri" w:cs="Calibri" w:eastAsia="Calibri" w:hAnsi="Calibri"/>
          <w:b/>
          <w:bCs/>
          <w:color w:val="0F172A"/>
          <w:sz w:val="20"/>
          <w:szCs w:val="20"/>
        </w:rPr>
        <w:t xml:space="preserve">1,16 habitaciones más al día</w:t>
      </w:r>
      <w:r>
        <w:rPr>
          <w:rFonts w:ascii="Calibri" w:cs="Calibri" w:eastAsia="Calibri" w:hAnsi="Calibri"/>
          <w:b w:val="false"/>
          <w:bCs w:val="false"/>
          <w:color w:val="334155"/>
          <w:sz w:val="20"/>
          <w:szCs w:val="20"/>
        </w:rPr>
        <w:t xml:space="preserve">.</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La ocupación media se sitúa en un </w:t>
      </w:r>
      <w:r>
        <w:rPr>
          <w:rFonts w:ascii="Calibri" w:cs="Calibri" w:eastAsia="Calibri" w:hAnsi="Calibri"/>
          <w:b/>
          <w:bCs/>
          <w:color w:val="0F172A"/>
          <w:sz w:val="20"/>
          <w:szCs w:val="20"/>
        </w:rPr>
        <w:t xml:space="preserve">60,38%</w:t>
      </w:r>
      <w:r>
        <w:rPr>
          <w:rFonts w:ascii="Calibri" w:cs="Calibri" w:eastAsia="Calibri" w:hAnsi="Calibri"/>
          <w:b w:val="false"/>
          <w:bCs w:val="false"/>
          <w:color w:val="334155"/>
          <w:sz w:val="20"/>
          <w:szCs w:val="20"/>
        </w:rPr>
        <w:t xml:space="preserve"> (+1,96 puntos porcentuales vs el 58,42% de 2025), un ritmo de trabajo confortable y asumible para las 59 habitaciones del hotel.</w:t>
      </w:r>
    </w:p>
    <w:p>
      <w:pPr>
        <w:spacing w:after="60" w:before="60"/>
      </w:pPr>
      <w:r>
        <w:rPr>
          <w:rFonts w:ascii="Calibri" w:cs="Calibri" w:eastAsia="Calibri" w:hAnsi="Calibri"/>
          <w:b/>
          <w:bCs/>
          <w:color w:val="1E40AF"/>
          <w:sz w:val="20"/>
          <w:szCs w:val="20"/>
        </w:rPr>
        <w:t xml:space="preserve">4. </w:t>
      </w:r>
      <w:r>
        <w:rPr>
          <w:rFonts w:ascii="Calibri" w:cs="Calibri" w:eastAsia="Calibri" w:hAnsi="Calibri"/>
          <w:b/>
          <w:bCs/>
          <w:color w:val="0F172A"/>
          <w:sz w:val="20"/>
          <w:szCs w:val="20"/>
        </w:rPr>
        <w:t xml:space="preserve">Absorción de la Inflación y Expansión del Margen Operativo (GOP):</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El incremento proyectado en la tarifa media diaria (ADR) del </w:t>
      </w:r>
      <w:r>
        <w:rPr>
          <w:rFonts w:ascii="Calibri" w:cs="Calibri" w:eastAsia="Calibri" w:hAnsi="Calibri"/>
          <w:b/>
          <w:bCs/>
          <w:color w:val="0F172A"/>
          <w:sz w:val="20"/>
          <w:szCs w:val="20"/>
        </w:rPr>
        <w:t xml:space="preserve">+4,01%</w:t>
      </w:r>
      <w:r>
        <w:rPr>
          <w:rFonts w:ascii="Calibri" w:cs="Calibri" w:eastAsia="Calibri" w:hAnsi="Calibri"/>
          <w:b w:val="false"/>
          <w:bCs w:val="false"/>
          <w:color w:val="334155"/>
          <w:sz w:val="20"/>
          <w:szCs w:val="20"/>
        </w:rPr>
        <w:t xml:space="preserve"> (de 60,38 € a </w:t>
      </w:r>
      <w:r>
        <w:rPr>
          <w:rFonts w:ascii="Calibri" w:cs="Calibri" w:eastAsia="Calibri" w:hAnsi="Calibri"/>
          <w:b/>
          <w:bCs/>
          <w:color w:val="0F172A"/>
          <w:sz w:val="20"/>
          <w:szCs w:val="20"/>
        </w:rPr>
        <w:t xml:space="preserve">62,80 €</w:t>
      </w:r>
      <w:r>
        <w:rPr>
          <w:rFonts w:ascii="Calibri" w:cs="Calibri" w:eastAsia="Calibri" w:hAnsi="Calibri"/>
          <w:b w:val="false"/>
          <w:bCs w:val="false"/>
          <w:color w:val="334155"/>
          <w:sz w:val="20"/>
          <w:szCs w:val="20"/>
        </w:rPr>
        <w:t xml:space="preserve">, +2,42 € por estancia) </w:t>
      </w:r>
      <w:r>
        <w:rPr>
          <w:rFonts w:ascii="Calibri" w:cs="Calibri" w:eastAsia="Calibri" w:hAnsi="Calibri"/>
          <w:b/>
          <w:bCs/>
          <w:color w:val="0F172A"/>
          <w:sz w:val="20"/>
          <w:szCs w:val="20"/>
        </w:rPr>
        <w:t xml:space="preserve">absorbe y supera holgadamente la inflación de costes operativos prevista (2,50% – 3,00%)</w:t>
      </w:r>
      <w:r>
        <w:rPr>
          <w:rFonts w:ascii="Calibri" w:cs="Calibri" w:eastAsia="Calibri" w:hAnsi="Calibri"/>
          <w:b w:val="false"/>
          <w:bCs w:val="false"/>
          <w:color w:val="334155"/>
          <w:sz w:val="20"/>
          <w:szCs w:val="20"/>
        </w:rPr>
        <w:t xml:space="preserve"> en suministros y salarios.</w:t>
      </w:r>
    </w:p>
    <w:p>
      <w:pPr>
        <w:pStyle w:val="ListParagraph"/>
        <w:numPr>
          <w:ilvl w:val="0"/>
          <w:numId w:val="1"/>
        </w:numPr>
        <w:spacing w:after="50" w:before="50"/>
      </w:pPr>
      <w:r>
        <w:rPr>
          <w:rFonts w:ascii="Calibri" w:cs="Calibri" w:eastAsia="Calibri" w:hAnsi="Calibri"/>
          <w:b w:val="false"/>
          <w:bCs w:val="false"/>
          <w:color w:val="334155"/>
          <w:sz w:val="20"/>
          <w:szCs w:val="20"/>
        </w:rPr>
        <w:t xml:space="preserve">Al estar avalada por el salto a 4 estrellas, esta subida de tarifa es percibida por el cliente como plenamente justificada, permitiendo que el crecimiento de ingresos se traduzca de forma íntegra en una </w:t>
      </w:r>
      <w:r>
        <w:rPr>
          <w:rFonts w:ascii="Calibri" w:cs="Calibri" w:eastAsia="Calibri" w:hAnsi="Calibri"/>
          <w:b/>
          <w:bCs/>
          <w:color w:val="0F172A"/>
          <w:sz w:val="20"/>
          <w:szCs w:val="20"/>
        </w:rPr>
        <w:t xml:space="preserve">expansión del margen bruto de explotación (GOP)</w:t>
      </w:r>
      <w:r>
        <w:rPr>
          <w:rFonts w:ascii="Calibri" w:cs="Calibri" w:eastAsia="Calibri" w:hAnsi="Calibri"/>
          <w:b w:val="false"/>
          <w:bCs w:val="false"/>
          <w:color w:val="334155"/>
          <w:sz w:val="20"/>
          <w:szCs w:val="20"/>
        </w:rPr>
        <w:t xml:space="preserve"> para la propiedad.</w:t>
      </w:r>
    </w:p>
    <w:sectPr>
      <w:pgSz w:w="16838" w:h="11906"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pPr>
        <w:spacing w:after="60" w:before="6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2026-10-15T22:22:13.698Z</dcterms:created>
  <dcterms:modified xsi:type="dcterms:W3CDTF">2026-10-15T22:22:13.698Z</dcterms:modified>
</cp:coreProperties>
</file>

<file path=docProps/custom.xml><?xml version="1.0" encoding="utf-8"?>
<Properties xmlns="http://schemas.openxmlformats.org/officeDocument/2006/custom-properties" xmlns:vt="http://schemas.openxmlformats.org/officeDocument/2006/docPropsVTypes"/>
</file>