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A2CEF">
      <w:pPr>
        <w:rPr>
          <w:rFonts w:hint="eastAsia"/>
          <w:lang w:val="en-US" w:eastAsia="zh-CN"/>
        </w:rPr>
      </w:pPr>
      <w:r>
        <w:rPr>
          <w:rFonts w:hint="eastAsia"/>
          <w:lang w:val="en-US" w:eastAsia="zh-CN"/>
        </w:rPr>
        <w:t>我行票据业务同业对比及市场趋势分析</w:t>
      </w:r>
    </w:p>
    <w:p w14:paraId="3442FDB1">
      <w:pPr>
        <w:rPr>
          <w:rFonts w:hint="eastAsia"/>
          <w:lang w:val="en-US" w:eastAsia="zh-CN"/>
        </w:rPr>
      </w:pPr>
    </w:p>
    <w:p w14:paraId="6538BA60">
      <w:pPr>
        <w:numPr>
          <w:ilvl w:val="0"/>
          <w:numId w:val="1"/>
        </w:numPr>
        <w:rPr>
          <w:rFonts w:hint="eastAsia"/>
          <w:lang w:val="en-US" w:eastAsia="zh-CN"/>
        </w:rPr>
      </w:pPr>
      <w:r>
        <w:rPr>
          <w:rFonts w:hint="eastAsia"/>
          <w:lang w:val="en-US" w:eastAsia="zh-CN"/>
        </w:rPr>
        <w:t>我行票据业务情况</w:t>
      </w:r>
    </w:p>
    <w:p w14:paraId="0C1F0F41">
      <w:pPr>
        <w:numPr>
          <w:ilvl w:val="1"/>
          <w:numId w:val="1"/>
        </w:numPr>
        <w:ind w:left="0" w:leftChars="0" w:firstLine="0" w:firstLineChars="0"/>
        <w:rPr>
          <w:rFonts w:hint="eastAsia"/>
          <w:lang w:val="en-US" w:eastAsia="zh-CN"/>
        </w:rPr>
      </w:pPr>
      <w:r>
        <w:rPr>
          <w:rFonts w:hint="eastAsia"/>
          <w:lang w:val="en-US" w:eastAsia="zh-CN"/>
        </w:rPr>
        <w:t>银行承兑汇票</w:t>
      </w:r>
    </w:p>
    <w:p w14:paraId="21B6ECD3">
      <w:pPr>
        <w:numPr>
          <w:ilvl w:val="0"/>
          <w:numId w:val="0"/>
        </w:numPr>
        <w:ind w:leftChars="0"/>
        <w:rPr>
          <w:rFonts w:hint="eastAsia"/>
          <w:lang w:val="en-US" w:eastAsia="zh-CN"/>
        </w:rPr>
      </w:pPr>
      <w:r>
        <w:rPr>
          <w:rFonts w:hint="eastAsia"/>
          <w:b/>
          <w:bCs/>
          <w:lang w:val="en-US" w:eastAsia="zh-CN"/>
        </w:rPr>
        <w:t>近年随着信贷需求疲软及信用收缩，我行票据承兑余额增速趋缓。</w:t>
      </w:r>
      <w:r>
        <w:rPr>
          <w:rFonts w:hint="eastAsia"/>
          <w:lang w:val="en-US" w:eastAsia="zh-CN"/>
        </w:rPr>
        <w:t>2023-2024年我行票据承兑余额增速约为7%，低于2019-2022年年均复合增速29%；</w:t>
      </w:r>
      <w:r>
        <w:rPr>
          <w:rFonts w:hint="eastAsia"/>
          <w:b/>
          <w:bCs/>
          <w:color w:val="0000FF"/>
          <w:lang w:val="en-US" w:eastAsia="zh-CN"/>
        </w:rPr>
        <w:t>2025年3月末我行票据承兑余额较年初减少4.5%，比对标行多降2.6个百分点，比全市场多降3个百分点。</w:t>
      </w:r>
    </w:p>
    <w:p w14:paraId="763A5805">
      <w:pPr>
        <w:numPr>
          <w:ilvl w:val="0"/>
          <w:numId w:val="0"/>
        </w:numPr>
        <w:ind w:leftChars="0"/>
        <w:rPr>
          <w:rFonts w:hint="default"/>
          <w:b/>
          <w:bCs/>
          <w:lang w:val="en-US" w:eastAsia="zh-CN"/>
        </w:rPr>
      </w:pPr>
      <w:r>
        <w:rPr>
          <w:rFonts w:hint="eastAsia"/>
          <w:b/>
          <w:bCs/>
          <w:lang w:val="en-US" w:eastAsia="zh-CN"/>
        </w:rPr>
        <w:t>图：2016-2025年3月末我行银行承兑汇票余额及增速</w:t>
      </w:r>
    </w:p>
    <w:p w14:paraId="59A07E12">
      <w:pPr>
        <w:numPr>
          <w:ilvl w:val="0"/>
          <w:numId w:val="0"/>
        </w:numPr>
        <w:ind w:leftChars="0"/>
        <w:rPr>
          <w:rFonts w:hint="eastAsia"/>
          <w:lang w:val="en-US" w:eastAsia="zh-CN"/>
        </w:rPr>
      </w:pPr>
      <w:r>
        <w:drawing>
          <wp:inline distT="0" distB="0" distL="114300" distR="114300">
            <wp:extent cx="4101465" cy="206692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01465" cy="2066925"/>
                    </a:xfrm>
                    <a:prstGeom prst="rect">
                      <a:avLst/>
                    </a:prstGeom>
                    <a:noFill/>
                    <a:ln>
                      <a:noFill/>
                    </a:ln>
                  </pic:spPr>
                </pic:pic>
              </a:graphicData>
            </a:graphic>
          </wp:inline>
        </w:drawing>
      </w:r>
    </w:p>
    <w:p w14:paraId="673407DB">
      <w:pPr>
        <w:numPr>
          <w:ilvl w:val="0"/>
          <w:numId w:val="0"/>
        </w:numPr>
        <w:ind w:leftChars="0"/>
        <w:rPr>
          <w:rFonts w:hint="eastAsia"/>
          <w:lang w:val="en-US" w:eastAsia="zh-CN"/>
        </w:rPr>
      </w:pPr>
      <w:r>
        <w:rPr>
          <w:rFonts w:hint="eastAsia"/>
          <w:b/>
          <w:bCs/>
          <w:lang w:val="en-US" w:eastAsia="zh-CN"/>
        </w:rPr>
        <w:t>25年3月末，我行银行承兑汇票余额7684亿，在银行中位居第6位；在股份制银行中排名第三，规模小于中信、兴业</w:t>
      </w:r>
      <w:r>
        <w:rPr>
          <w:rFonts w:hint="eastAsia"/>
          <w:lang w:val="en-US" w:eastAsia="zh-CN"/>
        </w:rPr>
        <w:t>。</w:t>
      </w:r>
    </w:p>
    <w:p w14:paraId="538F82A7">
      <w:pPr>
        <w:numPr>
          <w:ilvl w:val="0"/>
          <w:numId w:val="0"/>
        </w:numPr>
        <w:ind w:leftChars="0"/>
        <w:rPr>
          <w:rFonts w:hint="default"/>
          <w:b/>
          <w:bCs/>
          <w:lang w:val="en-US" w:eastAsia="zh-CN"/>
        </w:rPr>
      </w:pPr>
      <w:r>
        <w:rPr>
          <w:rFonts w:hint="eastAsia"/>
          <w:b/>
          <w:bCs/>
          <w:lang w:val="en-US" w:eastAsia="zh-CN"/>
        </w:rPr>
        <w:t>表：2025年3月末国有大行及对标行银行承兑汇票余额</w:t>
      </w:r>
    </w:p>
    <w:tbl>
      <w:tblPr>
        <w:tblStyle w:val="2"/>
        <w:tblW w:w="38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1408"/>
        <w:gridCol w:w="1316"/>
      </w:tblGrid>
      <w:tr w14:paraId="03615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11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6A989EE">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银行</w:t>
            </w:r>
          </w:p>
        </w:tc>
        <w:tc>
          <w:tcPr>
            <w:tcW w:w="2724" w:type="dxa"/>
            <w:gridSpan w:val="2"/>
            <w:tcBorders>
              <w:top w:val="single" w:color="auto" w:sz="4" w:space="0"/>
              <w:left w:val="nil"/>
              <w:bottom w:val="single" w:color="auto" w:sz="4" w:space="0"/>
              <w:right w:val="single" w:color="auto" w:sz="4" w:space="0"/>
            </w:tcBorders>
            <w:shd w:val="clear" w:color="auto" w:fill="auto"/>
            <w:noWrap/>
            <w:vAlign w:val="center"/>
          </w:tcPr>
          <w:p w14:paraId="7194F7CA">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银行承兑汇票余额</w:t>
            </w:r>
          </w:p>
        </w:tc>
      </w:tr>
      <w:tr w14:paraId="6A3E4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140"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C6D02EE">
            <w:pPr>
              <w:jc w:val="center"/>
              <w:rPr>
                <w:rFonts w:hint="eastAsia" w:ascii="等线" w:hAnsi="等线" w:eastAsia="等线" w:cs="等线"/>
                <w:b/>
                <w:bCs/>
                <w:i w:val="0"/>
                <w:iCs w:val="0"/>
                <w:color w:val="000000"/>
                <w:sz w:val="22"/>
                <w:szCs w:val="22"/>
                <w:u w:val="none"/>
              </w:rPr>
            </w:pPr>
          </w:p>
        </w:tc>
        <w:tc>
          <w:tcPr>
            <w:tcW w:w="0" w:type="auto"/>
            <w:tcBorders>
              <w:top w:val="nil"/>
              <w:left w:val="nil"/>
              <w:bottom w:val="single" w:color="auto" w:sz="4" w:space="0"/>
              <w:right w:val="single" w:color="auto" w:sz="4" w:space="0"/>
            </w:tcBorders>
            <w:shd w:val="clear" w:color="auto" w:fill="auto"/>
            <w:noWrap/>
            <w:vAlign w:val="center"/>
          </w:tcPr>
          <w:p w14:paraId="447A3C4E">
            <w:pPr>
              <w:keepNext w:val="0"/>
              <w:keepLines w:val="0"/>
              <w:widowControl/>
              <w:suppressLineNumbers w:val="0"/>
              <w:jc w:val="lef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25年3月末</w:t>
            </w:r>
          </w:p>
        </w:tc>
        <w:tc>
          <w:tcPr>
            <w:tcW w:w="0" w:type="auto"/>
            <w:tcBorders>
              <w:top w:val="nil"/>
              <w:left w:val="nil"/>
              <w:bottom w:val="single" w:color="auto" w:sz="4" w:space="0"/>
              <w:right w:val="single" w:color="auto" w:sz="4" w:space="0"/>
            </w:tcBorders>
            <w:shd w:val="clear" w:color="auto" w:fill="auto"/>
            <w:noWrap/>
            <w:vAlign w:val="center"/>
          </w:tcPr>
          <w:p w14:paraId="5199D6C7">
            <w:pPr>
              <w:keepNext w:val="0"/>
              <w:keepLines w:val="0"/>
              <w:widowControl/>
              <w:suppressLineNumbers w:val="0"/>
              <w:jc w:val="lef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较年初增速</w:t>
            </w:r>
          </w:p>
        </w:tc>
      </w:tr>
      <w:tr w14:paraId="272EF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B3CA76F">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农业</w:t>
            </w:r>
          </w:p>
        </w:tc>
        <w:tc>
          <w:tcPr>
            <w:tcW w:w="0" w:type="auto"/>
            <w:tcBorders>
              <w:top w:val="nil"/>
              <w:left w:val="nil"/>
              <w:bottom w:val="single" w:color="auto" w:sz="4" w:space="0"/>
              <w:right w:val="single" w:color="auto" w:sz="4" w:space="0"/>
            </w:tcBorders>
            <w:shd w:val="clear" w:color="auto" w:fill="auto"/>
            <w:noWrap/>
            <w:vAlign w:val="center"/>
          </w:tcPr>
          <w:p w14:paraId="0897ADF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14994</w:t>
            </w:r>
          </w:p>
        </w:tc>
        <w:tc>
          <w:tcPr>
            <w:tcW w:w="0" w:type="auto"/>
            <w:tcBorders>
              <w:top w:val="nil"/>
              <w:left w:val="nil"/>
              <w:bottom w:val="single" w:color="auto" w:sz="4" w:space="0"/>
              <w:right w:val="single" w:color="auto" w:sz="4" w:space="0"/>
            </w:tcBorders>
            <w:shd w:val="clear" w:color="auto" w:fill="auto"/>
            <w:noWrap/>
            <w:vAlign w:val="center"/>
          </w:tcPr>
          <w:p w14:paraId="7C2888B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3.8%</w:t>
            </w:r>
          </w:p>
        </w:tc>
      </w:tr>
      <w:tr w14:paraId="3E2F8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FACD66E">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工商</w:t>
            </w:r>
          </w:p>
        </w:tc>
        <w:tc>
          <w:tcPr>
            <w:tcW w:w="0" w:type="auto"/>
            <w:tcBorders>
              <w:top w:val="nil"/>
              <w:left w:val="nil"/>
              <w:bottom w:val="single" w:color="auto" w:sz="4" w:space="0"/>
              <w:right w:val="single" w:color="auto" w:sz="4" w:space="0"/>
            </w:tcBorders>
            <w:shd w:val="clear" w:color="auto" w:fill="auto"/>
            <w:noWrap/>
            <w:vAlign w:val="center"/>
          </w:tcPr>
          <w:p w14:paraId="63038FE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8376</w:t>
            </w:r>
          </w:p>
        </w:tc>
        <w:tc>
          <w:tcPr>
            <w:tcW w:w="0" w:type="auto"/>
            <w:tcBorders>
              <w:top w:val="nil"/>
              <w:left w:val="nil"/>
              <w:bottom w:val="single" w:color="auto" w:sz="4" w:space="0"/>
              <w:right w:val="single" w:color="auto" w:sz="4" w:space="0"/>
            </w:tcBorders>
            <w:shd w:val="clear" w:color="auto" w:fill="auto"/>
            <w:noWrap/>
            <w:vAlign w:val="center"/>
          </w:tcPr>
          <w:p w14:paraId="7CD7146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-6.3%</w:t>
            </w:r>
          </w:p>
        </w:tc>
      </w:tr>
      <w:tr w14:paraId="1DBA5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EC71CF6">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中信</w:t>
            </w:r>
          </w:p>
        </w:tc>
        <w:tc>
          <w:tcPr>
            <w:tcW w:w="0" w:type="auto"/>
            <w:tcBorders>
              <w:top w:val="nil"/>
              <w:left w:val="nil"/>
              <w:bottom w:val="single" w:color="auto" w:sz="4" w:space="0"/>
              <w:right w:val="single" w:color="auto" w:sz="4" w:space="0"/>
            </w:tcBorders>
            <w:shd w:val="clear" w:color="auto" w:fill="auto"/>
            <w:noWrap/>
            <w:vAlign w:val="center"/>
          </w:tcPr>
          <w:p w14:paraId="765AF93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8367</w:t>
            </w:r>
          </w:p>
        </w:tc>
        <w:tc>
          <w:tcPr>
            <w:tcW w:w="0" w:type="auto"/>
            <w:tcBorders>
              <w:top w:val="nil"/>
              <w:left w:val="nil"/>
              <w:bottom w:val="single" w:color="auto" w:sz="4" w:space="0"/>
              <w:right w:val="single" w:color="auto" w:sz="4" w:space="0"/>
            </w:tcBorders>
            <w:shd w:val="clear" w:color="auto" w:fill="auto"/>
            <w:noWrap/>
            <w:vAlign w:val="center"/>
          </w:tcPr>
          <w:p w14:paraId="74D5F49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w:t>
            </w:r>
          </w:p>
        </w:tc>
      </w:tr>
      <w:tr w14:paraId="5B419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D7B9C8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兴业</w:t>
            </w:r>
          </w:p>
        </w:tc>
        <w:tc>
          <w:tcPr>
            <w:tcW w:w="0" w:type="auto"/>
            <w:tcBorders>
              <w:top w:val="nil"/>
              <w:left w:val="nil"/>
              <w:bottom w:val="single" w:color="auto" w:sz="4" w:space="0"/>
              <w:right w:val="single" w:color="auto" w:sz="4" w:space="0"/>
            </w:tcBorders>
            <w:shd w:val="clear" w:color="auto" w:fill="auto"/>
            <w:noWrap/>
            <w:vAlign w:val="center"/>
          </w:tcPr>
          <w:p w14:paraId="6D407DC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7936</w:t>
            </w:r>
          </w:p>
        </w:tc>
        <w:tc>
          <w:tcPr>
            <w:tcW w:w="0" w:type="auto"/>
            <w:tcBorders>
              <w:top w:val="nil"/>
              <w:left w:val="nil"/>
              <w:bottom w:val="single" w:color="auto" w:sz="4" w:space="0"/>
              <w:right w:val="single" w:color="auto" w:sz="4" w:space="0"/>
            </w:tcBorders>
            <w:shd w:val="clear" w:color="auto" w:fill="auto"/>
            <w:noWrap/>
            <w:vAlign w:val="center"/>
          </w:tcPr>
          <w:p w14:paraId="5B7009A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0.7%</w:t>
            </w:r>
          </w:p>
        </w:tc>
      </w:tr>
      <w:tr w14:paraId="76F93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3F28A8F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建设</w:t>
            </w:r>
          </w:p>
        </w:tc>
        <w:tc>
          <w:tcPr>
            <w:tcW w:w="0" w:type="auto"/>
            <w:tcBorders>
              <w:top w:val="nil"/>
              <w:left w:val="nil"/>
              <w:bottom w:val="single" w:color="auto" w:sz="4" w:space="0"/>
              <w:right w:val="single" w:color="auto" w:sz="4" w:space="0"/>
            </w:tcBorders>
            <w:shd w:val="clear" w:color="auto" w:fill="auto"/>
            <w:noWrap/>
            <w:vAlign w:val="center"/>
          </w:tcPr>
          <w:p w14:paraId="03CE2D6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7842</w:t>
            </w:r>
          </w:p>
        </w:tc>
        <w:tc>
          <w:tcPr>
            <w:tcW w:w="0" w:type="auto"/>
            <w:tcBorders>
              <w:top w:val="nil"/>
              <w:left w:val="nil"/>
              <w:bottom w:val="single" w:color="auto" w:sz="4" w:space="0"/>
              <w:right w:val="single" w:color="auto" w:sz="4" w:space="0"/>
            </w:tcBorders>
            <w:shd w:val="clear" w:color="auto" w:fill="auto"/>
            <w:noWrap/>
            <w:vAlign w:val="center"/>
          </w:tcPr>
          <w:p w14:paraId="1307512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16.9%</w:t>
            </w:r>
          </w:p>
        </w:tc>
      </w:tr>
      <w:tr w14:paraId="68DC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7453267B">
            <w:pPr>
              <w:keepNext w:val="0"/>
              <w:keepLines w:val="0"/>
              <w:widowControl/>
              <w:suppressLineNumbers w:val="0"/>
              <w:jc w:val="left"/>
              <w:textAlignment w:val="center"/>
              <w:rPr>
                <w:rFonts w:hint="eastAsia" w:ascii="等线" w:hAnsi="等线" w:eastAsia="等线" w:cs="等线"/>
                <w:i w:val="0"/>
                <w:iCs w:val="0"/>
                <w:color w:val="0000FF"/>
                <w:sz w:val="22"/>
                <w:szCs w:val="22"/>
                <w:u w:val="none"/>
              </w:rPr>
            </w:pPr>
            <w:r>
              <w:rPr>
                <w:rFonts w:hint="eastAsia" w:ascii="等线" w:hAnsi="等线" w:eastAsia="等线" w:cs="等线"/>
                <w:i w:val="0"/>
                <w:iCs w:val="0"/>
                <w:color w:val="0000FF"/>
                <w:kern w:val="0"/>
                <w:sz w:val="22"/>
                <w:szCs w:val="22"/>
                <w:u w:val="none"/>
                <w:lang w:val="en-US" w:eastAsia="zh-CN" w:bidi="ar"/>
              </w:rPr>
              <w:t>平安</w:t>
            </w:r>
          </w:p>
        </w:tc>
        <w:tc>
          <w:tcPr>
            <w:tcW w:w="0" w:type="auto"/>
            <w:tcBorders>
              <w:top w:val="nil"/>
              <w:left w:val="nil"/>
              <w:bottom w:val="single" w:color="auto" w:sz="4" w:space="0"/>
              <w:right w:val="single" w:color="auto" w:sz="4" w:space="0"/>
            </w:tcBorders>
            <w:shd w:val="clear" w:color="auto" w:fill="auto"/>
            <w:noWrap/>
            <w:vAlign w:val="center"/>
          </w:tcPr>
          <w:p w14:paraId="648680BE">
            <w:pPr>
              <w:keepNext w:val="0"/>
              <w:keepLines w:val="0"/>
              <w:widowControl/>
              <w:suppressLineNumbers w:val="0"/>
              <w:jc w:val="right"/>
              <w:textAlignment w:val="center"/>
              <w:rPr>
                <w:rFonts w:hint="eastAsia" w:ascii="等线" w:hAnsi="等线" w:eastAsia="等线" w:cs="等线"/>
                <w:i w:val="0"/>
                <w:iCs w:val="0"/>
                <w:color w:val="0000FF"/>
                <w:sz w:val="22"/>
                <w:szCs w:val="22"/>
                <w:u w:val="none"/>
              </w:rPr>
            </w:pPr>
            <w:r>
              <w:rPr>
                <w:rFonts w:hint="eastAsia" w:ascii="等线" w:hAnsi="等线" w:eastAsia="等线" w:cs="等线"/>
                <w:i w:val="0"/>
                <w:iCs w:val="0"/>
                <w:color w:val="0000FF"/>
                <w:kern w:val="0"/>
                <w:sz w:val="22"/>
                <w:szCs w:val="22"/>
                <w:u w:val="none"/>
                <w:lang w:val="en-US" w:eastAsia="zh-CN" w:bidi="ar"/>
              </w:rPr>
              <w:t>7684</w:t>
            </w:r>
          </w:p>
        </w:tc>
        <w:tc>
          <w:tcPr>
            <w:tcW w:w="0" w:type="auto"/>
            <w:tcBorders>
              <w:top w:val="nil"/>
              <w:left w:val="nil"/>
              <w:bottom w:val="single" w:color="auto" w:sz="4" w:space="0"/>
              <w:right w:val="single" w:color="auto" w:sz="4" w:space="0"/>
            </w:tcBorders>
            <w:shd w:val="clear" w:color="auto" w:fill="auto"/>
            <w:noWrap/>
            <w:vAlign w:val="center"/>
          </w:tcPr>
          <w:p w14:paraId="4B55525B">
            <w:pPr>
              <w:keepNext w:val="0"/>
              <w:keepLines w:val="0"/>
              <w:widowControl/>
              <w:suppressLineNumbers w:val="0"/>
              <w:jc w:val="right"/>
              <w:textAlignment w:val="center"/>
              <w:rPr>
                <w:rFonts w:hint="eastAsia" w:ascii="等线" w:hAnsi="等线" w:eastAsia="等线" w:cs="等线"/>
                <w:i w:val="0"/>
                <w:iCs w:val="0"/>
                <w:color w:val="0000FF"/>
                <w:sz w:val="22"/>
                <w:szCs w:val="22"/>
                <w:u w:val="none"/>
              </w:rPr>
            </w:pPr>
            <w:r>
              <w:rPr>
                <w:rFonts w:hint="eastAsia" w:ascii="等线" w:hAnsi="等线" w:eastAsia="等线" w:cs="等线"/>
                <w:i w:val="0"/>
                <w:iCs w:val="0"/>
                <w:color w:val="0000FF"/>
                <w:kern w:val="0"/>
                <w:sz w:val="22"/>
                <w:szCs w:val="22"/>
                <w:u w:val="none"/>
                <w:lang w:val="en-US" w:eastAsia="zh-CN" w:bidi="ar"/>
              </w:rPr>
              <w:t>-4.5%</w:t>
            </w:r>
          </w:p>
        </w:tc>
      </w:tr>
      <w:tr w14:paraId="097D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0D1AC16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中国</w:t>
            </w:r>
          </w:p>
        </w:tc>
        <w:tc>
          <w:tcPr>
            <w:tcW w:w="0" w:type="auto"/>
            <w:tcBorders>
              <w:top w:val="nil"/>
              <w:left w:val="nil"/>
              <w:bottom w:val="single" w:color="auto" w:sz="4" w:space="0"/>
              <w:right w:val="single" w:color="auto" w:sz="4" w:space="0"/>
            </w:tcBorders>
            <w:shd w:val="clear" w:color="auto" w:fill="auto"/>
            <w:noWrap/>
            <w:vAlign w:val="center"/>
          </w:tcPr>
          <w:p w14:paraId="4AEF22D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7586</w:t>
            </w:r>
          </w:p>
        </w:tc>
        <w:tc>
          <w:tcPr>
            <w:tcW w:w="0" w:type="auto"/>
            <w:tcBorders>
              <w:top w:val="nil"/>
              <w:left w:val="nil"/>
              <w:bottom w:val="single" w:color="auto" w:sz="4" w:space="0"/>
              <w:right w:val="single" w:color="auto" w:sz="4" w:space="0"/>
            </w:tcBorders>
            <w:shd w:val="clear" w:color="auto" w:fill="auto"/>
            <w:noWrap/>
            <w:vAlign w:val="center"/>
          </w:tcPr>
          <w:p w14:paraId="312B539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15.9%</w:t>
            </w:r>
          </w:p>
        </w:tc>
      </w:tr>
      <w:tr w14:paraId="6F6F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C09250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浦发</w:t>
            </w:r>
          </w:p>
        </w:tc>
        <w:tc>
          <w:tcPr>
            <w:tcW w:w="0" w:type="auto"/>
            <w:tcBorders>
              <w:top w:val="nil"/>
              <w:left w:val="nil"/>
              <w:bottom w:val="single" w:color="auto" w:sz="4" w:space="0"/>
              <w:right w:val="single" w:color="auto" w:sz="4" w:space="0"/>
            </w:tcBorders>
            <w:shd w:val="clear" w:color="auto" w:fill="auto"/>
            <w:noWrap/>
            <w:vAlign w:val="center"/>
          </w:tcPr>
          <w:p w14:paraId="67AF1BF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7391</w:t>
            </w:r>
          </w:p>
        </w:tc>
        <w:tc>
          <w:tcPr>
            <w:tcW w:w="0" w:type="auto"/>
            <w:tcBorders>
              <w:top w:val="nil"/>
              <w:left w:val="nil"/>
              <w:bottom w:val="single" w:color="auto" w:sz="4" w:space="0"/>
              <w:right w:val="single" w:color="auto" w:sz="4" w:space="0"/>
            </w:tcBorders>
            <w:shd w:val="clear" w:color="auto" w:fill="auto"/>
            <w:noWrap/>
            <w:vAlign w:val="center"/>
          </w:tcPr>
          <w:p w14:paraId="555DB18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w:t>
            </w:r>
          </w:p>
        </w:tc>
      </w:tr>
      <w:tr w14:paraId="6C22B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FFDD38F">
            <w:pPr>
              <w:keepNext w:val="0"/>
              <w:keepLines w:val="0"/>
              <w:widowControl/>
              <w:suppressLineNumbers w:val="0"/>
              <w:jc w:val="left"/>
              <w:textAlignment w:val="center"/>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光大</w:t>
            </w:r>
          </w:p>
        </w:tc>
        <w:tc>
          <w:tcPr>
            <w:tcW w:w="0" w:type="auto"/>
            <w:tcBorders>
              <w:top w:val="nil"/>
              <w:left w:val="nil"/>
              <w:bottom w:val="single" w:color="auto" w:sz="4" w:space="0"/>
              <w:right w:val="single" w:color="auto" w:sz="4" w:space="0"/>
            </w:tcBorders>
            <w:shd w:val="clear" w:color="auto" w:fill="auto"/>
            <w:noWrap/>
            <w:vAlign w:val="center"/>
          </w:tcPr>
          <w:p w14:paraId="19E31C4E">
            <w:pPr>
              <w:keepNext w:val="0"/>
              <w:keepLines w:val="0"/>
              <w:widowControl/>
              <w:suppressLineNumbers w:val="0"/>
              <w:jc w:val="right"/>
              <w:textAlignment w:val="center"/>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6612</w:t>
            </w:r>
          </w:p>
        </w:tc>
        <w:tc>
          <w:tcPr>
            <w:tcW w:w="0" w:type="auto"/>
            <w:tcBorders>
              <w:top w:val="nil"/>
              <w:left w:val="nil"/>
              <w:bottom w:val="single" w:color="auto" w:sz="4" w:space="0"/>
              <w:right w:val="single" w:color="auto" w:sz="4" w:space="0"/>
            </w:tcBorders>
            <w:shd w:val="clear" w:color="auto" w:fill="auto"/>
            <w:noWrap/>
            <w:vAlign w:val="center"/>
          </w:tcPr>
          <w:p w14:paraId="094AABF4">
            <w:pPr>
              <w:keepNext w:val="0"/>
              <w:keepLines w:val="0"/>
              <w:widowControl/>
              <w:suppressLineNumbers w:val="0"/>
              <w:jc w:val="right"/>
              <w:textAlignment w:val="center"/>
              <w:rPr>
                <w:rFonts w:hint="eastAsia" w:ascii="等线" w:hAnsi="等线" w:eastAsia="等线" w:cs="等线"/>
                <w:i w:val="0"/>
                <w:iCs w:val="0"/>
                <w:color w:val="000000"/>
                <w:kern w:val="2"/>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-3.3%</w:t>
            </w:r>
          </w:p>
        </w:tc>
      </w:tr>
      <w:tr w14:paraId="1E940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58EDA1B7">
            <w:pPr>
              <w:keepNext w:val="0"/>
              <w:keepLines w:val="0"/>
              <w:widowControl/>
              <w:suppressLineNumbers w:val="0"/>
              <w:jc w:val="left"/>
              <w:textAlignment w:val="center"/>
              <w:rPr>
                <w:rFonts w:hint="eastAsia"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交通</w:t>
            </w:r>
          </w:p>
        </w:tc>
        <w:tc>
          <w:tcPr>
            <w:tcW w:w="0" w:type="auto"/>
            <w:tcBorders>
              <w:top w:val="nil"/>
              <w:left w:val="nil"/>
              <w:bottom w:val="single" w:color="auto" w:sz="4" w:space="0"/>
              <w:right w:val="single" w:color="auto" w:sz="4" w:space="0"/>
            </w:tcBorders>
            <w:shd w:val="clear" w:color="auto" w:fill="auto"/>
            <w:noWrap/>
            <w:vAlign w:val="center"/>
          </w:tcPr>
          <w:p w14:paraId="352C7B2B">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6061</w:t>
            </w:r>
          </w:p>
        </w:tc>
        <w:tc>
          <w:tcPr>
            <w:tcW w:w="0" w:type="auto"/>
            <w:tcBorders>
              <w:top w:val="nil"/>
              <w:left w:val="nil"/>
              <w:bottom w:val="single" w:color="auto" w:sz="4" w:space="0"/>
              <w:right w:val="single" w:color="auto" w:sz="4" w:space="0"/>
            </w:tcBorders>
            <w:shd w:val="clear" w:color="auto" w:fill="auto"/>
            <w:noWrap/>
            <w:vAlign w:val="center"/>
          </w:tcPr>
          <w:p w14:paraId="3020E2D5">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1.5%</w:t>
            </w:r>
          </w:p>
        </w:tc>
      </w:tr>
      <w:tr w14:paraId="7FD50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63B17CC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招商</w:t>
            </w:r>
          </w:p>
        </w:tc>
        <w:tc>
          <w:tcPr>
            <w:tcW w:w="0" w:type="auto"/>
            <w:tcBorders>
              <w:top w:val="nil"/>
              <w:left w:val="nil"/>
              <w:bottom w:val="single" w:color="auto" w:sz="4" w:space="0"/>
              <w:right w:val="single" w:color="auto" w:sz="4" w:space="0"/>
            </w:tcBorders>
            <w:shd w:val="clear" w:color="auto" w:fill="auto"/>
            <w:noWrap/>
            <w:vAlign w:val="center"/>
          </w:tcPr>
          <w:p w14:paraId="323662E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5728</w:t>
            </w:r>
          </w:p>
        </w:tc>
        <w:tc>
          <w:tcPr>
            <w:tcW w:w="0" w:type="auto"/>
            <w:tcBorders>
              <w:top w:val="nil"/>
              <w:left w:val="nil"/>
              <w:bottom w:val="single" w:color="auto" w:sz="4" w:space="0"/>
              <w:right w:val="single" w:color="auto" w:sz="4" w:space="0"/>
            </w:tcBorders>
            <w:shd w:val="clear" w:color="auto" w:fill="auto"/>
            <w:noWrap/>
            <w:vAlign w:val="center"/>
          </w:tcPr>
          <w:p w14:paraId="1D83032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w:t>
            </w:r>
          </w:p>
        </w:tc>
      </w:tr>
      <w:tr w14:paraId="538A4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4C43736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民生</w:t>
            </w:r>
          </w:p>
        </w:tc>
        <w:tc>
          <w:tcPr>
            <w:tcW w:w="0" w:type="auto"/>
            <w:tcBorders>
              <w:top w:val="nil"/>
              <w:left w:val="nil"/>
              <w:bottom w:val="single" w:color="auto" w:sz="4" w:space="0"/>
              <w:right w:val="single" w:color="auto" w:sz="4" w:space="0"/>
            </w:tcBorders>
            <w:shd w:val="clear" w:color="auto" w:fill="auto"/>
            <w:noWrap/>
            <w:vAlign w:val="center"/>
          </w:tcPr>
          <w:p w14:paraId="1300D29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5353</w:t>
            </w:r>
          </w:p>
        </w:tc>
        <w:tc>
          <w:tcPr>
            <w:tcW w:w="0" w:type="auto"/>
            <w:tcBorders>
              <w:top w:val="nil"/>
              <w:left w:val="nil"/>
              <w:bottom w:val="single" w:color="auto" w:sz="4" w:space="0"/>
              <w:right w:val="single" w:color="auto" w:sz="4" w:space="0"/>
            </w:tcBorders>
            <w:shd w:val="clear" w:color="auto" w:fill="auto"/>
            <w:noWrap/>
            <w:vAlign w:val="center"/>
          </w:tcPr>
          <w:p w14:paraId="6B674C7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-1.4%</w:t>
            </w:r>
          </w:p>
        </w:tc>
      </w:tr>
      <w:tr w14:paraId="067D4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0" w:type="auto"/>
            <w:tcBorders>
              <w:top w:val="nil"/>
              <w:left w:val="single" w:color="auto" w:sz="4" w:space="0"/>
              <w:bottom w:val="single" w:color="auto" w:sz="4" w:space="0"/>
              <w:right w:val="single" w:color="auto" w:sz="4" w:space="0"/>
            </w:tcBorders>
            <w:shd w:val="clear" w:color="auto" w:fill="auto"/>
            <w:noWrap/>
            <w:vAlign w:val="center"/>
          </w:tcPr>
          <w:p w14:paraId="2DF29C4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华夏</w:t>
            </w:r>
          </w:p>
        </w:tc>
        <w:tc>
          <w:tcPr>
            <w:tcW w:w="0" w:type="auto"/>
            <w:tcBorders>
              <w:top w:val="nil"/>
              <w:left w:val="nil"/>
              <w:bottom w:val="single" w:color="auto" w:sz="4" w:space="0"/>
              <w:right w:val="single" w:color="auto" w:sz="4" w:space="0"/>
            </w:tcBorders>
            <w:shd w:val="clear" w:color="auto" w:fill="auto"/>
            <w:noWrap/>
            <w:vAlign w:val="center"/>
          </w:tcPr>
          <w:p w14:paraId="10A0214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4657</w:t>
            </w:r>
          </w:p>
        </w:tc>
        <w:tc>
          <w:tcPr>
            <w:tcW w:w="0" w:type="auto"/>
            <w:tcBorders>
              <w:top w:val="nil"/>
              <w:left w:val="nil"/>
              <w:bottom w:val="single" w:color="auto" w:sz="4" w:space="0"/>
              <w:right w:val="single" w:color="auto" w:sz="4" w:space="0"/>
            </w:tcBorders>
            <w:shd w:val="clear" w:color="auto" w:fill="auto"/>
            <w:noWrap/>
            <w:vAlign w:val="center"/>
          </w:tcPr>
          <w:p w14:paraId="44F3C3E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-2.7%</w:t>
            </w:r>
          </w:p>
        </w:tc>
      </w:tr>
    </w:tbl>
    <w:p w14:paraId="61B750C4">
      <w:pPr>
        <w:numPr>
          <w:ilvl w:val="0"/>
          <w:numId w:val="0"/>
        </w:numPr>
        <w:ind w:leftChars="0"/>
        <w:rPr>
          <w:rFonts w:hint="eastAsia"/>
          <w:lang w:val="en-US" w:eastAsia="zh-CN"/>
        </w:rPr>
      </w:pPr>
    </w:p>
    <w:p w14:paraId="01E9E1D1">
      <w:pPr>
        <w:numPr>
          <w:ilvl w:val="1"/>
          <w:numId w:val="1"/>
        </w:numPr>
        <w:ind w:left="0" w:leftChars="0" w:firstLine="0" w:firstLineChars="0"/>
        <w:rPr>
          <w:rFonts w:hint="eastAsia"/>
          <w:lang w:val="en-US" w:eastAsia="zh-CN"/>
        </w:rPr>
      </w:pPr>
      <w:r>
        <w:rPr>
          <w:rFonts w:hint="eastAsia"/>
          <w:lang w:val="en-US" w:eastAsia="zh-CN"/>
        </w:rPr>
        <w:t>票据贴现</w:t>
      </w:r>
    </w:p>
    <w:p w14:paraId="68344C51">
      <w:pPr>
        <w:numPr>
          <w:ilvl w:val="2"/>
          <w:numId w:val="1"/>
        </w:numPr>
        <w:ind w:left="0" w:leftChars="0" w:firstLine="0" w:firstLineChars="0"/>
        <w:rPr>
          <w:rFonts w:hint="eastAsia"/>
          <w:lang w:val="en-US" w:eastAsia="zh-CN"/>
        </w:rPr>
      </w:pPr>
      <w:r>
        <w:rPr>
          <w:rFonts w:hint="eastAsia"/>
          <w:b/>
          <w:bCs/>
          <w:lang w:val="en-US" w:eastAsia="zh-CN"/>
        </w:rPr>
        <w:t>我行票据贴现余额增速亦出现趋缓。2024年末，我行票据贴现余额同比下降13.5%，为2018年以来首次负增长</w:t>
      </w:r>
      <w:r>
        <w:rPr>
          <w:rFonts w:hint="eastAsia"/>
          <w:b w:val="0"/>
          <w:bCs w:val="0"/>
          <w:lang w:val="en-US" w:eastAsia="zh-CN"/>
        </w:rPr>
        <w:t>，其中，</w:t>
      </w:r>
      <w:r>
        <w:rPr>
          <w:rFonts w:hint="eastAsia"/>
          <w:b w:val="0"/>
          <w:bCs w:val="0"/>
          <w:highlight w:val="yellow"/>
          <w:lang w:val="en-US" w:eastAsia="zh-CN"/>
        </w:rPr>
        <w:t>买断式转贴现（526.5亿）较年初减少208亿（监管共享G11），直贴（1338.5亿）减少84亿（年报口径）</w:t>
      </w:r>
      <w:r>
        <w:rPr>
          <w:rFonts w:hint="eastAsia"/>
          <w:b w:val="0"/>
          <w:bCs w:val="0"/>
          <w:lang w:val="en-US" w:eastAsia="zh-CN"/>
        </w:rPr>
        <w:t>。2025年3月末，我行票据贴现余额1871亿，较年初增长0.7%。</w:t>
      </w:r>
    </w:p>
    <w:p w14:paraId="0D7220DC">
      <w:pPr>
        <w:numPr>
          <w:ilvl w:val="0"/>
          <w:numId w:val="0"/>
        </w:numPr>
        <w:ind w:leftChars="0"/>
        <w:rPr>
          <w:rFonts w:hint="eastAsia"/>
          <w:b/>
          <w:bCs/>
          <w:lang w:val="en-US" w:eastAsia="zh-CN"/>
        </w:rPr>
      </w:pPr>
    </w:p>
    <w:p w14:paraId="1900DA82">
      <w:pPr>
        <w:numPr>
          <w:ilvl w:val="0"/>
          <w:numId w:val="0"/>
        </w:numPr>
        <w:ind w:leftChars="0"/>
        <w:rPr>
          <w:rFonts w:hint="eastAsia"/>
          <w:b/>
          <w:bCs/>
          <w:lang w:val="en-US" w:eastAsia="zh-CN"/>
        </w:rPr>
      </w:pPr>
    </w:p>
    <w:p w14:paraId="202CA90F">
      <w:pPr>
        <w:numPr>
          <w:ilvl w:val="0"/>
          <w:numId w:val="0"/>
        </w:numPr>
        <w:ind w:leftChars="0"/>
        <w:rPr>
          <w:rFonts w:hint="eastAsia"/>
          <w:b/>
          <w:bCs/>
          <w:lang w:val="en-US" w:eastAsia="zh-CN"/>
        </w:rPr>
      </w:pPr>
    </w:p>
    <w:p w14:paraId="236DB931">
      <w:pPr>
        <w:numPr>
          <w:ilvl w:val="0"/>
          <w:numId w:val="0"/>
        </w:numPr>
        <w:ind w:leftChars="0"/>
        <w:rPr>
          <w:rFonts w:hint="eastAsia"/>
          <w:b/>
          <w:bCs/>
          <w:lang w:val="en-US" w:eastAsia="zh-CN"/>
        </w:rPr>
      </w:pPr>
    </w:p>
    <w:p w14:paraId="7AF08518">
      <w:pPr>
        <w:numPr>
          <w:ilvl w:val="0"/>
          <w:numId w:val="0"/>
        </w:numPr>
        <w:ind w:leftChars="0"/>
        <w:rPr>
          <w:rFonts w:hint="default"/>
          <w:b/>
          <w:bCs/>
          <w:lang w:val="en-US" w:eastAsia="zh-CN"/>
        </w:rPr>
      </w:pPr>
      <w:r>
        <w:rPr>
          <w:rFonts w:hint="eastAsia"/>
          <w:b/>
          <w:bCs/>
          <w:lang w:val="en-US" w:eastAsia="zh-CN"/>
        </w:rPr>
        <w:t>图：2016-2025年3月末我行票据贴现余额及增速（换为占贷款比重）</w:t>
      </w:r>
    </w:p>
    <w:p w14:paraId="5151ECA4">
      <w:pPr>
        <w:numPr>
          <w:ilvl w:val="0"/>
          <w:numId w:val="0"/>
        </w:numPr>
        <w:ind w:leftChars="0"/>
        <w:rPr>
          <w:rFonts w:hint="eastAsia"/>
          <w:lang w:val="en-US" w:eastAsia="zh-CN"/>
        </w:rPr>
      </w:pPr>
    </w:p>
    <w:p w14:paraId="0909F396">
      <w:pPr>
        <w:numPr>
          <w:ilvl w:val="0"/>
          <w:numId w:val="0"/>
        </w:numPr>
        <w:ind w:leftChars="0"/>
      </w:pPr>
      <w:r>
        <w:drawing>
          <wp:inline distT="0" distB="0" distL="114300" distR="114300">
            <wp:extent cx="3326130" cy="1701800"/>
            <wp:effectExtent l="0" t="0" r="762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326130" cy="1701800"/>
                    </a:xfrm>
                    <a:prstGeom prst="rect">
                      <a:avLst/>
                    </a:prstGeom>
                    <a:noFill/>
                    <a:ln>
                      <a:noFill/>
                    </a:ln>
                  </pic:spPr>
                </pic:pic>
              </a:graphicData>
            </a:graphic>
          </wp:inline>
        </w:drawing>
      </w:r>
    </w:p>
    <w:p w14:paraId="2506F187">
      <w:pPr>
        <w:numPr>
          <w:ilvl w:val="0"/>
          <w:numId w:val="0"/>
        </w:numPr>
        <w:ind w:leftChars="0"/>
        <w:rPr>
          <w:rFonts w:hint="eastAsia"/>
          <w:lang w:val="en-US" w:eastAsia="zh-CN"/>
        </w:rPr>
      </w:pPr>
      <w:r>
        <w:rPr>
          <w:rFonts w:hint="eastAsia"/>
          <w:b/>
          <w:bCs/>
          <w:lang w:val="en-US" w:eastAsia="zh-CN"/>
        </w:rPr>
        <w:t>相比同业，我行票据贴现余额占对公贷款（含贴现）的比相对较高</w:t>
      </w:r>
      <w:r>
        <w:rPr>
          <w:rFonts w:hint="eastAsia"/>
          <w:lang w:val="en-US" w:eastAsia="zh-CN"/>
        </w:rPr>
        <w:t>。我行、招商、中信票据贴现余额占对公贷款的比重相对较高，</w:t>
      </w:r>
      <w:r>
        <w:rPr>
          <w:rFonts w:hint="eastAsia"/>
          <w:b/>
          <w:bCs/>
          <w:lang w:val="en-US" w:eastAsia="zh-CN"/>
        </w:rPr>
        <w:t>25年3月末，我行票据贴现余额1871亿，占对公贷款11%，反映出我行对公贷款投放压力较大</w:t>
      </w:r>
      <w:r>
        <w:rPr>
          <w:rFonts w:hint="eastAsia"/>
          <w:lang w:val="en-US" w:eastAsia="zh-CN"/>
        </w:rPr>
        <w:t>。</w:t>
      </w:r>
    </w:p>
    <w:p w14:paraId="6AB9F0B7">
      <w:pPr>
        <w:numPr>
          <w:ilvl w:val="0"/>
          <w:numId w:val="0"/>
        </w:numPr>
        <w:ind w:leftChars="0"/>
      </w:pPr>
      <w:r>
        <w:drawing>
          <wp:inline distT="0" distB="0" distL="114300" distR="114300">
            <wp:extent cx="5269865" cy="1743710"/>
            <wp:effectExtent l="0" t="0" r="698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9865" cy="1743710"/>
                    </a:xfrm>
                    <a:prstGeom prst="rect">
                      <a:avLst/>
                    </a:prstGeom>
                    <a:noFill/>
                    <a:ln>
                      <a:noFill/>
                    </a:ln>
                  </pic:spPr>
                </pic:pic>
              </a:graphicData>
            </a:graphic>
          </wp:inline>
        </w:drawing>
      </w:r>
    </w:p>
    <w:p w14:paraId="3CC28665">
      <w:pPr>
        <w:numPr>
          <w:ilvl w:val="1"/>
          <w:numId w:val="1"/>
        </w:numPr>
        <w:ind w:left="0" w:leftChars="0" w:firstLine="0" w:firstLineChars="0"/>
        <w:rPr>
          <w:rFonts w:hint="eastAsia"/>
          <w:lang w:val="en-US" w:eastAsia="zh-CN"/>
        </w:rPr>
      </w:pPr>
      <w:r>
        <w:rPr>
          <w:rFonts w:hint="eastAsia"/>
          <w:lang w:val="en-US" w:eastAsia="zh-CN"/>
        </w:rPr>
        <w:t>票据收益</w:t>
      </w:r>
    </w:p>
    <w:p w14:paraId="00771E14">
      <w:pPr>
        <w:numPr>
          <w:ilvl w:val="0"/>
          <w:numId w:val="0"/>
        </w:numPr>
        <w:ind w:leftChars="0"/>
        <w:rPr>
          <w:rFonts w:hint="default"/>
          <w:lang w:val="en-US" w:eastAsia="zh-CN"/>
        </w:rPr>
      </w:pPr>
      <w:r>
        <w:rPr>
          <w:rFonts w:hint="eastAsia"/>
          <w:b/>
          <w:bCs/>
          <w:color w:val="0000FF"/>
          <w:lang w:val="en-US" w:eastAsia="zh-CN"/>
        </w:rPr>
        <w:t>近年看，我行票据综合收益率低于企业贷款收益率</w:t>
      </w:r>
      <w:r>
        <w:rPr>
          <w:rFonts w:hint="eastAsia"/>
          <w:color w:val="0000FF"/>
          <w:lang w:val="en-US" w:eastAsia="zh-CN"/>
        </w:rPr>
        <w:t>。</w:t>
      </w:r>
      <w:r>
        <w:rPr>
          <w:rFonts w:hint="eastAsia"/>
          <w:color w:val="auto"/>
          <w:lang w:val="en-US" w:eastAsia="zh-CN"/>
        </w:rPr>
        <w:t>票据贴现和转贴现业务收益主要包括贴现票据的利息收入和票据转让价差收益两块，</w:t>
      </w:r>
      <w:r>
        <w:rPr>
          <w:rFonts w:hint="eastAsia"/>
          <w:lang w:val="en-US" w:eastAsia="zh-CN"/>
        </w:rPr>
        <w:t>2022~2024年，我行票据综合收益率（估计）分别为3.40%、2.91%、2.90%，持续走低，低于企业贷款（不含贴现）收益率50-109bp。其中，2023~2024年我行票据收益率（=利息收入/票据贴现日均余额）分别为2.02%、1.81%，进入低于存款利率区间。</w:t>
      </w:r>
    </w:p>
    <w:p w14:paraId="2C06726D">
      <w:pPr>
        <w:numPr>
          <w:ilvl w:val="0"/>
          <w:numId w:val="0"/>
        </w:numPr>
        <w:ind w:leftChars="0"/>
        <w:rPr>
          <w:rFonts w:hint="default"/>
          <w:b/>
          <w:bCs/>
          <w:lang w:val="en-US" w:eastAsia="zh-CN"/>
        </w:rPr>
      </w:pPr>
      <w:r>
        <w:rPr>
          <w:rFonts w:hint="eastAsia"/>
          <w:b/>
          <w:bCs/>
          <w:lang w:val="en-US" w:eastAsia="zh-CN"/>
        </w:rPr>
        <w:t>表：近年我行票据业务收益情况（单位：亿元）</w:t>
      </w:r>
    </w:p>
    <w:tbl>
      <w:tblPr>
        <w:tblStyle w:val="2"/>
        <w:tblW w:w="754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52"/>
        <w:gridCol w:w="1410"/>
        <w:gridCol w:w="1410"/>
        <w:gridCol w:w="1410"/>
        <w:gridCol w:w="1132"/>
      </w:tblGrid>
      <w:tr w14:paraId="22653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1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B4C30C">
            <w:pPr>
              <w:keepNext w:val="0"/>
              <w:keepLines w:val="0"/>
              <w:widowControl/>
              <w:suppressLineNumbers w:val="0"/>
              <w:jc w:val="left"/>
              <w:textAlignment w:val="center"/>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　</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1139841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2021</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2FC6FF7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2022</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2D0A6DC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2023</w:t>
            </w:r>
          </w:p>
        </w:tc>
        <w:tc>
          <w:tcPr>
            <w:tcW w:w="1140" w:type="dxa"/>
            <w:tcBorders>
              <w:top w:val="single" w:color="auto" w:sz="4" w:space="0"/>
              <w:left w:val="nil"/>
              <w:bottom w:val="single" w:color="auto" w:sz="4" w:space="0"/>
              <w:right w:val="single" w:color="auto" w:sz="4" w:space="0"/>
            </w:tcBorders>
            <w:shd w:val="clear" w:color="auto" w:fill="auto"/>
            <w:noWrap/>
            <w:vAlign w:val="center"/>
          </w:tcPr>
          <w:p w14:paraId="7AFA323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2024</w:t>
            </w:r>
          </w:p>
        </w:tc>
      </w:tr>
      <w:tr w14:paraId="4DCE4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6F35C876">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票据贴现日均余额</w:t>
            </w:r>
          </w:p>
        </w:tc>
        <w:tc>
          <w:tcPr>
            <w:tcW w:w="0" w:type="auto"/>
            <w:tcBorders>
              <w:top w:val="nil"/>
              <w:left w:val="nil"/>
              <w:bottom w:val="single" w:color="auto" w:sz="4" w:space="0"/>
              <w:right w:val="single" w:color="auto" w:sz="4" w:space="0"/>
            </w:tcBorders>
            <w:shd w:val="clear" w:color="auto" w:fill="auto"/>
            <w:noWrap/>
            <w:vAlign w:val="center"/>
          </w:tcPr>
          <w:p w14:paraId="3E2BCC2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1,148</w:t>
            </w:r>
          </w:p>
        </w:tc>
        <w:tc>
          <w:tcPr>
            <w:tcW w:w="0" w:type="auto"/>
            <w:tcBorders>
              <w:top w:val="nil"/>
              <w:left w:val="nil"/>
              <w:bottom w:val="single" w:color="auto" w:sz="4" w:space="0"/>
              <w:right w:val="single" w:color="auto" w:sz="4" w:space="0"/>
            </w:tcBorders>
            <w:shd w:val="clear" w:color="auto" w:fill="auto"/>
            <w:noWrap/>
            <w:vAlign w:val="center"/>
          </w:tcPr>
          <w:p w14:paraId="4BEB51D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1,977</w:t>
            </w:r>
          </w:p>
        </w:tc>
        <w:tc>
          <w:tcPr>
            <w:tcW w:w="0" w:type="auto"/>
            <w:tcBorders>
              <w:top w:val="nil"/>
              <w:left w:val="nil"/>
              <w:bottom w:val="single" w:color="auto" w:sz="4" w:space="0"/>
              <w:right w:val="single" w:color="auto" w:sz="4" w:space="0"/>
            </w:tcBorders>
            <w:shd w:val="clear" w:color="auto" w:fill="auto"/>
            <w:noWrap/>
            <w:vAlign w:val="center"/>
          </w:tcPr>
          <w:p w14:paraId="2D44C20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2,011</w:t>
            </w:r>
          </w:p>
        </w:tc>
        <w:tc>
          <w:tcPr>
            <w:tcW w:w="0" w:type="auto"/>
            <w:tcBorders>
              <w:top w:val="nil"/>
              <w:left w:val="nil"/>
              <w:bottom w:val="single" w:color="auto" w:sz="4" w:space="0"/>
              <w:right w:val="single" w:color="auto" w:sz="4" w:space="0"/>
            </w:tcBorders>
            <w:shd w:val="clear" w:color="auto" w:fill="auto"/>
            <w:noWrap/>
            <w:vAlign w:val="center"/>
          </w:tcPr>
          <w:p w14:paraId="1B76388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1,893</w:t>
            </w:r>
          </w:p>
        </w:tc>
      </w:tr>
      <w:tr w14:paraId="4DAAF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F9A0E0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利息收入</w:t>
            </w:r>
          </w:p>
        </w:tc>
        <w:tc>
          <w:tcPr>
            <w:tcW w:w="0" w:type="auto"/>
            <w:tcBorders>
              <w:top w:val="nil"/>
              <w:left w:val="nil"/>
              <w:bottom w:val="single" w:color="auto" w:sz="4" w:space="0"/>
              <w:right w:val="single" w:color="auto" w:sz="4" w:space="0"/>
            </w:tcBorders>
            <w:shd w:val="clear" w:color="auto" w:fill="auto"/>
            <w:noWrap/>
            <w:vAlign w:val="center"/>
          </w:tcPr>
          <w:p w14:paraId="2A8FFAE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31</w:t>
            </w:r>
          </w:p>
        </w:tc>
        <w:tc>
          <w:tcPr>
            <w:tcW w:w="0" w:type="auto"/>
            <w:tcBorders>
              <w:top w:val="nil"/>
              <w:left w:val="nil"/>
              <w:bottom w:val="single" w:color="auto" w:sz="4" w:space="0"/>
              <w:right w:val="single" w:color="auto" w:sz="4" w:space="0"/>
            </w:tcBorders>
            <w:shd w:val="clear" w:color="auto" w:fill="auto"/>
            <w:noWrap/>
            <w:vAlign w:val="center"/>
          </w:tcPr>
          <w:p w14:paraId="2B938B9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41.59</w:t>
            </w:r>
          </w:p>
        </w:tc>
        <w:tc>
          <w:tcPr>
            <w:tcW w:w="0" w:type="auto"/>
            <w:tcBorders>
              <w:top w:val="nil"/>
              <w:left w:val="nil"/>
              <w:bottom w:val="single" w:color="auto" w:sz="4" w:space="0"/>
              <w:right w:val="single" w:color="auto" w:sz="4" w:space="0"/>
            </w:tcBorders>
            <w:shd w:val="clear" w:color="auto" w:fill="auto"/>
            <w:noWrap/>
            <w:vAlign w:val="center"/>
          </w:tcPr>
          <w:p w14:paraId="0DE488D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40.56</w:t>
            </w:r>
          </w:p>
        </w:tc>
        <w:tc>
          <w:tcPr>
            <w:tcW w:w="0" w:type="auto"/>
            <w:tcBorders>
              <w:top w:val="nil"/>
              <w:left w:val="nil"/>
              <w:bottom w:val="single" w:color="auto" w:sz="4" w:space="0"/>
              <w:right w:val="single" w:color="auto" w:sz="4" w:space="0"/>
            </w:tcBorders>
            <w:shd w:val="clear" w:color="auto" w:fill="auto"/>
            <w:noWrap/>
            <w:vAlign w:val="center"/>
          </w:tcPr>
          <w:p w14:paraId="3B70598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34.28</w:t>
            </w:r>
          </w:p>
        </w:tc>
      </w:tr>
      <w:tr w14:paraId="393BF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3BDFFA5D">
            <w:pPr>
              <w:keepNext w:val="0"/>
              <w:keepLines w:val="0"/>
              <w:widowControl/>
              <w:suppressLineNumbers w:val="0"/>
              <w:jc w:val="lef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票据收益率</w:t>
            </w:r>
          </w:p>
        </w:tc>
        <w:tc>
          <w:tcPr>
            <w:tcW w:w="0" w:type="auto"/>
            <w:tcBorders>
              <w:top w:val="nil"/>
              <w:left w:val="nil"/>
              <w:bottom w:val="single" w:color="auto" w:sz="4" w:space="0"/>
              <w:right w:val="single" w:color="auto" w:sz="4" w:space="0"/>
            </w:tcBorders>
            <w:shd w:val="clear" w:color="auto" w:fill="auto"/>
            <w:noWrap/>
            <w:vAlign w:val="center"/>
          </w:tcPr>
          <w:p w14:paraId="05974582">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2.68%</w:t>
            </w:r>
          </w:p>
        </w:tc>
        <w:tc>
          <w:tcPr>
            <w:tcW w:w="0" w:type="auto"/>
            <w:tcBorders>
              <w:top w:val="nil"/>
              <w:left w:val="nil"/>
              <w:bottom w:val="single" w:color="auto" w:sz="4" w:space="0"/>
              <w:right w:val="single" w:color="auto" w:sz="4" w:space="0"/>
            </w:tcBorders>
            <w:shd w:val="clear" w:color="auto" w:fill="auto"/>
            <w:noWrap/>
            <w:vAlign w:val="center"/>
          </w:tcPr>
          <w:p w14:paraId="3E85E73E">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2.10%</w:t>
            </w:r>
          </w:p>
        </w:tc>
        <w:tc>
          <w:tcPr>
            <w:tcW w:w="0" w:type="auto"/>
            <w:tcBorders>
              <w:top w:val="nil"/>
              <w:left w:val="nil"/>
              <w:bottom w:val="single" w:color="auto" w:sz="4" w:space="0"/>
              <w:right w:val="single" w:color="auto" w:sz="4" w:space="0"/>
            </w:tcBorders>
            <w:shd w:val="clear" w:color="auto" w:fill="auto"/>
            <w:noWrap/>
            <w:vAlign w:val="center"/>
          </w:tcPr>
          <w:p w14:paraId="6EEB4104">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2.02%</w:t>
            </w:r>
          </w:p>
        </w:tc>
        <w:tc>
          <w:tcPr>
            <w:tcW w:w="0" w:type="auto"/>
            <w:tcBorders>
              <w:top w:val="nil"/>
              <w:left w:val="nil"/>
              <w:bottom w:val="single" w:color="auto" w:sz="4" w:space="0"/>
              <w:right w:val="single" w:color="auto" w:sz="4" w:space="0"/>
            </w:tcBorders>
            <w:shd w:val="clear" w:color="auto" w:fill="auto"/>
            <w:noWrap/>
            <w:vAlign w:val="center"/>
          </w:tcPr>
          <w:p w14:paraId="1EE88FE4">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1.81%</w:t>
            </w:r>
          </w:p>
        </w:tc>
      </w:tr>
      <w:tr w14:paraId="76088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2B02E4F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票据转让价差</w:t>
            </w:r>
          </w:p>
        </w:tc>
        <w:tc>
          <w:tcPr>
            <w:tcW w:w="0" w:type="auto"/>
            <w:tcBorders>
              <w:top w:val="nil"/>
              <w:left w:val="nil"/>
              <w:bottom w:val="single" w:color="auto" w:sz="4" w:space="0"/>
              <w:right w:val="single" w:color="auto" w:sz="4" w:space="0"/>
            </w:tcBorders>
            <w:shd w:val="clear" w:color="auto" w:fill="auto"/>
            <w:noWrap/>
            <w:vAlign w:val="center"/>
          </w:tcPr>
          <w:p w14:paraId="1256069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w:t>
            </w:r>
          </w:p>
        </w:tc>
        <w:tc>
          <w:tcPr>
            <w:tcW w:w="0" w:type="auto"/>
            <w:tcBorders>
              <w:top w:val="nil"/>
              <w:left w:val="nil"/>
              <w:bottom w:val="single" w:color="auto" w:sz="4" w:space="0"/>
              <w:right w:val="single" w:color="auto" w:sz="4" w:space="0"/>
            </w:tcBorders>
            <w:shd w:val="clear" w:color="auto" w:fill="auto"/>
            <w:noWrap/>
            <w:vAlign w:val="center"/>
          </w:tcPr>
          <w:p w14:paraId="060C6E3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25.67</w:t>
            </w:r>
          </w:p>
        </w:tc>
        <w:tc>
          <w:tcPr>
            <w:tcW w:w="0" w:type="auto"/>
            <w:tcBorders>
              <w:top w:val="nil"/>
              <w:left w:val="nil"/>
              <w:bottom w:val="single" w:color="auto" w:sz="4" w:space="0"/>
              <w:right w:val="single" w:color="auto" w:sz="4" w:space="0"/>
            </w:tcBorders>
            <w:shd w:val="clear" w:color="auto" w:fill="auto"/>
            <w:noWrap/>
            <w:vAlign w:val="center"/>
          </w:tcPr>
          <w:p w14:paraId="2426AFE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17.89</w:t>
            </w:r>
          </w:p>
        </w:tc>
        <w:tc>
          <w:tcPr>
            <w:tcW w:w="0" w:type="auto"/>
            <w:tcBorders>
              <w:top w:val="nil"/>
              <w:left w:val="nil"/>
              <w:bottom w:val="single" w:color="auto" w:sz="4" w:space="0"/>
              <w:right w:val="single" w:color="auto" w:sz="4" w:space="0"/>
            </w:tcBorders>
            <w:shd w:val="clear" w:color="auto" w:fill="auto"/>
            <w:noWrap/>
            <w:vAlign w:val="center"/>
          </w:tcPr>
          <w:p w14:paraId="0396C57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20.52</w:t>
            </w:r>
          </w:p>
        </w:tc>
      </w:tr>
      <w:tr w14:paraId="7F560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B4C2B8F">
            <w:pPr>
              <w:keepNext w:val="0"/>
              <w:keepLines w:val="0"/>
              <w:widowControl/>
              <w:suppressLineNumbers w:val="0"/>
              <w:jc w:val="lef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票据综合收益率（估计）</w:t>
            </w:r>
          </w:p>
        </w:tc>
        <w:tc>
          <w:tcPr>
            <w:tcW w:w="0" w:type="auto"/>
            <w:tcBorders>
              <w:top w:val="nil"/>
              <w:left w:val="nil"/>
              <w:bottom w:val="single" w:color="auto" w:sz="4" w:space="0"/>
              <w:right w:val="single" w:color="auto" w:sz="4" w:space="0"/>
            </w:tcBorders>
            <w:shd w:val="clear" w:color="auto" w:fill="auto"/>
            <w:noWrap/>
            <w:vAlign w:val="center"/>
          </w:tcPr>
          <w:p w14:paraId="02384515">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4.24%</w:t>
            </w:r>
          </w:p>
        </w:tc>
        <w:tc>
          <w:tcPr>
            <w:tcW w:w="0" w:type="auto"/>
            <w:tcBorders>
              <w:top w:val="nil"/>
              <w:left w:val="nil"/>
              <w:bottom w:val="single" w:color="auto" w:sz="4" w:space="0"/>
              <w:right w:val="single" w:color="auto" w:sz="4" w:space="0"/>
            </w:tcBorders>
            <w:shd w:val="clear" w:color="auto" w:fill="auto"/>
            <w:noWrap/>
            <w:vAlign w:val="center"/>
          </w:tcPr>
          <w:p w14:paraId="0D8A0A7D">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3.40%</w:t>
            </w:r>
          </w:p>
        </w:tc>
        <w:tc>
          <w:tcPr>
            <w:tcW w:w="0" w:type="auto"/>
            <w:tcBorders>
              <w:top w:val="nil"/>
              <w:left w:val="nil"/>
              <w:bottom w:val="single" w:color="auto" w:sz="4" w:space="0"/>
              <w:right w:val="single" w:color="auto" w:sz="4" w:space="0"/>
            </w:tcBorders>
            <w:shd w:val="clear" w:color="auto" w:fill="auto"/>
            <w:noWrap/>
            <w:vAlign w:val="center"/>
          </w:tcPr>
          <w:p w14:paraId="4F04250E">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2.91%</w:t>
            </w:r>
          </w:p>
        </w:tc>
        <w:tc>
          <w:tcPr>
            <w:tcW w:w="0" w:type="auto"/>
            <w:tcBorders>
              <w:top w:val="nil"/>
              <w:left w:val="nil"/>
              <w:bottom w:val="single" w:color="auto" w:sz="4" w:space="0"/>
              <w:right w:val="single" w:color="auto" w:sz="4" w:space="0"/>
            </w:tcBorders>
            <w:shd w:val="clear" w:color="auto" w:fill="auto"/>
            <w:noWrap/>
            <w:vAlign w:val="center"/>
          </w:tcPr>
          <w:p w14:paraId="14DB6869">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2.90%</w:t>
            </w:r>
          </w:p>
        </w:tc>
      </w:tr>
      <w:tr w14:paraId="54440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EA595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企业贷款收益率（不含贴现）</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1FF9B9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871447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AF4C1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4.00%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AEA5A8D">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3.56%</w:t>
            </w:r>
          </w:p>
        </w:tc>
      </w:tr>
      <w:tr w14:paraId="6C5F0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BF1A08">
            <w:pPr>
              <w:keepNext w:val="0"/>
              <w:keepLines w:val="0"/>
              <w:widowControl/>
              <w:suppressLineNumbers w:val="0"/>
              <w:jc w:val="lef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存款利率</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5E6D4EB">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998B56">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2.09%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7EB837">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8D271C">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2.07%</w:t>
            </w:r>
          </w:p>
        </w:tc>
      </w:tr>
      <w:tr w14:paraId="7F21C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D28975">
            <w:pPr>
              <w:keepNext w:val="0"/>
              <w:keepLines w:val="0"/>
              <w:widowControl/>
              <w:suppressLineNumbers w:val="0"/>
              <w:jc w:val="lef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票据收益率-存款利率</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8CB389">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64bp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168825">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3003784">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-18bp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90C749">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-26bp</w:t>
            </w:r>
          </w:p>
        </w:tc>
      </w:tr>
    </w:tbl>
    <w:p w14:paraId="5A23A2C9">
      <w:pPr>
        <w:numPr>
          <w:ilvl w:val="0"/>
          <w:numId w:val="0"/>
        </w:numPr>
        <w:ind w:leftChars="0"/>
        <w:rPr>
          <w:rFonts w:hint="default"/>
          <w:lang w:val="en-US" w:eastAsia="zh-CN"/>
        </w:rPr>
      </w:pPr>
      <w:r>
        <w:rPr>
          <w:rFonts w:hint="eastAsia"/>
          <w:lang w:val="en-US" w:eastAsia="zh-CN"/>
        </w:rPr>
        <w:t>注：</w:t>
      </w:r>
      <w:r>
        <w:rPr>
          <w:rFonts w:hint="eastAsia" w:ascii="等线" w:hAnsi="等线" w:eastAsia="等线" w:cs="等线"/>
          <w:i w:val="0"/>
          <w:iCs w:val="0"/>
          <w:color w:val="000000"/>
          <w:kern w:val="0"/>
          <w:sz w:val="22"/>
          <w:szCs w:val="22"/>
          <w:u w:val="none"/>
          <w:lang w:val="en-US" w:eastAsia="zh-CN" w:bidi="ar"/>
        </w:rPr>
        <w:t>票据综合收益率（估计）=（利息收入+票据转让价差）/票据贴现日均余额</w:t>
      </w:r>
    </w:p>
    <w:p w14:paraId="1AD1F140">
      <w:pPr>
        <w:numPr>
          <w:ilvl w:val="0"/>
          <w:numId w:val="0"/>
        </w:numPr>
        <w:ind w:leftChars="0"/>
        <w:rPr>
          <w:rFonts w:hint="eastAsia"/>
          <w:lang w:val="en-US" w:eastAsia="zh-CN"/>
        </w:rPr>
      </w:pPr>
    </w:p>
    <w:p w14:paraId="6F3122C3">
      <w:pPr>
        <w:numPr>
          <w:ilvl w:val="0"/>
          <w:numId w:val="0"/>
        </w:numPr>
        <w:ind w:leftChars="0"/>
        <w:rPr>
          <w:rFonts w:hint="default"/>
          <w:lang w:val="en-US" w:eastAsia="zh-CN"/>
        </w:rPr>
      </w:pPr>
      <w:r>
        <w:rPr>
          <w:rFonts w:hint="eastAsia"/>
          <w:lang w:val="en-US" w:eastAsia="zh-CN"/>
        </w:rPr>
        <w:t>与同业比，2024年我行票据收益率高于招商、中信、兴业等，票据转让价差也较高。</w:t>
      </w:r>
    </w:p>
    <w:p w14:paraId="3AE7743E">
      <w:pPr>
        <w:numPr>
          <w:ilvl w:val="0"/>
          <w:numId w:val="0"/>
        </w:numPr>
        <w:ind w:leftChars="0"/>
        <w:rPr>
          <w:rFonts w:hint="eastAsia"/>
          <w:lang w:val="en-US" w:eastAsia="zh-CN"/>
        </w:rPr>
      </w:pPr>
      <w:r>
        <w:rPr>
          <w:rFonts w:hint="eastAsia"/>
          <w:b/>
          <w:bCs/>
          <w:lang w:val="en-US" w:eastAsia="zh-CN"/>
        </w:rPr>
        <w:t>表：2024年同业票据业务收益情况（单位：亿元）</w:t>
      </w:r>
    </w:p>
    <w:tbl>
      <w:tblPr>
        <w:tblStyle w:val="2"/>
        <w:tblW w:w="754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52"/>
        <w:gridCol w:w="1410"/>
        <w:gridCol w:w="1410"/>
        <w:gridCol w:w="1410"/>
        <w:gridCol w:w="1132"/>
      </w:tblGrid>
      <w:tr w14:paraId="5F30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1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1CC5D3">
            <w:pPr>
              <w:keepNext w:val="0"/>
              <w:keepLines w:val="0"/>
              <w:widowControl/>
              <w:suppressLineNumbers w:val="0"/>
              <w:jc w:val="left"/>
              <w:textAlignment w:val="center"/>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　</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41648F7B">
            <w:pPr>
              <w:keepNext w:val="0"/>
              <w:keepLines w:val="0"/>
              <w:widowControl/>
              <w:suppressLineNumbers w:val="0"/>
              <w:jc w:val="right"/>
              <w:textAlignment w:val="center"/>
              <w:rPr>
                <w:rFonts w:hint="eastAsia"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招商</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2E0A5D4A">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中信</w:t>
            </w:r>
          </w:p>
        </w:tc>
        <w:tc>
          <w:tcPr>
            <w:tcW w:w="1420" w:type="dxa"/>
            <w:tcBorders>
              <w:top w:val="single" w:color="auto" w:sz="4" w:space="0"/>
              <w:left w:val="nil"/>
              <w:bottom w:val="single" w:color="auto" w:sz="4" w:space="0"/>
              <w:right w:val="single" w:color="auto" w:sz="4" w:space="0"/>
            </w:tcBorders>
            <w:shd w:val="clear" w:color="auto" w:fill="auto"/>
            <w:noWrap/>
            <w:vAlign w:val="center"/>
          </w:tcPr>
          <w:p w14:paraId="103F274C">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兴业</w:t>
            </w:r>
          </w:p>
        </w:tc>
        <w:tc>
          <w:tcPr>
            <w:tcW w:w="1140" w:type="dxa"/>
            <w:tcBorders>
              <w:top w:val="single" w:color="auto" w:sz="4" w:space="0"/>
              <w:left w:val="nil"/>
              <w:bottom w:val="single" w:color="auto" w:sz="4" w:space="0"/>
              <w:right w:val="single" w:color="auto" w:sz="4" w:space="0"/>
            </w:tcBorders>
            <w:shd w:val="clear" w:color="auto" w:fill="auto"/>
            <w:noWrap/>
            <w:vAlign w:val="center"/>
          </w:tcPr>
          <w:p w14:paraId="0F72589B">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平安</w:t>
            </w:r>
          </w:p>
        </w:tc>
      </w:tr>
      <w:tr w14:paraId="3510A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15C3D36D">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票据贴现日均余额</w:t>
            </w:r>
          </w:p>
        </w:tc>
        <w:tc>
          <w:tcPr>
            <w:tcW w:w="0" w:type="auto"/>
            <w:tcBorders>
              <w:top w:val="nil"/>
              <w:left w:val="nil"/>
              <w:bottom w:val="single" w:color="auto" w:sz="4" w:space="0"/>
              <w:right w:val="single" w:color="auto" w:sz="4" w:space="0"/>
            </w:tcBorders>
            <w:shd w:val="clear" w:color="auto" w:fill="auto"/>
            <w:noWrap/>
            <w:vAlign w:val="center"/>
          </w:tcPr>
          <w:p w14:paraId="49035364">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3870</w:t>
            </w:r>
          </w:p>
        </w:tc>
        <w:tc>
          <w:tcPr>
            <w:tcW w:w="0" w:type="auto"/>
            <w:tcBorders>
              <w:top w:val="nil"/>
              <w:left w:val="nil"/>
              <w:bottom w:val="single" w:color="auto" w:sz="4" w:space="0"/>
              <w:right w:val="single" w:color="auto" w:sz="4" w:space="0"/>
            </w:tcBorders>
            <w:shd w:val="clear" w:color="auto" w:fill="auto"/>
            <w:noWrap/>
            <w:vAlign w:val="center"/>
          </w:tcPr>
          <w:p w14:paraId="5A1E232D">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3979</w:t>
            </w:r>
          </w:p>
        </w:tc>
        <w:tc>
          <w:tcPr>
            <w:tcW w:w="0" w:type="auto"/>
            <w:tcBorders>
              <w:top w:val="nil"/>
              <w:left w:val="nil"/>
              <w:bottom w:val="single" w:color="auto" w:sz="4" w:space="0"/>
              <w:right w:val="single" w:color="auto" w:sz="4" w:space="0"/>
            </w:tcBorders>
            <w:shd w:val="clear" w:color="auto" w:fill="auto"/>
            <w:noWrap/>
            <w:vAlign w:val="center"/>
          </w:tcPr>
          <w:p w14:paraId="337D9797">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2959</w:t>
            </w:r>
          </w:p>
        </w:tc>
        <w:tc>
          <w:tcPr>
            <w:tcW w:w="0" w:type="auto"/>
            <w:tcBorders>
              <w:top w:val="nil"/>
              <w:left w:val="nil"/>
              <w:bottom w:val="single" w:color="auto" w:sz="4" w:space="0"/>
              <w:right w:val="single" w:color="auto" w:sz="4" w:space="0"/>
            </w:tcBorders>
            <w:shd w:val="clear" w:color="auto" w:fill="auto"/>
            <w:noWrap/>
            <w:vAlign w:val="center"/>
          </w:tcPr>
          <w:p w14:paraId="31FA867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1,893</w:t>
            </w:r>
          </w:p>
        </w:tc>
      </w:tr>
      <w:tr w14:paraId="5DB7B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44C0CBCB">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利息收入</w:t>
            </w:r>
          </w:p>
        </w:tc>
        <w:tc>
          <w:tcPr>
            <w:tcW w:w="0" w:type="auto"/>
            <w:tcBorders>
              <w:top w:val="nil"/>
              <w:left w:val="nil"/>
              <w:bottom w:val="single" w:color="auto" w:sz="4" w:space="0"/>
              <w:right w:val="single" w:color="auto" w:sz="4" w:space="0"/>
            </w:tcBorders>
            <w:shd w:val="clear" w:color="auto" w:fill="auto"/>
            <w:noWrap/>
            <w:vAlign w:val="center"/>
          </w:tcPr>
          <w:p w14:paraId="2827DDC6">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55.51</w:t>
            </w:r>
          </w:p>
        </w:tc>
        <w:tc>
          <w:tcPr>
            <w:tcW w:w="0" w:type="auto"/>
            <w:tcBorders>
              <w:top w:val="nil"/>
              <w:left w:val="nil"/>
              <w:bottom w:val="single" w:color="auto" w:sz="4" w:space="0"/>
              <w:right w:val="single" w:color="auto" w:sz="4" w:space="0"/>
            </w:tcBorders>
            <w:shd w:val="clear" w:color="auto" w:fill="auto"/>
            <w:noWrap/>
            <w:vAlign w:val="center"/>
          </w:tcPr>
          <w:p w14:paraId="652D945B">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55.16</w:t>
            </w:r>
          </w:p>
        </w:tc>
        <w:tc>
          <w:tcPr>
            <w:tcW w:w="0" w:type="auto"/>
            <w:tcBorders>
              <w:top w:val="nil"/>
              <w:left w:val="nil"/>
              <w:bottom w:val="single" w:color="auto" w:sz="4" w:space="0"/>
              <w:right w:val="single" w:color="auto" w:sz="4" w:space="0"/>
            </w:tcBorders>
            <w:shd w:val="clear" w:color="auto" w:fill="auto"/>
            <w:noWrap/>
            <w:vAlign w:val="center"/>
          </w:tcPr>
          <w:p w14:paraId="665E46A4">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40.04</w:t>
            </w:r>
          </w:p>
        </w:tc>
        <w:tc>
          <w:tcPr>
            <w:tcW w:w="0" w:type="auto"/>
            <w:tcBorders>
              <w:top w:val="nil"/>
              <w:left w:val="nil"/>
              <w:bottom w:val="single" w:color="auto" w:sz="4" w:space="0"/>
              <w:right w:val="single" w:color="auto" w:sz="4" w:space="0"/>
            </w:tcBorders>
            <w:shd w:val="clear" w:color="auto" w:fill="auto"/>
            <w:noWrap/>
            <w:vAlign w:val="center"/>
          </w:tcPr>
          <w:p w14:paraId="5CF7B78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34.28</w:t>
            </w:r>
          </w:p>
        </w:tc>
      </w:tr>
      <w:tr w14:paraId="129A9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043158F5">
            <w:pPr>
              <w:keepNext w:val="0"/>
              <w:keepLines w:val="0"/>
              <w:widowControl/>
              <w:suppressLineNumbers w:val="0"/>
              <w:jc w:val="lef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票据收益率</w:t>
            </w:r>
          </w:p>
        </w:tc>
        <w:tc>
          <w:tcPr>
            <w:tcW w:w="0" w:type="auto"/>
            <w:tcBorders>
              <w:top w:val="nil"/>
              <w:left w:val="nil"/>
              <w:bottom w:val="single" w:color="auto" w:sz="4" w:space="0"/>
              <w:right w:val="single" w:color="auto" w:sz="4" w:space="0"/>
            </w:tcBorders>
            <w:shd w:val="clear" w:color="auto" w:fill="auto"/>
            <w:noWrap/>
            <w:vAlign w:val="center"/>
          </w:tcPr>
          <w:p w14:paraId="52F4119F">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1.43%</w:t>
            </w:r>
          </w:p>
        </w:tc>
        <w:tc>
          <w:tcPr>
            <w:tcW w:w="0" w:type="auto"/>
            <w:tcBorders>
              <w:top w:val="nil"/>
              <w:left w:val="nil"/>
              <w:bottom w:val="single" w:color="auto" w:sz="4" w:space="0"/>
              <w:right w:val="single" w:color="auto" w:sz="4" w:space="0"/>
            </w:tcBorders>
            <w:shd w:val="clear" w:color="auto" w:fill="auto"/>
            <w:noWrap/>
            <w:vAlign w:val="center"/>
          </w:tcPr>
          <w:p w14:paraId="53995A49">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1.39%</w:t>
            </w:r>
          </w:p>
        </w:tc>
        <w:tc>
          <w:tcPr>
            <w:tcW w:w="0" w:type="auto"/>
            <w:tcBorders>
              <w:top w:val="nil"/>
              <w:left w:val="nil"/>
              <w:bottom w:val="single" w:color="auto" w:sz="4" w:space="0"/>
              <w:right w:val="single" w:color="auto" w:sz="4" w:space="0"/>
            </w:tcBorders>
            <w:shd w:val="clear" w:color="auto" w:fill="auto"/>
            <w:noWrap/>
            <w:vAlign w:val="center"/>
          </w:tcPr>
          <w:p w14:paraId="484B7B0C">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1.35%</w:t>
            </w:r>
          </w:p>
        </w:tc>
        <w:tc>
          <w:tcPr>
            <w:tcW w:w="0" w:type="auto"/>
            <w:tcBorders>
              <w:top w:val="nil"/>
              <w:left w:val="nil"/>
              <w:bottom w:val="single" w:color="auto" w:sz="4" w:space="0"/>
              <w:right w:val="single" w:color="auto" w:sz="4" w:space="0"/>
            </w:tcBorders>
            <w:shd w:val="clear" w:color="auto" w:fill="auto"/>
            <w:noWrap/>
            <w:vAlign w:val="center"/>
          </w:tcPr>
          <w:p w14:paraId="2FAF329A">
            <w:pPr>
              <w:keepNext w:val="0"/>
              <w:keepLines w:val="0"/>
              <w:widowControl/>
              <w:suppressLineNumbers w:val="0"/>
              <w:jc w:val="right"/>
              <w:textAlignment w:val="center"/>
              <w:rPr>
                <w:rFonts w:hint="default"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1.81%</w:t>
            </w:r>
          </w:p>
        </w:tc>
      </w:tr>
      <w:tr w14:paraId="5C6CB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36AD175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票据转让价差</w:t>
            </w:r>
          </w:p>
        </w:tc>
        <w:tc>
          <w:tcPr>
            <w:tcW w:w="0" w:type="auto"/>
            <w:tcBorders>
              <w:top w:val="nil"/>
              <w:left w:val="nil"/>
              <w:bottom w:val="single" w:color="auto" w:sz="4" w:space="0"/>
              <w:right w:val="single" w:color="auto" w:sz="4" w:space="0"/>
            </w:tcBorders>
            <w:shd w:val="clear" w:color="auto" w:fill="auto"/>
            <w:noWrap/>
            <w:vAlign w:val="center"/>
          </w:tcPr>
          <w:p w14:paraId="12145BF6">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12.24</w:t>
            </w:r>
          </w:p>
        </w:tc>
        <w:tc>
          <w:tcPr>
            <w:tcW w:w="0" w:type="auto"/>
            <w:tcBorders>
              <w:top w:val="nil"/>
              <w:left w:val="nil"/>
              <w:bottom w:val="single" w:color="auto" w:sz="4" w:space="0"/>
              <w:right w:val="single" w:color="auto" w:sz="4" w:space="0"/>
            </w:tcBorders>
            <w:shd w:val="clear" w:color="auto" w:fill="auto"/>
            <w:noWrap/>
            <w:vAlign w:val="center"/>
          </w:tcPr>
          <w:p w14:paraId="03FDB910">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13.42</w:t>
            </w:r>
          </w:p>
        </w:tc>
        <w:tc>
          <w:tcPr>
            <w:tcW w:w="0" w:type="auto"/>
            <w:tcBorders>
              <w:top w:val="nil"/>
              <w:left w:val="nil"/>
              <w:bottom w:val="single" w:color="auto" w:sz="4" w:space="0"/>
              <w:right w:val="single" w:color="auto" w:sz="4" w:space="0"/>
            </w:tcBorders>
            <w:shd w:val="clear" w:color="auto" w:fill="auto"/>
            <w:noWrap/>
            <w:vAlign w:val="center"/>
          </w:tcPr>
          <w:p w14:paraId="28672CA6">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未披露</w:t>
            </w:r>
          </w:p>
        </w:tc>
        <w:tc>
          <w:tcPr>
            <w:tcW w:w="0" w:type="auto"/>
            <w:tcBorders>
              <w:top w:val="nil"/>
              <w:left w:val="nil"/>
              <w:bottom w:val="single" w:color="auto" w:sz="4" w:space="0"/>
              <w:right w:val="single" w:color="auto" w:sz="4" w:space="0"/>
            </w:tcBorders>
            <w:shd w:val="clear" w:color="auto" w:fill="auto"/>
            <w:noWrap/>
            <w:vAlign w:val="center"/>
          </w:tcPr>
          <w:p w14:paraId="70307E20">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20.52</w:t>
            </w:r>
          </w:p>
        </w:tc>
      </w:tr>
      <w:tr w14:paraId="07FC7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5375EFD5">
            <w:pPr>
              <w:keepNext w:val="0"/>
              <w:keepLines w:val="0"/>
              <w:widowControl/>
              <w:suppressLineNumbers w:val="0"/>
              <w:jc w:val="lef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票据综合收益率（估计）</w:t>
            </w:r>
          </w:p>
        </w:tc>
        <w:tc>
          <w:tcPr>
            <w:tcW w:w="0" w:type="auto"/>
            <w:tcBorders>
              <w:top w:val="nil"/>
              <w:left w:val="nil"/>
              <w:bottom w:val="single" w:color="auto" w:sz="4" w:space="0"/>
              <w:right w:val="single" w:color="auto" w:sz="4" w:space="0"/>
            </w:tcBorders>
            <w:shd w:val="clear" w:color="auto" w:fill="auto"/>
            <w:noWrap/>
            <w:vAlign w:val="center"/>
          </w:tcPr>
          <w:p w14:paraId="52B364E0">
            <w:pPr>
              <w:keepNext w:val="0"/>
              <w:keepLines w:val="0"/>
              <w:widowControl/>
              <w:suppressLineNumbers w:val="0"/>
              <w:jc w:val="right"/>
              <w:textAlignment w:val="center"/>
              <w:rPr>
                <w:rFonts w:hint="default" w:ascii="等线" w:hAnsi="等线" w:eastAsia="等线" w:cs="等线"/>
                <w:b/>
                <w:bCs/>
                <w:i w:val="0"/>
                <w:iCs w:val="0"/>
                <w:color w:val="000000"/>
                <w:sz w:val="22"/>
                <w:szCs w:val="22"/>
                <w:u w:val="none"/>
                <w:lang w:val="en-US" w:eastAsia="zh-CN"/>
              </w:rPr>
            </w:pPr>
            <w:r>
              <w:rPr>
                <w:rFonts w:hint="eastAsia" w:ascii="等线" w:hAnsi="等线" w:eastAsia="等线" w:cs="等线"/>
                <w:b/>
                <w:bCs/>
                <w:i w:val="0"/>
                <w:iCs w:val="0"/>
                <w:color w:val="000000"/>
                <w:sz w:val="22"/>
                <w:szCs w:val="22"/>
                <w:u w:val="none"/>
                <w:lang w:val="en-US" w:eastAsia="zh-CN"/>
              </w:rPr>
              <w:t>1.75%</w:t>
            </w:r>
          </w:p>
        </w:tc>
        <w:tc>
          <w:tcPr>
            <w:tcW w:w="0" w:type="auto"/>
            <w:tcBorders>
              <w:top w:val="nil"/>
              <w:left w:val="nil"/>
              <w:bottom w:val="single" w:color="auto" w:sz="4" w:space="0"/>
              <w:right w:val="single" w:color="auto" w:sz="4" w:space="0"/>
            </w:tcBorders>
            <w:shd w:val="clear" w:color="auto" w:fill="auto"/>
            <w:noWrap/>
            <w:vAlign w:val="center"/>
          </w:tcPr>
          <w:p w14:paraId="72F80820">
            <w:pPr>
              <w:keepNext w:val="0"/>
              <w:keepLines w:val="0"/>
              <w:widowControl/>
              <w:suppressLineNumbers w:val="0"/>
              <w:jc w:val="right"/>
              <w:textAlignment w:val="center"/>
              <w:rPr>
                <w:rFonts w:hint="default" w:ascii="等线" w:hAnsi="等线" w:eastAsia="等线" w:cs="等线"/>
                <w:b/>
                <w:bCs/>
                <w:i w:val="0"/>
                <w:iCs w:val="0"/>
                <w:color w:val="000000"/>
                <w:sz w:val="22"/>
                <w:szCs w:val="22"/>
                <w:u w:val="none"/>
                <w:lang w:val="en-US" w:eastAsia="zh-CN"/>
              </w:rPr>
            </w:pPr>
            <w:r>
              <w:rPr>
                <w:rFonts w:hint="eastAsia" w:ascii="等线" w:hAnsi="等线" w:eastAsia="等线" w:cs="等线"/>
                <w:b/>
                <w:bCs/>
                <w:i w:val="0"/>
                <w:iCs w:val="0"/>
                <w:color w:val="000000"/>
                <w:sz w:val="22"/>
                <w:szCs w:val="22"/>
                <w:u w:val="none"/>
                <w:lang w:val="en-US" w:eastAsia="zh-CN"/>
              </w:rPr>
              <w:t>1.72%</w:t>
            </w:r>
          </w:p>
        </w:tc>
        <w:tc>
          <w:tcPr>
            <w:tcW w:w="0" w:type="auto"/>
            <w:tcBorders>
              <w:top w:val="nil"/>
              <w:left w:val="nil"/>
              <w:bottom w:val="single" w:color="auto" w:sz="4" w:space="0"/>
              <w:right w:val="single" w:color="auto" w:sz="4" w:space="0"/>
            </w:tcBorders>
            <w:shd w:val="clear" w:color="auto" w:fill="auto"/>
            <w:noWrap/>
            <w:vAlign w:val="center"/>
          </w:tcPr>
          <w:p w14:paraId="7A420D00">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lang w:val="en-US" w:eastAsia="zh-CN"/>
              </w:rPr>
            </w:pPr>
            <w:r>
              <w:rPr>
                <w:rFonts w:hint="eastAsia" w:ascii="等线" w:hAnsi="等线" w:eastAsia="等线" w:cs="等线"/>
                <w:b/>
                <w:bCs/>
                <w:i w:val="0"/>
                <w:iCs w:val="0"/>
                <w:color w:val="000000"/>
                <w:sz w:val="22"/>
                <w:szCs w:val="22"/>
                <w:u w:val="none"/>
                <w:lang w:val="en-US" w:eastAsia="zh-CN"/>
              </w:rPr>
              <w:t>-</w:t>
            </w:r>
          </w:p>
        </w:tc>
        <w:tc>
          <w:tcPr>
            <w:tcW w:w="0" w:type="auto"/>
            <w:tcBorders>
              <w:top w:val="nil"/>
              <w:left w:val="nil"/>
              <w:bottom w:val="single" w:color="auto" w:sz="4" w:space="0"/>
              <w:right w:val="single" w:color="auto" w:sz="4" w:space="0"/>
            </w:tcBorders>
            <w:shd w:val="clear" w:color="auto" w:fill="auto"/>
            <w:noWrap/>
            <w:vAlign w:val="center"/>
          </w:tcPr>
          <w:p w14:paraId="6E2A60F7">
            <w:pPr>
              <w:keepNext w:val="0"/>
              <w:keepLines w:val="0"/>
              <w:widowControl/>
              <w:suppressLineNumbers w:val="0"/>
              <w:jc w:val="right"/>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2.90%</w:t>
            </w:r>
          </w:p>
        </w:tc>
      </w:tr>
      <w:tr w14:paraId="2535E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65EC3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企业贷款收益率（不含贴现）</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1EC992">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3.40%</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CE93BA">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4.12%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9060BF2">
            <w:pPr>
              <w:keepNext w:val="0"/>
              <w:keepLines w:val="0"/>
              <w:widowControl/>
              <w:suppressLineNumbers w:val="0"/>
              <w:jc w:val="right"/>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3.96%</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12D3E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3.56%</w:t>
            </w:r>
          </w:p>
        </w:tc>
      </w:tr>
      <w:tr w14:paraId="1573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7797DD7">
            <w:pPr>
              <w:keepNext w:val="0"/>
              <w:keepLines w:val="0"/>
              <w:widowControl/>
              <w:suppressLineNumbers w:val="0"/>
              <w:jc w:val="lef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存款利率</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F673C9">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1.54%</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2AA8620">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1.89%</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0C5ADB">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1.98%</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DFEADF">
            <w:pPr>
              <w:keepNext w:val="0"/>
              <w:keepLines w:val="0"/>
              <w:widowControl/>
              <w:suppressLineNumbers w:val="0"/>
              <w:jc w:val="righ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2.07%</w:t>
            </w:r>
          </w:p>
        </w:tc>
      </w:tr>
      <w:tr w14:paraId="2498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52059F">
            <w:pPr>
              <w:keepNext w:val="0"/>
              <w:keepLines w:val="0"/>
              <w:widowControl/>
              <w:suppressLineNumbers w:val="0"/>
              <w:jc w:val="left"/>
              <w:textAlignment w:val="center"/>
              <w:rPr>
                <w:rFonts w:hint="default" w:ascii="等线" w:hAnsi="等线" w:eastAsia="等线" w:cs="等线"/>
                <w:b w:val="0"/>
                <w:bCs w:val="0"/>
                <w:i w:val="0"/>
                <w:iCs w:val="0"/>
                <w:color w:val="000000"/>
                <w:kern w:val="0"/>
                <w:sz w:val="22"/>
                <w:szCs w:val="22"/>
                <w:u w:val="none"/>
                <w:lang w:val="en-US" w:eastAsia="zh-CN" w:bidi="ar"/>
              </w:rPr>
            </w:pPr>
            <w:r>
              <w:rPr>
                <w:rFonts w:hint="eastAsia" w:ascii="等线" w:hAnsi="等线" w:eastAsia="等线" w:cs="等线"/>
                <w:b w:val="0"/>
                <w:bCs w:val="0"/>
                <w:i w:val="0"/>
                <w:iCs w:val="0"/>
                <w:color w:val="000000"/>
                <w:kern w:val="0"/>
                <w:sz w:val="22"/>
                <w:szCs w:val="22"/>
                <w:u w:val="none"/>
                <w:lang w:val="en-US" w:eastAsia="zh-CN" w:bidi="ar"/>
              </w:rPr>
              <w:t>票据收益率-存款利率</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197ED7">
            <w:pPr>
              <w:keepNext w:val="0"/>
              <w:keepLines w:val="0"/>
              <w:widowControl/>
              <w:suppressLineNumbers w:val="0"/>
              <w:jc w:val="right"/>
              <w:textAlignment w:val="center"/>
              <w:rPr>
                <w:rFonts w:hint="default" w:ascii="等线" w:hAnsi="等线" w:eastAsia="等线" w:cs="等线"/>
                <w:b w:val="0"/>
                <w:bCs w:val="0"/>
                <w:i w:val="0"/>
                <w:iCs w:val="0"/>
                <w:color w:val="000000"/>
                <w:kern w:val="0"/>
                <w:sz w:val="22"/>
                <w:szCs w:val="22"/>
                <w:u w:val="none"/>
                <w:lang w:val="en-US" w:eastAsia="zh-CN" w:bidi="ar"/>
              </w:rPr>
            </w:pPr>
            <w:r>
              <w:rPr>
                <w:rFonts w:hint="eastAsia" w:ascii="等线" w:hAnsi="等线" w:eastAsia="等线" w:cs="等线"/>
                <w:b w:val="0"/>
                <w:bCs w:val="0"/>
                <w:i w:val="0"/>
                <w:iCs w:val="0"/>
                <w:color w:val="000000"/>
                <w:kern w:val="0"/>
                <w:sz w:val="22"/>
                <w:szCs w:val="22"/>
                <w:u w:val="none"/>
                <w:lang w:val="en-US" w:eastAsia="zh-CN" w:bidi="ar"/>
              </w:rPr>
              <w:t>-11bp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6B56D0">
            <w:pPr>
              <w:keepNext w:val="0"/>
              <w:keepLines w:val="0"/>
              <w:widowControl/>
              <w:suppressLineNumbers w:val="0"/>
              <w:jc w:val="right"/>
              <w:textAlignment w:val="center"/>
              <w:rPr>
                <w:rFonts w:hint="default" w:ascii="等线" w:hAnsi="等线" w:eastAsia="等线" w:cs="等线"/>
                <w:b w:val="0"/>
                <w:bCs w:val="0"/>
                <w:i w:val="0"/>
                <w:iCs w:val="0"/>
                <w:color w:val="000000"/>
                <w:kern w:val="0"/>
                <w:sz w:val="22"/>
                <w:szCs w:val="22"/>
                <w:u w:val="none"/>
                <w:lang w:val="en-US" w:eastAsia="zh-CN" w:bidi="ar"/>
              </w:rPr>
            </w:pPr>
            <w:r>
              <w:rPr>
                <w:rFonts w:hint="eastAsia" w:ascii="等线" w:hAnsi="等线" w:eastAsia="等线" w:cs="等线"/>
                <w:b w:val="0"/>
                <w:bCs w:val="0"/>
                <w:i w:val="0"/>
                <w:iCs w:val="0"/>
                <w:color w:val="000000"/>
                <w:kern w:val="0"/>
                <w:sz w:val="22"/>
                <w:szCs w:val="22"/>
                <w:u w:val="none"/>
                <w:lang w:val="en-US" w:eastAsia="zh-CN" w:bidi="ar"/>
              </w:rPr>
              <w:t>-50bp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D56433">
            <w:pPr>
              <w:keepNext w:val="0"/>
              <w:keepLines w:val="0"/>
              <w:widowControl/>
              <w:suppressLineNumbers w:val="0"/>
              <w:jc w:val="right"/>
              <w:textAlignment w:val="center"/>
              <w:rPr>
                <w:rFonts w:hint="default" w:ascii="等线" w:hAnsi="等线" w:eastAsia="等线" w:cs="等线"/>
                <w:b w:val="0"/>
                <w:bCs w:val="0"/>
                <w:i w:val="0"/>
                <w:iCs w:val="0"/>
                <w:color w:val="000000"/>
                <w:kern w:val="0"/>
                <w:sz w:val="22"/>
                <w:szCs w:val="22"/>
                <w:u w:val="none"/>
                <w:lang w:val="en-US" w:eastAsia="zh-CN" w:bidi="ar"/>
              </w:rPr>
            </w:pPr>
            <w:r>
              <w:rPr>
                <w:rFonts w:hint="eastAsia" w:ascii="等线" w:hAnsi="等线" w:eastAsia="等线" w:cs="等线"/>
                <w:b w:val="0"/>
                <w:bCs w:val="0"/>
                <w:i w:val="0"/>
                <w:iCs w:val="0"/>
                <w:color w:val="000000"/>
                <w:kern w:val="0"/>
                <w:sz w:val="22"/>
                <w:szCs w:val="22"/>
                <w:u w:val="none"/>
                <w:lang w:val="en-US" w:eastAsia="zh-CN" w:bidi="ar"/>
              </w:rPr>
              <w:t>-63bp</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19C3F4">
            <w:pPr>
              <w:keepNext w:val="0"/>
              <w:keepLines w:val="0"/>
              <w:widowControl/>
              <w:suppressLineNumbers w:val="0"/>
              <w:jc w:val="right"/>
              <w:textAlignment w:val="center"/>
              <w:rPr>
                <w:rFonts w:hint="default" w:ascii="等线" w:hAnsi="等线" w:eastAsia="等线" w:cs="等线"/>
                <w:b w:val="0"/>
                <w:bCs w:val="0"/>
                <w:i w:val="0"/>
                <w:iCs w:val="0"/>
                <w:color w:val="000000"/>
                <w:kern w:val="0"/>
                <w:sz w:val="22"/>
                <w:szCs w:val="22"/>
                <w:u w:val="none"/>
                <w:lang w:val="en-US" w:eastAsia="zh-CN" w:bidi="ar"/>
              </w:rPr>
            </w:pPr>
            <w:r>
              <w:rPr>
                <w:rFonts w:hint="eastAsia" w:ascii="等线" w:hAnsi="等线" w:eastAsia="等线" w:cs="等线"/>
                <w:b w:val="0"/>
                <w:bCs w:val="0"/>
                <w:i w:val="0"/>
                <w:iCs w:val="0"/>
                <w:color w:val="000000"/>
                <w:kern w:val="0"/>
                <w:sz w:val="22"/>
                <w:szCs w:val="22"/>
                <w:u w:val="none"/>
                <w:lang w:val="en-US" w:eastAsia="zh-CN" w:bidi="ar"/>
              </w:rPr>
              <w:t>-26bp</w:t>
            </w:r>
          </w:p>
        </w:tc>
      </w:tr>
    </w:tbl>
    <w:p w14:paraId="19EC6034">
      <w:pPr>
        <w:numPr>
          <w:ilvl w:val="0"/>
          <w:numId w:val="0"/>
        </w:numPr>
        <w:ind w:leftChars="0"/>
        <w:rPr>
          <w:rFonts w:hint="eastAsia"/>
          <w:lang w:val="en-US" w:eastAsia="zh-CN"/>
        </w:rPr>
      </w:pPr>
    </w:p>
    <w:p w14:paraId="2E2953EB">
      <w:pPr>
        <w:numPr>
          <w:ilvl w:val="0"/>
          <w:numId w:val="0"/>
        </w:numPr>
        <w:ind w:leftChars="0"/>
        <w:rPr>
          <w:rFonts w:hint="default"/>
          <w:b/>
          <w:bCs/>
          <w:lang w:val="en-US" w:eastAsia="zh-CN"/>
        </w:rPr>
      </w:pPr>
    </w:p>
    <w:p w14:paraId="1363CDAE">
      <w:pPr>
        <w:numPr>
          <w:ilvl w:val="0"/>
          <w:numId w:val="0"/>
        </w:numPr>
        <w:ind w:leftChars="0"/>
        <w:rPr>
          <w:rFonts w:hint="default"/>
          <w:b/>
          <w:bCs/>
          <w:lang w:val="en-US" w:eastAsia="zh-CN"/>
        </w:rPr>
      </w:pPr>
    </w:p>
    <w:p w14:paraId="184731BD">
      <w:pPr>
        <w:numPr>
          <w:ilvl w:val="0"/>
          <w:numId w:val="0"/>
        </w:numPr>
        <w:ind w:leftChars="0"/>
        <w:rPr>
          <w:rFonts w:hint="eastAsia"/>
          <w:lang w:val="en-US" w:eastAsia="zh-CN"/>
        </w:rPr>
      </w:pPr>
      <w:r>
        <w:rPr>
          <w:rFonts w:hint="default"/>
          <w:b/>
          <w:bCs/>
          <w:lang w:val="en-US" w:eastAsia="zh-CN"/>
        </w:rPr>
        <w:t>银行票据贴现收益率差异的核心因素是配置票据的类型，相比于配置国股银行银票的银行，配置商票、中小银行银票占比高的银行收益率更高</w:t>
      </w:r>
      <w:r>
        <w:rPr>
          <w:rFonts w:hint="eastAsia"/>
          <w:lang w:val="en-US" w:eastAsia="zh-CN"/>
        </w:rPr>
        <w:t>。同时，银行票据贴现收益率的高低也取决于不同银行的经营策略、配置票据的时点等，如，同等条件下，票据直贴业务的收益率一般高于从转贴市场买入票据的收益率。</w:t>
      </w:r>
    </w:p>
    <w:p w14:paraId="2EF2D976">
      <w:pPr>
        <w:numPr>
          <w:ilvl w:val="0"/>
          <w:numId w:val="2"/>
        </w:numPr>
        <w:ind w:leftChars="0"/>
        <w:rPr>
          <w:rFonts w:hint="eastAsia"/>
          <w:lang w:val="en-US" w:eastAsia="zh-CN"/>
        </w:rPr>
      </w:pPr>
      <w:r>
        <w:rPr>
          <w:rFonts w:hint="eastAsia"/>
          <w:lang w:val="en-US" w:eastAsia="zh-CN"/>
        </w:rPr>
        <w:t>从买断式转贴现占票据贴现余额比例看，招商比例较低外，其他对标行普遍在20%以上。</w:t>
      </w:r>
      <w:r>
        <w:rPr>
          <w:rFonts w:hint="eastAsia"/>
          <w:b/>
          <w:bCs/>
          <w:lang w:val="en-US" w:eastAsia="zh-CN"/>
        </w:rPr>
        <w:t>2025年3月末，对标行买断式转贴现占比普遍较年初有所上升，其中我行买断式转贴现占比62%，较年初上升34个百分点；同时，一季度，招商直贴余额上升外，平安、中信、兴业的直贴余额均大幅减少。由于直贴类似短期流贷，整体看，票据收益率下滑，受到信贷需求疲软不足、竞争激烈影响。</w:t>
      </w:r>
    </w:p>
    <w:p w14:paraId="41B2C699">
      <w:pPr>
        <w:numPr>
          <w:ilvl w:val="0"/>
          <w:numId w:val="0"/>
        </w:numPr>
        <w:rPr>
          <w:rFonts w:hint="eastAsia"/>
          <w:lang w:val="en-US" w:eastAsia="zh-CN"/>
        </w:rPr>
      </w:pPr>
      <w:r>
        <w:drawing>
          <wp:inline distT="0" distB="0" distL="114300" distR="114300">
            <wp:extent cx="5274310" cy="1457960"/>
            <wp:effectExtent l="0" t="0" r="254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74310" cy="1457960"/>
                    </a:xfrm>
                    <a:prstGeom prst="rect">
                      <a:avLst/>
                    </a:prstGeom>
                    <a:noFill/>
                    <a:ln>
                      <a:noFill/>
                    </a:ln>
                  </pic:spPr>
                </pic:pic>
              </a:graphicData>
            </a:graphic>
          </wp:inline>
        </w:drawing>
      </w:r>
    </w:p>
    <w:p w14:paraId="52217E46">
      <w:pPr>
        <w:numPr>
          <w:ilvl w:val="0"/>
          <w:numId w:val="0"/>
        </w:numPr>
        <w:ind w:leftChars="0"/>
        <w:rPr>
          <w:rFonts w:hint="eastAsia"/>
          <w:lang w:val="en-US" w:eastAsia="zh-CN"/>
        </w:rPr>
      </w:pPr>
      <w:r>
        <w:rPr>
          <w:rFonts w:hint="eastAsia"/>
          <w:lang w:val="en-US" w:eastAsia="zh-CN"/>
        </w:rPr>
        <w:t>注：1、票据贴现余额为披露口径；2、买断式转贴现为监管共享口径，取自G101；3、直贴为估计值，直贴=票据贴现-买断式转贴现。</w:t>
      </w:r>
    </w:p>
    <w:p w14:paraId="65194E96">
      <w:pPr>
        <w:numPr>
          <w:ilvl w:val="0"/>
          <w:numId w:val="0"/>
        </w:numPr>
        <w:ind w:leftChars="0"/>
        <w:rPr>
          <w:rFonts w:hint="eastAsia"/>
          <w:lang w:val="en-US" w:eastAsia="zh-CN"/>
        </w:rPr>
      </w:pPr>
      <w:r>
        <w:rPr>
          <w:rFonts w:hint="eastAsia"/>
          <w:lang w:val="en-US" w:eastAsia="zh-CN"/>
        </w:rPr>
        <w:drawing>
          <wp:inline distT="0" distB="0" distL="114300" distR="114300">
            <wp:extent cx="4150995" cy="8843010"/>
            <wp:effectExtent l="0" t="0" r="1905" b="15240"/>
            <wp:docPr id="6" name="图片 6" descr="b69519145fefb222ad0d8e9ed899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69519145fefb222ad0d8e9ed899b00"/>
                    <pic:cNvPicPr>
                      <a:picLocks noChangeAspect="1"/>
                    </pic:cNvPicPr>
                  </pic:nvPicPr>
                  <pic:blipFill>
                    <a:blip r:embed="rId8"/>
                    <a:stretch>
                      <a:fillRect/>
                    </a:stretch>
                  </pic:blipFill>
                  <pic:spPr>
                    <a:xfrm>
                      <a:off x="0" y="0"/>
                      <a:ext cx="4150995" cy="8843010"/>
                    </a:xfrm>
                    <a:prstGeom prst="rect">
                      <a:avLst/>
                    </a:prstGeom>
                  </pic:spPr>
                </pic:pic>
              </a:graphicData>
            </a:graphic>
          </wp:inline>
        </w:drawing>
      </w:r>
    </w:p>
    <w:p w14:paraId="3FEEFBDB">
      <w:pPr>
        <w:numPr>
          <w:ilvl w:val="0"/>
          <w:numId w:val="2"/>
        </w:numPr>
        <w:ind w:left="0" w:leftChars="0" w:firstLine="0" w:firstLineChars="0"/>
        <w:rPr>
          <w:rFonts w:hint="default"/>
          <w:lang w:eastAsia="zh-CN"/>
        </w:rPr>
      </w:pPr>
      <w:r>
        <w:rPr>
          <w:rFonts w:hint="eastAsia"/>
          <w:lang w:val="en-US" w:eastAsia="zh-CN"/>
        </w:rPr>
        <w:t>对于买断式转贴现，其底层企业规模划分看，我行呈橄榄球型，中型企业占比93%，大、小、微型企业占比分别为3.8%、2.8%、0.4%，兴业的底层企业规模结构与我行较相似。华夏、光大、招商、民生主要集中在大型企业；中信、浦发分布相对较平均。但企业规模不是决定企业信用水平的核心因素，无法准确推测各家行底层客群信用资质差异。此外，票据收益率更多取决于</w:t>
      </w:r>
      <w:r>
        <w:rPr>
          <w:rFonts w:hint="default"/>
          <w:lang w:eastAsia="zh-CN"/>
        </w:rPr>
        <w:t>承兑</w:t>
      </w:r>
      <w:r>
        <w:rPr>
          <w:rFonts w:hint="eastAsia"/>
          <w:lang w:val="en-US" w:eastAsia="zh-CN"/>
        </w:rPr>
        <w:t>行</w:t>
      </w:r>
      <w:r>
        <w:rPr>
          <w:rFonts w:hint="default"/>
          <w:lang w:eastAsia="zh-CN"/>
        </w:rPr>
        <w:t>等。</w:t>
      </w:r>
    </w:p>
    <w:p w14:paraId="43A5F286">
      <w:pPr>
        <w:numPr>
          <w:ilvl w:val="0"/>
          <w:numId w:val="2"/>
        </w:numPr>
        <w:ind w:left="0" w:leftChars="0" w:firstLine="0" w:firstLineChars="0"/>
        <w:rPr>
          <w:rFonts w:hint="default"/>
          <w:highlight w:val="yellow"/>
          <w:lang w:eastAsia="zh-CN"/>
        </w:rPr>
      </w:pPr>
      <w:r>
        <w:rPr>
          <w:rFonts w:hint="default"/>
          <w:highlight w:val="yellow"/>
          <w:lang w:eastAsia="zh-CN"/>
        </w:rPr>
        <w:t xml:space="preserve"> 季度规模变化看，</w:t>
      </w:r>
    </w:p>
    <w:p w14:paraId="1475122E">
      <w:pPr>
        <w:numPr>
          <w:ilvl w:val="0"/>
          <w:numId w:val="0"/>
        </w:numPr>
        <w:ind w:leftChars="0"/>
      </w:pPr>
    </w:p>
    <w:p w14:paraId="20DFF510">
      <w:pPr>
        <w:numPr>
          <w:ilvl w:val="0"/>
          <w:numId w:val="0"/>
        </w:numPr>
        <w:ind w:leftChars="0"/>
        <w:rPr>
          <w:rFonts w:hint="eastAsia"/>
          <w:lang w:val="en-US" w:eastAsia="zh-CN"/>
        </w:rPr>
      </w:pPr>
    </w:p>
    <w:p w14:paraId="0225A9BA">
      <w:pPr>
        <w:numPr>
          <w:ilvl w:val="0"/>
          <w:numId w:val="0"/>
        </w:numPr>
        <w:ind w:leftChars="0"/>
        <w:rPr>
          <w:rFonts w:hint="eastAsia"/>
          <w:lang w:val="en-US" w:eastAsia="zh-CN"/>
        </w:rPr>
      </w:pPr>
    </w:p>
    <w:p w14:paraId="0B5D0E96">
      <w:pPr>
        <w:numPr>
          <w:ilvl w:val="0"/>
          <w:numId w:val="1"/>
        </w:numPr>
        <w:rPr>
          <w:rFonts w:hint="default"/>
          <w:lang w:val="en-US" w:eastAsia="zh-CN"/>
        </w:rPr>
      </w:pPr>
      <w:r>
        <w:rPr>
          <w:rFonts w:hint="eastAsia"/>
          <w:lang w:val="en-US" w:eastAsia="zh-CN"/>
        </w:rPr>
        <w:t>票据市场发展研判</w:t>
      </w:r>
    </w:p>
    <w:p w14:paraId="7CDA1336">
      <w:pPr>
        <w:numPr>
          <w:ilvl w:val="1"/>
          <w:numId w:val="1"/>
        </w:numPr>
        <w:ind w:left="0" w:leftChars="0" w:firstLine="0" w:firstLineChars="0"/>
        <w:rPr>
          <w:rFonts w:hint="default"/>
          <w:lang w:val="en-US" w:eastAsia="zh-CN"/>
        </w:rPr>
      </w:pPr>
      <w:r>
        <w:rPr>
          <w:rFonts w:hint="eastAsia"/>
          <w:lang w:val="en-US" w:eastAsia="zh-CN"/>
        </w:rPr>
        <w:t>票据市场历史发展</w:t>
      </w:r>
    </w:p>
    <w:p w14:paraId="69D156C4">
      <w:pPr>
        <w:numPr>
          <w:ilvl w:val="2"/>
          <w:numId w:val="1"/>
        </w:numPr>
        <w:ind w:left="0" w:leftChars="0" w:firstLine="0" w:firstLineChars="0"/>
        <w:rPr>
          <w:rFonts w:hint="default"/>
          <w:lang w:val="en-US" w:eastAsia="zh-CN"/>
        </w:rPr>
      </w:pPr>
      <w:r>
        <w:rPr>
          <w:rFonts w:hint="eastAsia"/>
          <w:b/>
          <w:bCs/>
          <w:lang w:val="en-US" w:eastAsia="zh-CN"/>
        </w:rPr>
        <w:t>规模：2016年上海票据交易所成立以来，票据市场规模快速增长，票据电子化进程加速。</w:t>
      </w:r>
      <w:r>
        <w:rPr>
          <w:rFonts w:hint="eastAsia"/>
          <w:lang w:val="en-US" w:eastAsia="zh-CN"/>
        </w:rPr>
        <w:t>我国票据市场以商业汇票为主导，其中银行承兑汇票占主体地位。2016年上海票据交易所成立以来，票据市场规模快速增长，电子化票据占比从约30%提升至99%以上，形成全国统一、安全高效的现代票据市场。</w:t>
      </w:r>
    </w:p>
    <w:p w14:paraId="2518EE6E">
      <w:pPr>
        <w:numPr>
          <w:ilvl w:val="0"/>
          <w:numId w:val="0"/>
        </w:numPr>
        <w:ind w:leftChars="0"/>
        <w:rPr>
          <w:rFonts w:hint="default"/>
          <w:lang w:val="en-US" w:eastAsia="zh-CN"/>
        </w:rPr>
      </w:pPr>
      <w:r>
        <w:rPr>
          <w:rFonts w:hint="eastAsia"/>
          <w:lang w:val="en-US" w:eastAsia="zh-CN"/>
        </w:rPr>
        <w:t>图：近年票据市场规模（单位：万亿元）</w:t>
      </w:r>
    </w:p>
    <w:p w14:paraId="13577DDE">
      <w:pPr>
        <w:numPr>
          <w:ilvl w:val="0"/>
          <w:numId w:val="0"/>
        </w:numPr>
        <w:ind w:leftChars="0"/>
        <w:rPr>
          <w:rFonts w:hint="eastAsia"/>
          <w:lang w:val="en-US" w:eastAsia="zh-CN"/>
        </w:rPr>
      </w:pPr>
      <w:r>
        <w:drawing>
          <wp:inline distT="0" distB="0" distL="114300" distR="114300">
            <wp:extent cx="5269230" cy="2854960"/>
            <wp:effectExtent l="0" t="0" r="7620" b="254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69230" cy="2854960"/>
                    </a:xfrm>
                    <a:prstGeom prst="rect">
                      <a:avLst/>
                    </a:prstGeom>
                    <a:noFill/>
                    <a:ln>
                      <a:noFill/>
                    </a:ln>
                  </pic:spPr>
                </pic:pic>
              </a:graphicData>
            </a:graphic>
          </wp:inline>
        </w:drawing>
      </w:r>
    </w:p>
    <w:p w14:paraId="0FC241B1">
      <w:pPr>
        <w:numPr>
          <w:ilvl w:val="0"/>
          <w:numId w:val="0"/>
        </w:numPr>
        <w:ind w:leftChars="0"/>
        <w:rPr>
          <w:rFonts w:hint="default"/>
          <w:lang w:val="en-US" w:eastAsia="zh-CN"/>
        </w:rPr>
      </w:pPr>
    </w:p>
    <w:p w14:paraId="74D57500">
      <w:pPr>
        <w:numPr>
          <w:ilvl w:val="0"/>
          <w:numId w:val="0"/>
        </w:numPr>
        <w:ind w:leftChars="0"/>
        <w:rPr>
          <w:rFonts w:hint="default"/>
          <w:lang w:eastAsia="zh-CN"/>
        </w:rPr>
      </w:pPr>
      <w:r>
        <w:rPr>
          <w:rFonts w:hint="eastAsia"/>
          <w:lang w:val="en-US" w:eastAsia="zh-CN"/>
        </w:rPr>
        <w:t>其中，</w:t>
      </w:r>
      <w:r>
        <w:rPr>
          <w:rFonts w:hint="eastAsia"/>
          <w:b/>
          <w:bCs/>
          <w:lang w:val="en-US" w:eastAsia="zh-CN"/>
        </w:rPr>
        <w:t>2020年出现增长停滞，主要受包商银行事件影响</w:t>
      </w:r>
      <w:r>
        <w:rPr>
          <w:rFonts w:hint="eastAsia"/>
          <w:lang w:val="en-US" w:eastAsia="zh-CN"/>
        </w:rPr>
        <w:t>，市场对中小银行信用风险的系统性担忧，中小银行融资能力受挫，同业存单发行成功率大幅下降，</w:t>
      </w:r>
      <w:r>
        <w:rPr>
          <w:rFonts w:hint="eastAsia"/>
          <w:b/>
          <w:bCs/>
          <w:lang w:val="en-US" w:eastAsia="zh-CN"/>
        </w:rPr>
        <w:t>流动性紧张导致中小银行减少票据承兑</w:t>
      </w:r>
      <w:r>
        <w:rPr>
          <w:rFonts w:hint="eastAsia"/>
          <w:lang w:val="en-US" w:eastAsia="zh-CN"/>
        </w:rPr>
        <w:t>；同时，</w:t>
      </w:r>
      <w:r>
        <w:rPr>
          <w:rFonts w:hint="eastAsia"/>
          <w:b/>
          <w:bCs/>
          <w:lang w:val="en-US" w:eastAsia="zh-CN"/>
        </w:rPr>
        <w:t>实体企业</w:t>
      </w:r>
      <w:r>
        <w:rPr>
          <w:rFonts w:hint="eastAsia"/>
          <w:lang w:val="en-US" w:eastAsia="zh-CN"/>
        </w:rPr>
        <w:t>因担忧票据兑付风险，</w:t>
      </w:r>
      <w:r>
        <w:rPr>
          <w:rFonts w:hint="eastAsia"/>
          <w:b/>
          <w:bCs/>
          <w:lang w:val="en-US" w:eastAsia="zh-CN"/>
        </w:rPr>
        <w:t>减少接受中小银行承兑汇票作为支付工具</w:t>
      </w:r>
      <w:r>
        <w:rPr>
          <w:rFonts w:hint="eastAsia"/>
          <w:lang w:val="en-US" w:eastAsia="zh-CN"/>
        </w:rPr>
        <w:t>，直接拖累承兑规模；票交所暂停包商银行票据的线上追索功能，迫使市场参与者重新评估追索风险，</w:t>
      </w:r>
      <w:r>
        <w:rPr>
          <w:rFonts w:hint="eastAsia"/>
          <w:b/>
          <w:bCs/>
          <w:lang w:val="en-US" w:eastAsia="zh-CN"/>
        </w:rPr>
        <w:t>贴现行</w:t>
      </w:r>
      <w:r>
        <w:rPr>
          <w:rFonts w:hint="eastAsia"/>
          <w:lang w:val="en-US" w:eastAsia="zh-CN"/>
        </w:rPr>
        <w:t>需承担“兜底”责任，导致其</w:t>
      </w:r>
      <w:r>
        <w:rPr>
          <w:rFonts w:hint="eastAsia"/>
          <w:b/>
          <w:bCs/>
          <w:lang w:val="en-US" w:eastAsia="zh-CN"/>
        </w:rPr>
        <w:t>风险偏好下降，主动压缩票据业务规模</w:t>
      </w:r>
      <w:r>
        <w:rPr>
          <w:rFonts w:hint="eastAsia"/>
          <w:lang w:val="en-US" w:eastAsia="zh-CN"/>
        </w:rPr>
        <w:t>。2020年包商银行因为出现严重信用风险被央行正式确认进入破产程序，是继1998年海南发展银行之后的第二起银行破产事件。当年，出现涉承兑人为原包商银行的票据纠纷，原包商银行按照相关规定仅兑付了票面金额的80%，</w:t>
      </w:r>
      <w:r>
        <w:rPr>
          <w:rFonts w:hint="default"/>
          <w:lang w:eastAsia="zh-CN"/>
        </w:rPr>
        <w:t>法院未支持向其他经手银行的追索权（如温州市鹿城区人民</w:t>
      </w:r>
      <w:r>
        <w:rPr>
          <w:rFonts w:hint="eastAsia"/>
          <w:lang w:val="en-US" w:eastAsia="zh-CN"/>
        </w:rPr>
        <w:t>法院</w:t>
      </w:r>
      <w:r>
        <w:rPr>
          <w:rFonts w:hint="default"/>
          <w:lang w:eastAsia="zh-CN"/>
        </w:rPr>
        <w:t>表示，</w:t>
      </w:r>
      <w:r>
        <w:rPr>
          <w:rFonts w:hint="eastAsia"/>
          <w:lang w:val="en-US" w:eastAsia="zh-CN"/>
        </w:rPr>
        <w:t>法院明确表示，原包商银行包头分行依央行和银保监会的监管规定，按每张汇票金额的80%</w:t>
      </w:r>
      <w:r>
        <w:rPr>
          <w:rFonts w:hint="default"/>
          <w:lang w:eastAsia="zh-CN"/>
        </w:rPr>
        <w:t>支付</w:t>
      </w:r>
      <w:r>
        <w:rPr>
          <w:rFonts w:hint="eastAsia"/>
          <w:lang w:val="en-US" w:eastAsia="zh-CN"/>
        </w:rPr>
        <w:t>，已充分证实其已行使了付款请求权，该行承兑部分汇票金额的行为并不构成《票据法》上所规定的拒绝付款，故</w:t>
      </w:r>
      <w:r>
        <w:rPr>
          <w:rFonts w:hint="eastAsia"/>
          <w:highlight w:val="yellow"/>
          <w:lang w:val="en-US" w:eastAsia="zh-CN"/>
        </w:rPr>
        <w:t>持票方不能以承兑人未全额承兑再向其前手行使追索权</w:t>
      </w:r>
      <w:r>
        <w:rPr>
          <w:rFonts w:hint="default"/>
          <w:lang w:eastAsia="zh-CN"/>
        </w:rPr>
        <w:t>）。</w:t>
      </w:r>
      <w:bookmarkStart w:id="0" w:name="_GoBack"/>
      <w:bookmarkEnd w:id="0"/>
    </w:p>
    <w:p w14:paraId="09DB5324">
      <w:pPr>
        <w:numPr>
          <w:ilvl w:val="0"/>
          <w:numId w:val="0"/>
        </w:numPr>
        <w:ind w:leftChars="0"/>
        <w:rPr>
          <w:rFonts w:hint="default"/>
          <w:lang w:val="en-US" w:eastAsia="zh-CN"/>
        </w:rPr>
      </w:pPr>
    </w:p>
    <w:p w14:paraId="4B21E1EC">
      <w:pPr>
        <w:numPr>
          <w:ilvl w:val="3"/>
          <w:numId w:val="1"/>
        </w:numPr>
        <w:ind w:left="0" w:leftChars="0" w:firstLine="0" w:firstLineChars="0"/>
        <w:rPr>
          <w:rFonts w:hint="default"/>
          <w:lang w:val="en-US" w:eastAsia="zh-CN"/>
        </w:rPr>
      </w:pPr>
      <w:r>
        <w:rPr>
          <w:rFonts w:hint="eastAsia"/>
          <w:lang w:val="en-US" w:eastAsia="zh-CN"/>
        </w:rPr>
        <w:t>2025年：信贷疲软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E3911"/>
    <w:multiLevelType w:val="singleLevel"/>
    <w:tmpl w:val="EE8E3911"/>
    <w:lvl w:ilvl="0" w:tentative="0">
      <w:start w:val="1"/>
      <w:numFmt w:val="decimal"/>
      <w:suff w:val="nothing"/>
      <w:lvlText w:val="（%1）"/>
      <w:lvlJc w:val="left"/>
    </w:lvl>
  </w:abstractNum>
  <w:abstractNum w:abstractNumId="1">
    <w:nsid w:val="6D9135FF"/>
    <w:multiLevelType w:val="multilevel"/>
    <w:tmpl w:val="6D9135FF"/>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E155CC"/>
    <w:rsid w:val="041665C8"/>
    <w:rsid w:val="10F77E30"/>
    <w:rsid w:val="19651B2C"/>
    <w:rsid w:val="1D9D0817"/>
    <w:rsid w:val="36626903"/>
    <w:rsid w:val="3E711B4E"/>
    <w:rsid w:val="57E155CC"/>
    <w:rsid w:val="58E60D60"/>
    <w:rsid w:val="6887093E"/>
    <w:rsid w:val="6B0B3207"/>
    <w:rsid w:val="7E633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2007</Words>
  <Characters>2533</Characters>
  <Lines>0</Lines>
  <Paragraphs>0</Paragraphs>
  <TotalTime>9171</TotalTime>
  <ScaleCrop>false</ScaleCrop>
  <LinksUpToDate>false</LinksUpToDate>
  <CharactersWithSpaces>2536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2025-06-10T08:18:00Z</dcterms:created>
  <dc:creator>assur</dc:creator>
  <cp:lastModifiedBy>汪智慧</cp:lastModifiedBy>
  <dcterms:modified xsi:type="dcterms:W3CDTF">2025-06-29T15:11:38Z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A54F31009DA54C3692B94BEAC7D87FCB_11</vt:lpwstr>
  </property>
  <property fmtid="{D5CDD505-2E9C-101B-9397-08002B2CF9AE}" pid="4" name="KSOTemplateDocerSaveRecord">
    <vt:lpwstr>eyJoZGlkIjoiMzFjYTE2N2M1ZGZkMDYwNjI1ZjgzZDI1MTljNzk2YmMiLCJ1c2VySWQiOiI3NjExNjkyNDMifQ==</vt:lpwstr>
  </property>
</Properties>
</file>