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40"/>
      </w:pPr>
      <w:r>
        <w:rPr>
          <w:rFonts w:ascii="Arial" w:hAnsi="Arial" w:eastAsia="Arial Unicode MS" w:cs="Arial"/>
          <w:b/>
          <w:color w:val="2E74B5"/>
          <w:sz w:val="22"/>
        </w:rPr>
        <w:t>RESEARCH CONTRACT / TECTO-FIRST / v1.2 / DECISION REDLINE</w:t>
      </w:r>
    </w:p>
    <w:p>
      <w:pPr>
        <w:spacing w:after="120"/>
      </w:pPr>
      <w:r>
        <w:rPr>
          <w:rFonts w:ascii="Arial" w:hAnsi="Arial" w:eastAsia="Arial Unicode MS" w:cs="Arial"/>
          <w:b/>
          <w:color w:val="2E74B5"/>
          <w:sz w:val="60"/>
        </w:rPr>
        <w:t>RNA 两向连接区预组织</w:t>
      </w:r>
    </w:p>
    <w:p>
      <w:pPr>
        <w:spacing w:after="360"/>
      </w:pPr>
      <w:r>
        <w:rPr>
          <w:rFonts w:ascii="Arial" w:hAnsi="Arial" w:eastAsia="Arial Unicode MS" w:cs="Arial"/>
          <w:b/>
          <w:color w:val="1F4D78"/>
          <w:sz w:val="44"/>
        </w:rPr>
        <w:t>tectoRNA-first 稳健部分辨识研究合同</w:t>
      </w:r>
    </w:p>
    <w:p>
      <w:pPr>
        <w:pStyle w:val="ContractSubtitle"/>
      </w:pPr>
      <w:r>
        <w:rPr>
          <w:rFonts w:ascii="Arial" w:hAnsi="Arial" w:eastAsia="Arial Unicode MS" w:cs="Arial"/>
          <w:i/>
          <w:color w:val="667085"/>
          <w:sz w:val="25"/>
        </w:rPr>
        <w:t>Target-Specific Thermodynamic Functional, Operator-Robust Identification, and a Locked qMaPseq Transfer Test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888"/>
        <w:gridCol w:w="5760"/>
      </w:tblGrid>
      <w:tr>
        <w:trPr>
          <w:tblHeader w:val="true"/>
          <w:cantSplit/>
        </w:trPr>
        <w:tc>
          <w:tcPr>
            <w:tcW w:type="dxa" w:w="38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规范状态键</w:t>
            </w:r>
          </w:p>
        </w:tc>
        <w:tc>
          <w:tcPr>
            <w:tcW w:type="dxa" w:w="57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冻结值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CONTRACT_VERSION / DATE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v1.2 / 2026-08-03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CURRENT_OPERATIONAL_STATE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BLOCKED_AT_TECTO_DATA_ADMISSION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CURRENT_SCIENTIFIC_DISPOSITION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CONDITIONAL_CANDIDATE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CURRENT_DMS_CROSSWALK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ASSUMED_PERMANENTLY_UNAVAILABLE_V1_2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CURRENT_DMS_PRIMARY_LABELS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NOT_ADMITTED_FINAL_V1_2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CURRENT_DMS_REPLAY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ENGINEERING_EVIDENCE_ONLY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CURRENT_DMS_JOINT_TRANSPORT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CLOSED_NOT_AUTHORIZED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QMAPSEQ_ROLE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MANDATORY_COMPLETION_GATE_FOR_STRONG_MANUSCRIPT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SCIENTIFIC_UNLOCK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NO_UNLOCK</w:t>
            </w:r>
          </w:p>
        </w:tc>
      </w:tr>
    </w:tbl>
    <w:p>
      <w:pPr>
        <w:spacing w:after="40"/>
      </w:pP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648"/>
      </w:tblGrid>
      <w:tr>
        <w:tc>
          <w:tcPr>
            <w:tcW w:type="dxa" w:w="9648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9B1C1C"/>
                <w:sz w:val="19"/>
              </w:rPr>
              <w:t>SCIENTIFIC_UNLOCK = NO_UNLOCK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当前阻塞点只属于 tectoRNA 数据准入。关闭的 current-DMS 分支不再阻塞 T0–T3；qMaPseq 决定强跨系统论文主张是否开放，但不是 tecto 主线的 unlock gate。</w:t>
            </w:r>
          </w:p>
        </w:tc>
      </w:tr>
    </w:tbl>
    <w:p>
      <w:pPr>
        <w:spacing w:after="20"/>
      </w:pP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v1.2 中“永久不可得”仅指当前 DMS crosswalk 在本合同版本内被永久视为不可得。未来若意外获得权威 crosswalk，必须建立新合同版本和 parent-linked 新 run；不得回填旧 manifest、改写历史失败或把旧证据追认为 PASS。</w:t>
      </w:r>
    </w:p>
    <w:p>
      <w:pPr>
        <w:keepNext w:val="0"/>
        <w:spacing w:after="0"/>
      </w:pPr>
      <w:r>
        <w:rPr>
          <w:rFonts w:ascii="Arial" w:hAnsi="Arial" w:eastAsia="Arial Unicode MS" w:cs="Arial"/>
          <w:i/>
          <w:color w:val="667085"/>
          <w:sz w:val="17"/>
        </w:rPr>
        <w:t>本次授权仅限本地 clean/redline/decision log；不修改远端、不提交、不 push。</w:t>
      </w:r>
    </w:p>
    <w:p>
      <w:pPr>
        <w:pStyle w:val="Heading1"/>
      </w:pPr>
      <w:r>
        <w:rPr>
          <w:rFonts w:ascii="Arial" w:hAnsi="Arial" w:eastAsia="Arial Unicode MS" w:cs="Arial"/>
          <w:b/>
          <w:color w:val="9B1C1C"/>
          <w:sz w:val="20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32"/>
        </w:rPr>
        <w:t>修订对照说明（decision-level redline）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648"/>
      </w:tblGrid>
      <w:tr>
        <w:tc>
          <w:tcPr>
            <w:tcW w:type="dxa" w:w="9648"/>
            <w:shd w:fill="EEF5FB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2E74B5"/>
                <w:sz w:val="19"/>
              </w:rPr>
              <w:t>如何阅读本修订版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这是完整 v1.2 合同的“决策级 redline / 修订说明版”。它保留全文，并用 [新增]、[改写]、[关闭]、[迁移] 标记条款性质；开头逐项给出 v1.1 旧权威与 v1.2 新权威。由于本次属于体系级重写，若把整份文档做成逐字 Track Changes，几乎每行都会成为删除/插入，反而难以审阅。</w:t>
            </w:r>
          </w:p>
        </w:tc>
      </w:tr>
    </w:tbl>
    <w:p>
      <w:pPr>
        <w:spacing w:after="20"/>
      </w:pP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944"/>
        <w:gridCol w:w="2376"/>
        <w:gridCol w:w="2520"/>
        <w:gridCol w:w="2808"/>
      </w:tblGrid>
      <w:tr>
        <w:trPr>
          <w:tblHeader w:val="true"/>
          <w:cantSplit/>
        </w:trPr>
        <w:tc>
          <w:tcPr>
            <w:tcW w:type="dxa" w:w="194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v1.1 权威位置/主题</w:t>
            </w:r>
          </w:p>
        </w:tc>
        <w:tc>
          <w:tcPr>
            <w:tcW w:type="dxa" w:w="23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v1.1 旧处置</w:t>
            </w:r>
          </w:p>
        </w:tc>
        <w:tc>
          <w:tcPr>
            <w:tcW w:type="dxa" w:w="252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v1.2 新处置</w:t>
            </w:r>
          </w:p>
        </w:tc>
        <w:tc>
          <w:tcPr>
            <w:tcW w:type="dxa" w:w="280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原因与 claim 影响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封面、执行摘要、最终决策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Conditional GO after Phase 0.5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BLOCKED_AT_TECTO_DATA_ADMISSION；NO_UNLOCK</w:t>
            </w:r>
          </w:p>
        </w:tc>
        <w:tc>
          <w:tcPr>
            <w:tcW w:type="dxa" w:w="28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阻塞源由 current-DMS provenance 改为 tecto admission；旧失败不追认。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Phase 0–8 线性计划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DMS bridge 阻塞全部阶段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 T0–T3 与 qMaP Q0–Q5 并行 DAG</w:t>
            </w:r>
          </w:p>
        </w:tc>
        <w:tc>
          <w:tcPr>
            <w:tcW w:type="dxa" w:w="28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关闭的 DMS 分支不得继续阻塞 tecto。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DMS Fisher/Schur 公式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默认可评估 DMS 对全局 q 的增量信息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删除 operational authority</w:t>
            </w:r>
          </w:p>
        </w:tc>
        <w:tc>
          <w:tcPr>
            <w:tcW w:type="dxa" w:w="28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operator 未校准且共享 nuisance 不成立。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AssayTransportSpec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current-DMS 可校准 bridge family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current-DMS = N/A_CLOSED_NO_CROSSWALK；qMaP 单独建 spec</w:t>
            </w:r>
          </w:p>
        </w:tc>
        <w:tc>
          <w:tcPr>
            <w:tcW w:type="dxa" w:w="28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两个系统不共享 Denny latent q。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B6/B7/Phase 4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DMS-only、融合、joint benchmark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关闭</w:t>
            </w:r>
          </w:p>
        </w:tc>
        <w:tc>
          <w:tcPr>
            <w:tcW w:type="dxa" w:w="28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当前 DMS 不准入标签、split、阈值或效果量。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B11/Phase 6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sequence-only 与 sequence+DMS-at-test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仅保留条件 sequence-only</w:t>
            </w:r>
          </w:p>
        </w:tc>
        <w:tc>
          <w:tcPr>
            <w:tcW w:type="dxa" w:w="28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必须先通过 tecto 数据、split 和物理层；frozen LM 只是 exposure-audited baseline。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qMaPseq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条件性外部第二系统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强论文路线 mandatory completion gate</w:t>
            </w:r>
          </w:p>
        </w:tc>
        <w:tc>
          <w:tcPr>
            <w:tcW w:type="dxa" w:w="28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完成不等于阳性；不是同标签独立复现；不反向改 tecto。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Bonilla/Shin/Yesselman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多个外部来源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一个 RNA-MaP/tectoRNA platform cluster</w:t>
            </w:r>
          </w:p>
        </w:tc>
        <w:tc>
          <w:tcPr>
            <w:tcW w:type="dxa" w:w="28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可做平台内 blocked holdout，不得冒充多个独立验证。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发表承诺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由 DMS 增量结果升级论文层级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四格 claim matrix + stop rule</w:t>
            </w:r>
          </w:p>
        </w:tc>
        <w:tc>
          <w:tcPr>
            <w:tcW w:type="dxa" w:w="28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任何负结果都不自动保证可发表。</w:t>
            </w:r>
          </w:p>
        </w:tc>
      </w:tr>
    </w:tbl>
    <w:p>
      <w:pPr>
        <w:spacing w:after="40"/>
      </w:pP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952"/>
        <w:gridCol w:w="6696"/>
      </w:tblGrid>
      <w:tr>
        <w:tc>
          <w:tcPr>
            <w:tcW w:type="dxa" w:w="2952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立项状态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 Unicode MS" w:cs="Arial"/>
                <w:strike/>
                <w:color w:val="9B1C1C"/>
                <w:sz w:val="16"/>
              </w:rPr>
              <w:t>删除：Conditional GO after Phase 0.5</w:t>
              <w:br/>
            </w:r>
            <w:r>
              <w:rPr>
                <w:rFonts w:ascii="Arial" w:hAnsi="Arial" w:eastAsia="Arial Unicode MS" w:cs="Arial"/>
                <w:b/>
                <w:color w:val="2E74B5"/>
                <w:sz w:val="16"/>
                <w:u w:val="single"/>
              </w:rPr>
              <w:t>插入：BLOCKED_AT_TECTO_DATA_ADMISSION / SCIENTIFIC_UNLOCK = NO_UNLOCK</w:t>
            </w:r>
          </w:p>
        </w:tc>
      </w:tr>
      <w:tr>
        <w:tc>
          <w:tcPr>
            <w:tcW w:type="dxa" w:w="2952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中心数据关系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 Unicode MS" w:cs="Arial"/>
                <w:strike/>
                <w:color w:val="9B1C1C"/>
                <w:sz w:val="16"/>
              </w:rPr>
              <w:t>删除：current DMS 与 tectoRNA 联合用于主辨识</w:t>
              <w:br/>
            </w:r>
            <w:r>
              <w:rPr>
                <w:rFonts w:ascii="Arial" w:hAnsi="Arial" w:eastAsia="Arial Unicode MS" w:cs="Arial"/>
                <w:b/>
                <w:color w:val="2E74B5"/>
                <w:sz w:val="16"/>
                <w:u w:val="single"/>
              </w:rPr>
              <w:t>插入：tectoRNA 是唯一核心科学系统；current DMS 永久不准入 v1.2 主标签</w:t>
            </w:r>
          </w:p>
        </w:tc>
      </w:tr>
      <w:tr>
        <w:tc>
          <w:tcPr>
            <w:tcW w:type="dxa" w:w="2952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强论文第二系统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 Unicode MS" w:cs="Arial"/>
                <w:strike/>
                <w:color w:val="9B1C1C"/>
                <w:sz w:val="16"/>
              </w:rPr>
              <w:t>删除：qMaPseq 为可选外部补充</w:t>
              <w:br/>
            </w:r>
            <w:r>
              <w:rPr>
                <w:rFonts w:ascii="Arial" w:hAnsi="Arial" w:eastAsia="Arial Unicode MS" w:cs="Arial"/>
                <w:b/>
                <w:color w:val="2E74B5"/>
                <w:sz w:val="16"/>
                <w:u w:val="single"/>
              </w:rPr>
              <w:t>插入：qMaPseq 必须完成，但阳性不是完成条件，也不阻塞 tecto</w:t>
            </w:r>
          </w:p>
        </w:tc>
      </w:tr>
    </w:tbl>
    <w:p/>
    <w:p>
      <w:pPr>
        <w:pStyle w:val="Heading1"/>
      </w:pPr>
      <w:r>
        <w:rPr>
          <w:rFonts w:ascii="Arial" w:hAnsi="Arial" w:eastAsia="Arial Unicode MS" w:cs="Arial"/>
          <w:b/>
          <w:color w:val="9B1C1C"/>
          <w:sz w:val="20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32"/>
        </w:rPr>
        <w:t>内容导览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667085"/>
          <w:sz w:val="18"/>
        </w:rPr>
        <w:t>本目录为交付时冻结的静态页码索引；正文层级同时使用真实 Heading 样式，便于在 Word 中继续维护。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8784"/>
        <w:gridCol w:w="864"/>
      </w:tblGrid>
      <w:tr>
        <w:trPr>
          <w:tblHeader w:val="true"/>
          <w:cantSplit/>
        </w:trPr>
        <w:tc>
          <w:tcPr>
            <w:tcW w:type="dxa" w:w="878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章节</w:t>
            </w:r>
          </w:p>
        </w:tc>
        <w:tc>
          <w:tcPr>
            <w:tcW w:type="dxa" w:w="86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页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1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0. 文档权威、当前状态与使用规则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2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1. 执行摘要与最终授权边界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3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2. 科学问题、唯一主估计量与创新边界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4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3. v1.2 双支 DAG、依赖与状态转换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5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4. 核心规格文件与权威 registry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6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5. 当前 DMS 关闭分支与历史负面证据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7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6. tectoRNA 数据准入、完整清洗与有效 N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8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7. 模型复杂度阶梯与下游任务边界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9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8. 评测、统计、泄漏与不确定性合同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0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9. qMaPseq 强论文必做第二系统 Gate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1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10. 预训练数据、外部资源与竞争方法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2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11. 论文主张矩阵、发表路线与停止规则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3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12. 运行治理、manifest、可复现与变更控制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37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4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13. Gate 产物、交付物与验收测试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5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14. 最终决策与下一步授权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41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6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参考文献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42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7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附录 A｜Machine-readable status specification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8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附录 B｜CanonicalStateManifest 与 ledger schema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9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附录 C｜T0–T3 / Q0–Q5 Gate checklist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47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20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附录 D｜v1.1 B0–B12 到 v1.2 的迁移映射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48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21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附录 E｜敌对审稿问题与 claim boundary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49</w:t>
            </w:r>
          </w:p>
        </w:tc>
      </w:tr>
    </w:tbl>
    <w:p>
      <w:pPr>
        <w:spacing w:after="40"/>
      </w:pPr>
    </w:p>
    <w:p>
      <w:pPr>
        <w:pStyle w:val="Heading1"/>
      </w:pPr>
      <w:bookmarkStart w:id="100" w:name="v12_section_01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0. 文档权威、当前状态与使用规则</w:t>
      </w:r>
      <w:bookmarkEnd w:id="100"/>
    </w:p>
    <w:p>
      <w:pPr>
        <w:keepNext w:val="0"/>
        <w:spacing w:after="120"/>
      </w:pPr>
      <w:r>
        <w:rPr>
          <w:rFonts w:ascii="Arial" w:hAnsi="Arial" w:eastAsia="Arial Unicode MS" w:cs="Arial"/>
          <w:b/>
          <w:color w:val="111111"/>
          <w:sz w:val="21"/>
        </w:rPr>
        <w:t>本合同</w:t>
      </w:r>
      <w:r>
        <w:rPr>
          <w:rFonts w:ascii="Arial" w:hAnsi="Arial" w:eastAsia="Arial Unicode MS" w:cs="Arial"/>
          <w:i w:val="0"/>
          <w:color w:val="111111"/>
          <w:sz w:val="21"/>
        </w:rPr>
        <w:t>是 RNA Junction Preorganization 项目 v1.2 的唯一科学与执行边界。它替代 v1.1 的 operational authority，但不删除、不改写 v1.1 及其历史 run、manifest、失败证据或工程 replay。所有后续实现必须先绑定本合同的 SHA-256，再绑定代码 commit、run ID、parent ID 和 CanonicalStateManifest。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0.1 当前冻结状态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096"/>
        <w:gridCol w:w="3672"/>
        <w:gridCol w:w="2880"/>
      </w:tblGrid>
      <w:tr>
        <w:trPr>
          <w:tblHeader w:val="true"/>
          <w:cantSplit/>
        </w:trPr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状态键</w:t>
            </w:r>
          </w:p>
        </w:tc>
        <w:tc>
          <w:tcPr>
            <w:tcW w:type="dxa" w:w="36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冻结值</w:t>
            </w:r>
          </w:p>
        </w:tc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执行含义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CURRENT_OPERATIONAL_STATE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BLOCKED_AT_TECTO_DATA_ADMISSION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 真实标签建模尚未获准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CURRENT_SCIENTIFIC_DISPOSITION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CONDITIONAL_CANDIDATE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保留科学候选资格，不等于 GO 或可发表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CURRENT_DMS_CROSSWALK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ASSUMED_PERMANENTLY_UNAVAILABLE_V1_2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v1.2 内不等待、不推断、不重复恢复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CURRENT_DMS_PRIMARY_LABELS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NOT_ADMITTED_FINAL_V1_2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不得进入正式拟合、split、阈值或效果量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CURRENT_DMS_REPLAY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ENGINEERING_EVIDENCE_ONLY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只能证明指定工程 replay，不构成科学 admission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CURRENT_DMS_JOINT_TRANSPORT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CLOSED_NOT_AUTHORIZED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不得启动 current-DMS joint transport/science benchmark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QMAPSEQ_ROLE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MANDATORY_COMPLETION_GATE_FOR_STRONG_MANUSCRIPT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完成可为 supported、not supported 或 inconclusive；不要求阳性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SCIENTIFIC_UNLOCK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NO_UNLOCK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无模型训练、机制结论或投稿级泛化主张解锁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0.2 权威优先级与 stale 规则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1. </w:t>
      </w:r>
      <w:r>
        <w:rPr>
          <w:rFonts w:ascii="Arial" w:hAnsi="Arial" w:eastAsia="Arial Unicode MS" w:cs="Arial"/>
          <w:sz w:val="20"/>
        </w:rPr>
        <w:t>经 finalizer 签名并与合同 hash、代码 commit、run/parent lineage 一致的 CanonicalStateManifest。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2. </w:t>
      </w:r>
      <w:r>
        <w:rPr>
          <w:rFonts w:ascii="Arial" w:hAnsi="Arial" w:eastAsia="Arial Unicode MS" w:cs="Arial"/>
          <w:sz w:val="20"/>
        </w:rPr>
        <w:t>CanonicalStateManifest 中列出的 checksum-verified artifacts 与 gate decision。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3. </w:t>
      </w:r>
      <w:r>
        <w:rPr>
          <w:rFonts w:ascii="Arial" w:hAnsi="Arial" w:eastAsia="Arial Unicode MS" w:cs="Arial"/>
          <w:sz w:val="20"/>
        </w:rPr>
        <w:t>被冻结且 freshness 校验通过的 derived manifest、CleaningLedger、ExposureRegistry 和 UncertaintySetRegistry。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4. </w:t>
      </w:r>
      <w:r>
        <w:rPr>
          <w:rFonts w:ascii="Arial" w:hAnsi="Arial" w:eastAsia="Arial Unicode MS" w:cs="Arial"/>
          <w:sz w:val="20"/>
        </w:rPr>
        <w:t>人类可读报告、Notebook、registry 快照和旧 status 文件。若与 canonical manifest 不一致，自动标记 `STALE_NOT_AUTHORITATIVE`。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648"/>
      </w:tblGrid>
      <w:tr>
        <w:tc>
          <w:tcPr>
            <w:tcW w:type="dxa" w:w="9648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9B1C1C"/>
                <w:sz w:val="19"/>
              </w:rPr>
              <w:t>禁止逆向修史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不得覆盖旧 run_state、旧 manifest、旧 crosswalk、旧 registry 或旧失败报告；不得把后续获得的信息回填到历史 run 后追认 PASS。新证据必须进入新版本、新 run、新 parent lineage。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0.3 v1.2 中“永久不可得”的精确定义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`ASSUMED_PERMANENTLY_UNAVAILABLE_V1_2` 是版本内封闭假设，不是对世界状态的永久断言。它的目的，是移除“等待原作者 crosswalk”这一不可控依赖，防止项目继续停留在无期限 Phase 0。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本版本不联系作者、不用相似度或相关性推断 row-level crosswalk、不重复跑同一恢复流程。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未来若出现权威 crosswalk，只能触发 v1.3 或更高版本的重新审计；v1.2 current-DMS 主标签状态保持最终不准入。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历史 RNA-MAP replay 永远保留为 engineering evidence；其 `NO_PHASE_0_PASS / NO_UNLOCK` 边界不得被修改。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0.4 本次交付和远端边界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本次合同重写只在本地生成 clean v1.2、决策级 redline 和 decision/claim log。未授权远端同步、仓库修改、commit、push、训练、数据下载或 Gate 执行。</w:t>
      </w:r>
    </w:p>
    <w:p>
      <w:pPr>
        <w:pStyle w:val="Heading1"/>
      </w:pPr>
      <w:bookmarkStart w:id="101" w:name="v12_section_02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1. 执行摘要与最终授权边界</w:t>
      </w:r>
      <w:bookmarkEnd w:id="101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648"/>
      </w:tblGrid>
      <w:tr>
        <w:tc>
          <w:tcPr>
            <w:tcW w:type="dxa" w:w="9648"/>
            <w:shd w:fill="FFF6D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7A5A00"/>
                <w:sz w:val="19"/>
              </w:rPr>
              <w:t>执行结论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项目继续作为 CONDITIONAL_CANDIDATE，但当前只允许 tectoRNA T0 数据准入审计与 qMaPseq Q0–Q3 并行准备。任何真实 tecto 标签建模必须等待 T0、S0、T1、M0 依次通过；qMaPseq 的结果不得反向修改已冻结的 tecto 选择。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1.0 冻结状态快照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888"/>
        <w:gridCol w:w="5760"/>
      </w:tblGrid>
      <w:tr>
        <w:trPr>
          <w:tblHeader w:val="true"/>
          <w:cantSplit/>
        </w:trPr>
        <w:tc>
          <w:tcPr>
            <w:tcW w:type="dxa" w:w="38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状态键</w:t>
            </w:r>
          </w:p>
        </w:tc>
        <w:tc>
          <w:tcPr>
            <w:tcW w:type="dxa" w:w="57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冻结值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CURRENT_OPERATIONAL_STATE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BLOCKED_AT_TECTO_DATA_ADMISSION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CURRENT_SCIENTIFIC_DISPOSITION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CONDITIONAL_CANDIDATE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CURRENT_DMS_CROSSWALK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ASSUMED_PERMANENTLY_UNAVAILABLE_V1_2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CURRENT_DMS_PRIMARY_LABELS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NOT_ADMITTED_FINAL_V1_2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CURRENT_DMS_REPLAY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ENGINEERING_EVIDENCE_ONLY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CURRENT_DMS_JOINT_TRANSPORT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CLOSED_NOT_AUTHORIZED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QMAPSEQ_ROLE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MANDATORY_COMPLETION_GATE_FOR_STRONG_MANUSCRIPT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SCIENTIFIC_UNLOCK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NO_UNLOCK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1.1 最大风险按优先级排序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691"/>
        <w:gridCol w:w="2232"/>
        <w:gridCol w:w="3528"/>
        <w:gridCol w:w="3197"/>
      </w:tblGrid>
      <w:tr>
        <w:trPr>
          <w:tblHeader w:val="true"/>
          <w:cantSplit/>
        </w:trPr>
        <w:tc>
          <w:tcPr>
            <w:tcW w:type="dxa" w:w="691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风险</w:t>
            </w:r>
          </w:p>
        </w:tc>
        <w:tc>
          <w:tcPr>
            <w:tcW w:type="dxa" w:w="352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为什么是根风险</w:t>
            </w:r>
          </w:p>
        </w:tc>
        <w:tc>
          <w:tcPr>
            <w:tcW w:type="dxa" w:w="3197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失败后的处置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1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 数据是否可准入且能形成真实 outer holdout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1,687 文献分母与 1,713/1,636 本地分层未闭环；scaffold/construct/study 图可能形成巨型连通分量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若无可解释 blocked holdout，停止泛化论文路线；不以 random row split 补救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2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唯一 target functional 是否可识别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operator range、target kernel、symmetry frame 和删失语义可使点识别失败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报告 identified set/interval；若集合无信息量则停止 mechanism claim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3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有效 N 与标签依赖被高估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rows、flow pieces、replicates、conditions、reads 与同一 construct 不是独立样本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按 group-adjusted effective N、group bootstrap 和 power rule降级复杂度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4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qMaPseq 迁移检验的选择与 attrition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98 是强选择子集；84 complete cases、11 censored、3 structural-QC 以及 condition-level exclusion 不能混为一体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允许支持、阴性或不确定；资料不可准入则关闭强跨系统路线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5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模型复杂度抢在数据与识别之前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小 N、强依赖和 operator uncertainty 不能靠大型架构消除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固定小容量阶梯；大型多模态/自训练主线不授权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6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发表预期先于证据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阴性结果、数据审计或新模型名都不自动形成论文贡献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严格按 claim matrix 裁定标题、摘要和投稿类型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1.2 现在允许与禁止的动作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现在允许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现在禁止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T0：tecto source、license、schema、集合关系、raw→analysis attrition 的只读/可复现审计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任何 tecto 真实标签主模型拟合或阈值选择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Q0–Q3：qMaPseq integrity、98 registry、attrition/censoring、endpoint replay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用 qMaP test outcome 调整 tecto estimand、operator、split、阈值或模型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current DMS archive/design catalog、aggregate engineering QC、非生物学 simulator 压力测试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current DMS 作为 primary label、效果量、联合科学 likelihood 或 test-time input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准备规格模板、manifest schema、合成测试和 exposure audit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声称 SCIENTIFIC_UNLOCK、可发表、跨所有 junction 泛化或已完成独立验证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1.3 强论文路线的必要但非充分条件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T0–T3 全部通过，并且主结论来自冻结的 target-specific functional、blocked holdout 和 matched simple baselines。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qMaPseq Q0–Q5 分析完成；阳性不是完成条件，但 `QMAP_NOT_ADMITTED` 关闭强跨系统论文路线。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所有 headline effect 均由 group-level uncertainty、censored proper score、coverage/calibration 和 exposure audit 支持。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论文标题与摘要严格服从第 11 节 claim matrix；完成合同不等于期刊接受。</w:t>
      </w:r>
    </w:p>
    <w:p>
      <w:pPr>
        <w:pStyle w:val="Heading1"/>
      </w:pPr>
      <w:bookmarkStart w:id="102" w:name="v12_section_03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2. 科学问题、唯一主估计量与创新边界</w:t>
      </w:r>
      <w:bookmarkEnd w:id="102"/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2.1 唯一中心科学问题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648"/>
      </w:tblGrid>
      <w:tr>
        <w:tc>
          <w:tcPr>
            <w:tcW w:type="dxa" w:w="9648"/>
            <w:shd w:fill="EEF5FB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2E74B5"/>
                <w:sz w:val="19"/>
              </w:rPr>
              <w:t>Primary scientific question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在 Denny tectoRNA 的实验条件与数据支持范围内，冻结 target geometry、symmetry frame、删失模型和来源可辩护的 operator uncertainty 后，现有观测能否识别每个 two-way junction 对一个预先指定目标构象的 thermodynamic preorganization functional；不能点识别时，最窄且覆盖校准的 identified set 是什么？</w:t>
            </w:r>
          </w:p>
        </w:tc>
      </w:tr>
    </w:tbl>
    <w:p>
      <w:pPr>
        <w:spacing w:after="2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本问题不要求恢复一个普适、完整、唯一的 RNA 构象能量面；也不把几何坐标、DMS reactivity、sequence embedding 或任一实验 latent state 当成同一个“真值”。每个 measurement operator 只能约束其正式定义的 observables 与目标泛函。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2.2 唯一主 estimand：target-specific thermodynamic functional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对 motif/construct x、冻结目标条件 c* 和规范化目标核 K*(q)∈[0,1]，令 p_x(q|c*) 为在允许物理模型与 operator 条件下的游离态构象分布。v1.2 的唯一主 estimand 定义为：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Primary estimand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Φ*x(c*) = − R T · log { ∫ K*(q) p_x(q | c*) dq 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special case: K*(q) = 1[q ∈ Ω*]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interpretation: target-specific preorganization penalty, not an absolute universal free energy</w:t>
            </w:r>
          </w:p>
        </w:tc>
      </w:tr>
    </w:tbl>
    <w:p>
      <w:pPr>
        <w:spacing w:after="2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K*、c*、坐标单位、target geometry、标准态、边界和温度必须在 S0 冻结。硬区域 Ω* 只是 K* 的特例，不能在看到结果后在多个核之间择优。主文只能保留一个 K*、一个 c* 和一个 primary estimand。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[迁移] </w:t>
      </w:r>
      <w:r>
        <w:rPr>
          <w:rFonts w:ascii="Arial" w:hAnsi="Arial" w:eastAsia="Arial Unicode MS" w:cs="Arial"/>
          <w:b/>
          <w:color w:val="2E74B5"/>
          <w:sz w:val="26"/>
        </w:rPr>
        <w:t>2.3 归一化 tecto forward 与 operator 条件性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对每个 tecto probe/operator s，预测观测必须以游离态配分函数归一化，避免把 motif-specific 零点或刚度导致的构象熵误写成结合自由能。一个允许的抽象形式是：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Normalized tecto forward family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Z0_x(θ,c) = ∫ exp[−β E_x(q; θ,c)] dq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Zs_x(θ,U_s,c) = ∫ exp[−β {E_x(q;θ,c) + U_s(q;c)}] dq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ŷ_xs = offset_s(c) − R T · log { Zs_x / Z0_x 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U_s ∈ 𝒰_s; offsets, units, calibration materials and admissible range must be frozen</w:t>
            </w:r>
          </w:p>
        </w:tc>
      </w:tr>
    </w:tbl>
    <w:p>
      <w:pPr>
        <w:spacing w:after="2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该 forward family 不是默认真实机制。它只有在 T0/S0/T1/M0 通过、operator sources 可审计且 synthetic identifiability 测试成功后，才可进入 T2。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2.4 点识别失败时的强制输出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Identified-set rule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I_x = { Φ*x(θ,U,η) : (θ,U,η) is data-compatible and passes frozen constraints 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report = [lower(I_x), upper(I_x)] + coverage + width + dominant uncertainty source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point estimate without identified-set audit = NOT_AUTHORIZED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S0 必须登记数值 coverage_target；T1 必须在查看模型/outer outcome 前登记 max_primary_width 或 max_width_to_MME_ratio、outer-group aggregation unit 和 worst-case operator 聚合规则。任一字段缺失时，M0/T2 不得解锁。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primary robustness PASS 当且仅当 worst-case admitted operator 下，group coverage 的预注册下界达到 coverage_target，且预注册 outer-group width statistic / minimum-meaningful-effect 不超过 max_width_to_MME_ratio（或等价的 max_primary_width）。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interval 超过冻结 width 门槛但诚实，结论是“当前数据不能决定”，T3 的 operator-robust criterion=FAIL，并按第 11 节降级；不得缩小 uncertainty set 追求显著。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operator-conditional 结果稳定而 operator-robust 结果不稳定，只允许 conditional claim。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target kernel 的选择主导结果，必须报告 kernel sensitivity，并降低为 target-definition-bound case study。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2.5 qMaPseq endpoint namespace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944"/>
        <w:gridCol w:w="4824"/>
        <w:gridCol w:w="2880"/>
      </w:tblGrid>
      <w:tr>
        <w:trPr>
          <w:tblHeader w:val="true"/>
          <w:cantSplit/>
        </w:trPr>
        <w:tc>
          <w:tcPr>
            <w:tcW w:type="dxa" w:w="194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命名空间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定义</w:t>
            </w:r>
          </w:p>
        </w:tc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不得混写为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Y_QMAP_PRIMARY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qMaPseq [Mg²⁺]1/2；16 点 titration 的 operational midpoint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Denny junction Φ*x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Y_QMAP_DERIVED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ΔG*qmap = −RT ln([Mg²⁺]1/2 / c°)，须冻结浓度单位与标准态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无下标的通用 ΔG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Y_RNAMAP_REFERENCE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Bonilla/RNA-MaP binding ΔG reference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qMaPseq 自身的独立真值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DMS_SUMMARY_QMAP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TL/TLR 位点 reactivity summary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current 7,500-construct DMS label 或 Denny functional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2.6 创新性：允许与不允许的来源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可形成创新的贡献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不能作为创新的叙事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在 uncertain tecto operators 下对 target functional 做可审计的 partial identification 与校准区间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给现有 RNA LM 加一个新 head 或换一个网络名字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把 measurement units、censoring、interpolation、scaffold/context dependence 和 group graph 前置为 admission gate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把 reads、titration points 或 replicate rows 当大 N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在强选择 qMaP population 上执行预注册、censor-aware、不可反向调参的 cross-operator transfer test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把 R²=0.64 写成相同 estimand 的独立复现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明确何时只能支持 tecto-specific、conditional 或 negative-boundary claim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把阴性结果本身写成可发表保证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CanonicalStateManifest 将 run lineage、gate、artifacts 和 freshness 统一为唯一状态源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用大型多模态 foundation model 掩盖数据与识别问题</w:t>
            </w:r>
          </w:p>
        </w:tc>
      </w:tr>
    </w:tbl>
    <w:p>
      <w:pPr>
        <w:spacing w:after="40"/>
      </w:pPr>
    </w:p>
    <w:p>
      <w:pPr>
        <w:pStyle w:val="Heading1"/>
      </w:pPr>
      <w:bookmarkStart w:id="103" w:name="v12_section_04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3. v1.2 双支 DAG、依赖与状态转换</w:t>
      </w:r>
      <w:bookmarkEnd w:id="103"/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3.1 tectoRNA 主线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tecto branch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T0  tecto data admission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S0  estimand / operator / symmetry specification freeze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T1  cleaning / QC / effective-N / split freeze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M0  synthetic + operator-identification tests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T2  tecto-only inference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T3  target-specific thermodynamic functional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optional sequence-only deployment → manuscript claim adjudication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3.2 qMaPseq 第二系统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qMaPseq branch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Q0  integrity + license freeze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Q1  98-variant registry + cross-source denominator reconstruction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Q2  construct-, condition-, and analysis-level attrition/censoring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Q3  endpoint replay with frozen tolerance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Q4  selection / split / analysis freeze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Q5  locked transfer test + claim adjudication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3.3 依赖规则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376"/>
        <w:gridCol w:w="7272"/>
      </w:tblGrid>
      <w:tr>
        <w:trPr>
          <w:tblHeader w:val="true"/>
          <w:cantSplit/>
        </w:trPr>
        <w:tc>
          <w:tcPr>
            <w:tcW w:type="dxa" w:w="23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规则</w:t>
            </w:r>
          </w:p>
        </w:tc>
        <w:tc>
          <w:tcPr>
            <w:tcW w:type="dxa" w:w="72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强制含义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T0–T3 独立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不依赖 current DMS 或 qMaPseq；current-DMS 关闭不得阻塞 tecto。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Q0–Q3 可并行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可与 T0/S0/T1 并行，但不得查看或使用未冻结的 transfer 结果。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Q4/Q5 单向约束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不得修改已冻结的 tecto estimand、operator、模型、阈值、split 或主指标。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qMaP 非 unlock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qMaP 只裁定 cross-measurement-system、chemical-mapping thermodynamics 或 generalization 主张。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失败 fail closed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任一 Gate 未满足则该 Gate 及其后代保持 BLOCKED；不得跳过、降阈值或把 engineering replay 当 science PASS。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新证据新 lineage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任何修复必须创建新 run ID 和 parent-linked evidence；历史 run 保持原状态。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3.4 Gate 状态枚举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232"/>
        <w:gridCol w:w="4824"/>
        <w:gridCol w:w="2592"/>
      </w:tblGrid>
      <w:tr>
        <w:trPr>
          <w:tblHeader w:val="true"/>
          <w:cantSplit/>
        </w:trPr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字段/范围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允许状态</w:t>
            </w:r>
          </w:p>
        </w:tc>
        <w:tc>
          <w:tcPr>
            <w:tcW w:type="dxa" w:w="25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状态转换规则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T0/S0/T1/M0/T2/T3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PASS / FAIL / BLOCKED / NOT_STARTED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仅 PASS 解锁直接后代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qmap_gates.Q0–Q5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PASS / FAIL / BLOCKED / NOT_STARTED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Q4 需 Q0–Q3 PASS；Q5 需 Q0–Q4 PASS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qmap_terminal_disposition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NOT_ADJUDICATED / QMAP_TRANSFER_SUPPORTED / QMAP_TRANSFER_NOT_SUPPORTED / QMAP_INCONCLUSIVE / QMAP_NOT_ADMITTED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前三个 QMAP_TRANSFER_* / INCONCLUSIVE 表示 Q5 完成；NOT_ADMITTED 可由 Q0/Q1 admission failure 直接裁定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Manuscript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STRONG_CROSS_SYSTEM / TECTO_SPECIFIC / COMPARATIVE_ONLY / STOP_MECHANISM_ROUTE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由第 11 节矩阵唯一映射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qmap_gates 记录生命周期，qmap_terminal_disposition 记录论文裁定；两者不得混用。初始 disposition 必须为 NOT_ADJUDICATED。若 Q0–Q3 的 integrity/registry/attrition/replay 无法准入：失败 Gate=FAIL，后续 Gate=BLOCKED，disposition=QMAP_NOT_ADMITTED。若投稿裁定时 Q4/Q5 仍为 FAIL、BLOCKED 或 NOT_STARTED 且 disposition=NOT_ADJUDICATED，则强跨系统路线自动关闭：Tecto PASS 最多进入 TECTO_SPECIFIC，Tecto FAIL 进入 STOP_MECHANISM_ROUTE。</w:t>
      </w:r>
    </w:p>
    <w:p>
      <w:pPr>
        <w:pStyle w:val="Heading1"/>
      </w:pPr>
      <w:bookmarkStart w:id="104" w:name="v12_section_05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4. 核心规格文件与权威 registry</w:t>
      </w:r>
      <w:bookmarkEnd w:id="104"/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规格文件不是填写表格即可 PASS。每个 spec 必须绑定来源证据、单位、适用范围、错误模型、校准材料、holdout、版本、hash、冻结时间和失败标签；若关键字段不可审计，则 Gate fail closed。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4.1 EstimandSpec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384"/>
        <w:gridCol w:w="4032"/>
        <w:gridCol w:w="2232"/>
      </w:tblGrid>
      <w:tr>
        <w:trPr>
          <w:tblHeader w:val="true"/>
          <w:cantSplit/>
        </w:trPr>
        <w:tc>
          <w:tcPr>
            <w:tcW w:type="dxa" w:w="338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必填字段</w:t>
            </w:r>
          </w:p>
        </w:tc>
        <w:tc>
          <w:tcPr>
            <w:tcW w:type="dxa" w:w="40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PASS 条件</w:t>
            </w:r>
          </w:p>
        </w:tc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失败标签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K* 或其唯一参数化、c*、温度、标准态、单位、target geometry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查看真实外层测试结果前冻结；只有一个 primary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ESTIMAND_NOT_UNIQUE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Φ*x 公式、计算域、参考态、边界条件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量纲一致；硬/软 target 映射可复现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ESTIMAND_DIMENSION_OR_REFERENCE_ERROR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点估计与 identified-set 输出规则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point-ID 失败时自动输出 interval/set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POINT_ESTIMATE_WITHOUT_IDENTIFICATION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允许 nuisance 与禁止 proxy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DMS、geometry、embedding 均不被等同 latent truth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PROXY_AS_TRUTH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metric 与最小有意义效应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在外层结果前按 T1 power 冻结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OUTCOME_ADAPTIVE_THRESHOLD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coverage_target；max_primary_width 或 max_width_to_MME_ratio；group aggregation；worst-case operator rule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S0/T1 outcome-blind 数值冻结；缺一项不得解锁 M0/T2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OPERATOR_ROBUSTNESS_CRITERION_NOT_FROZEN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4.2 OperatorUncertaintySpec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312"/>
        <w:gridCol w:w="4248"/>
        <w:gridCol w:w="2088"/>
      </w:tblGrid>
      <w:tr>
        <w:trPr>
          <w:tblHeader w:val="true"/>
          <w:cantSplit/>
        </w:trPr>
        <w:tc>
          <w:tcPr>
            <w:tcW w:type="dxa" w:w="33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每个 operator range 必须绑定</w:t>
            </w:r>
          </w:p>
        </w:tc>
        <w:tc>
          <w:tcPr>
            <w:tcW w:type="dxa" w:w="42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最低证据</w:t>
            </w:r>
          </w:p>
        </w:tc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仅写 uncertainty set 是否 PASS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物理来源、单位、参数范围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原论文/结构/外部校准或明确假设层级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误差与相关结构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replicate/bootstrap/covariance 或可审计替代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适用 construct/scaffold/condition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不能跨范围无条件 transport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校准材料与 operator holdout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至少一个不参与拟合的校准/检验来源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sensitivity result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range 内 conclusion stability、coverage、width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[迁移] </w:t>
      </w:r>
      <w:r>
        <w:rPr>
          <w:rFonts w:ascii="Arial" w:hAnsi="Arial" w:eastAsia="Arial Unicode MS" w:cs="Arial"/>
          <w:b/>
          <w:color w:val="2E74B5"/>
          <w:sz w:val="26"/>
        </w:rPr>
        <w:t>4.3 SymmetryFrameSpec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冻结 strand order、5′→3′方向、motif boundary、flank 规则、helix reference frame 和 target geometry frame。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冻结 reciprocal/strand-swap/symmetry equivalence 的 group action，以及 sequence、local coordinate、parameter 和 target kernel 的协变规则。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所有 round-trip 必须恢复原 canonical ID、sequence、frame、operator index 与 target kernel；字符串去重不能替代 frame 等价。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symmetry-equivalent observations 必须在同一 outer group；不得跨 fold。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[关闭] </w:t>
      </w:r>
      <w:r>
        <w:rPr>
          <w:rFonts w:ascii="Arial" w:hAnsi="Arial" w:eastAsia="Arial Unicode MS" w:cs="Arial"/>
          <w:b/>
          <w:color w:val="2E74B5"/>
          <w:sz w:val="26"/>
        </w:rPr>
        <w:t>4.4 AssayTransportSpec-current-DMS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880"/>
        <w:gridCol w:w="6768"/>
      </w:tblGrid>
      <w:tr>
        <w:trPr>
          <w:tblHeader w:val="true"/>
          <w:cantSplit/>
        </w:trPr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676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冻结值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status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N/A_CLOSED_NO_CROSSWALK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primary labels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NOT_ADMITTED_FINAL_V1_2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joint transport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CLOSED_NOT_AUTHORIZED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recovery path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NONE_IN_V1_2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allowed use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archive/design catalog、aggregate engineering QC、non-biological stress tests、negative provenance case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scientific gate effect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NONE_ON_T0_TO_T3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4.5 AssayTransportSpec-qMaPseq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qMaPseq 规格只描述 TL/TLR–Mg²⁺系统中的 operational contact stability、[Mg²⁺]1/2、DMS summaries 与 RNA-MaP reference binding ΔG 的关系。它不与 Denny junction functional 共享 latent q。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输入域：经过 Q1/Q2 锁定的 98 variants、16 个 Mg²⁺条件、replicates、controls 和 source mapping。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输出域：censor-aware [Mg²⁺]1/2、uncertainty、optional ΔG*qmap、reference ranking/calibration。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外推域：只限已知 WT-like binding-mode 的 selected TL/TLR 子空间；不得扩展到任意 TLR family 或 junction preorganization。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锁定规则：Q5 outcome 不得进入 tecto model selection 或 operator calibration。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4.6 CanonicalStateManifest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232"/>
        <w:gridCol w:w="7416"/>
      </w:tblGrid>
      <w:tr>
        <w:trPr>
          <w:tblHeader w:val="true"/>
          <w:cantSplit/>
        </w:trPr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绑定项</w:t>
            </w:r>
          </w:p>
        </w:tc>
        <w:tc>
          <w:tcPr>
            <w:tcW w:type="dxa" w:w="741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强制字段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合同与代码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contract_path/hash；Git repo/commit；dirty-state declaration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运行谱系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run_id；parent_run_id；created_at；owner；schema_version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数据与配置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 accessions/versions；input manifest hash；spec hashes；split hash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产物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artifact path；size；SHA-256；producer；freshness 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Gate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gate_id；decision；reason；evidence list；finalizer；finalized_at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完成性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sentinel；terminal status；derived-manifest freshness；known limitations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4.7 CleaningLedger / ExposureRegistry / UncertaintySetRegistry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088"/>
        <w:gridCol w:w="5688"/>
        <w:gridCol w:w="1872"/>
      </w:tblGrid>
      <w:tr>
        <w:trPr>
          <w:tblHeader w:val="true"/>
          <w:cantSplit/>
        </w:trPr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Registry</w:t>
            </w:r>
          </w:p>
        </w:tc>
        <w:tc>
          <w:tcPr>
            <w:tcW w:type="dxa" w:w="56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逐行/逐项最低字段</w:t>
            </w:r>
          </w:p>
        </w:tc>
        <w:tc>
          <w:tcPr>
            <w:tcW w:type="dxa" w:w="18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Gate 用途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CleaningLedger</w:t>
            </w:r>
          </w:p>
        </w:tc>
        <w:tc>
          <w:tcPr>
            <w:tcW w:type="dxa" w:w="56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source、condition、construct、motif/family、replicate、measured/interpolated/censored、QC、排除原因、不确定性、证据 hash</w:t>
            </w:r>
          </w:p>
        </w:tc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T0/T1/Q1/Q2/Q3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ExposureRegistry</w:t>
            </w:r>
          </w:p>
        </w:tc>
        <w:tc>
          <w:tcPr>
            <w:tcW w:type="dxa" w:w="56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source-level、family-level、PDB/template、pretraining exact/near-homolog、test exposure、mitigation</w:t>
            </w:r>
          </w:p>
        </w:tc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T1/M0/T2/Q4/Q5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UncertaintySetRegistry</w:t>
            </w:r>
          </w:p>
        </w:tc>
        <w:tc>
          <w:tcPr>
            <w:tcW w:type="dxa" w:w="56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operator/transport set ID、外部依据、单位、range、calibration、holdout、sensitivity result、status</w:t>
            </w:r>
          </w:p>
        </w:tc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S0/M0/T2/T3/Q5</w:t>
            </w:r>
          </w:p>
        </w:tc>
      </w:tr>
    </w:tbl>
    <w:p>
      <w:pPr>
        <w:spacing w:after="40"/>
      </w:pPr>
    </w:p>
    <w:p>
      <w:pPr>
        <w:pStyle w:val="Heading1"/>
      </w:pPr>
      <w:bookmarkStart w:id="105" w:name="v12_section_06"/>
      <w:r>
        <w:rPr>
          <w:rFonts w:ascii="Arial" w:hAnsi="Arial" w:eastAsia="Arial Unicode MS" w:cs="Arial"/>
          <w:b/>
          <w:color w:val="9B1C1C"/>
          <w:sz w:val="20"/>
        </w:rPr>
        <w:t xml:space="preserve">[关闭] </w:t>
      </w:r>
      <w:r>
        <w:rPr>
          <w:rFonts w:ascii="Arial" w:hAnsi="Arial" w:eastAsia="Arial Unicode MS" w:cs="Arial"/>
          <w:b/>
          <w:color w:val="2E74B5"/>
          <w:sz w:val="32"/>
        </w:rPr>
        <w:t>5. 当前 DMS 关闭分支与历史负面证据</w:t>
      </w:r>
      <w:bookmarkEnd w:id="105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648"/>
      </w:tblGrid>
      <w:tr>
        <w:tc>
          <w:tcPr>
            <w:tcW w:type="dxa" w:w="9648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9B1C1C"/>
                <w:sz w:val="19"/>
              </w:rPr>
              <w:t>Final role of current DMS in v1.2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当前 7,500-construct DMS 资产永久不准入 v1.2 的 primary labels、主模型、split、阈值、feature selection、效果量或科学 benchmark。它保留为 archive/design catalog、工程 QC、非生物学压力测试和 provenance failure 的负面案例。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5.1 允许与禁止用途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允许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archive/design catalog；sequence/motif 目录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primary label、主模型拟合、阈值/feature/split 选择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aggregate engineering QC；文件/schema/计数一致性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DMS-only、late-fusion 或 current-DMS joint-generative 科学 benchmark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simulator 的非生物学压力测试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sequence+DMS-at-test；任何 DMS test-time input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描述性 motif overlap 枚举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论文效果量或“DMS 改善 tecto 推断”主张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provenance 缺失、状态矛盾和 partial artifact 的负面案例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“DMS 缩小 identified set”“当前 DMS 验证 tectoRNA”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未来合同设计参考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恢复 v1.1 Fisher/Schur 增量路径或共享 latent q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5.2 HistoricalNegativeEvidenceLedger（不得删除或弱化）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088"/>
        <w:gridCol w:w="4536"/>
        <w:gridCol w:w="3024"/>
      </w:tblGrid>
      <w:tr>
        <w:trPr>
          <w:tblHeader w:val="true"/>
          <w:cantSplit/>
        </w:trPr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证据项</w:t>
            </w:r>
          </w:p>
        </w:tc>
        <w:tc>
          <w:tcPr>
            <w:tcW w:type="dxa" w:w="453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冻结事实边界</w:t>
            </w:r>
          </w:p>
        </w:tc>
        <w:tc>
          <w:tcPr>
            <w:tcW w:type="dxa" w:w="30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v1.2 解释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7,500 construct 对照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sequence 7,500/7,500；structure 7,497/7,500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结构对照不是全闭环；3 个 discrepancy 必须逐 ID 保留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structure discrepancies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construct3362、construct6271、construct7182；等长但 Hamming distance 非零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不得自动纠正或静默选择一侧；保留原始值、位置与 hash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17 个标准协议排除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规则/count 为 SOURCE_DOCUMENTED；17 个身份、逐行原因、run mapping = NOT_AVAILABLE_NOT_ASSERTED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aggregate 不等于 row-level provenance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684 vs 17 短孵育失败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只有 aggregate；不是 crosswalk，也不能解释为同一 17 个构建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保留分母、条件和来源；禁止凭相关性配对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partial artifacts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失败的 transfer、wrong-root audit、`.partial` 文件或不完整补充包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只作失败 evidence；不得作为 admitted source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RNA-MAP replay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SRR35766784；约 92,296,217 paired reads；约 98.85% alignment；18 outputs；REPLAY_COMPLETED_ENGINEERING_ONLY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reads/outputs 不证明 label identity、crosswalk、Phase 0 PASS 或科学解锁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状态面矛盾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launch `run_state.json=RUNNING` 与独立 completion state 并存；旧 registry/report 不同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历史文件不改写；由 CanonicalStateManifest 标记当前权威与 STALE_NOT_AUTHORITATIVE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provenance 根失败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缺少 accession/sample→condition→construct/library→evidence hash 的权威逐行 crosswalk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CURRENT_DMS_PRIMARY_LABELS=NOT_ADMITTED_FINAL_V1_2；NO_UNLOCK</w:t>
            </w:r>
          </w:p>
        </w:tc>
      </w:tr>
    </w:tbl>
    <w:p>
      <w:pPr>
        <w:spacing w:after="40"/>
      </w:pPr>
    </w:p>
    <w:p>
      <w:pPr>
        <w:pStyle w:val="Caption"/>
      </w:pPr>
      <w:r>
        <w:rPr>
          <w:rFonts w:ascii="Arial" w:hAnsi="Arial" w:eastAsia="Arial Unicode MS" w:cs="Arial"/>
          <w:b/>
          <w:i/>
          <w:color w:val="667085"/>
          <w:sz w:val="17"/>
        </w:rPr>
        <w:t>表 5-1｜历史 DMS 负面证据只界定不可用范围；它不证明 processed observations 本身一定错误。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5.3 数据量边界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旧资料中的 7,500 constructs、约 240,000 measurements、约 38,000 reads/sequence、5–7 motifs/construct、replicate R² 或 outlier 数量只能描述 archive 规模和工程特征。它们不等于 admitted labels、独立分子数、independent groups 或可用于 tecto 训练的 N。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800"/>
        <w:gridCol w:w="4176"/>
        <w:gridCol w:w="3672"/>
      </w:tblGrid>
      <w:tr>
        <w:trPr>
          <w:tblHeader w:val="true"/>
          <w:cantSplit/>
        </w:trPr>
        <w:tc>
          <w:tcPr>
            <w:tcW w:type="dxa" w:w="18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单位</w:t>
            </w:r>
          </w:p>
        </w:tc>
        <w:tc>
          <w:tcPr>
            <w:tcW w:type="dxa" w:w="41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可报告</w:t>
            </w:r>
          </w:p>
        </w:tc>
        <w:tc>
          <w:tcPr>
            <w:tcW w:type="dxa" w:w="36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禁止等价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reads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测序深度与工程 QC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biological 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nucleotide/measurement rows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局部测量记录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independent labels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constructs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设计单元；仍受共现 motif/context 连接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独立 motif groups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motifs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描述性目录；可能重复、对称或近同源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独立 test groups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labels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v1.2 固定为 0 admitted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可从 archive count 推断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5.4 未来意外获得 crosswalk 时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创建新合同版本；记录 v1.2 为 parent scientific disposition，但不修改其状态。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创建新 source acquisition、crosswalk、validation 和 run ID；不得复用失败 run root。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旧 crosswalk/manifest/report 只读保留；新证据通过新 finalizer 与新 checksum ledger 裁定。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任何 DMS 科学 claim 必须在新合同中重新定义 estimand、transport、operator、split 与 exposure；v1.2 不预授权。</w:t>
      </w:r>
    </w:p>
    <w:p>
      <w:pPr>
        <w:pStyle w:val="Heading1"/>
      </w:pPr>
      <w:bookmarkStart w:id="106" w:name="v12_section_07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6. tectoRNA 数据准入、完整清洗与有效 N</w:t>
      </w:r>
      <w:bookmarkEnd w:id="106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648"/>
      </w:tblGrid>
      <w:tr>
        <w:tc>
          <w:tcPr>
            <w:tcW w:type="dxa" w:w="9648"/>
            <w:shd w:fill="FFF6D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7A5A00"/>
                <w:sz w:val="19"/>
              </w:rPr>
              <w:t>T0 根 Gate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在任何真实标签建模前，必须证明 source、license、字段、集合关系、删失、插值、replicate/covariance、scaffold/context、group graph、有效 N 和 outer holdout 全部可审计。T0 未 PASS 时，不得用“先训练再看数据问题”的方式绕过。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6.1 论文分母与本地数据层必须分开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512"/>
        <w:gridCol w:w="4824"/>
        <w:gridCol w:w="3312"/>
      </w:tblGrid>
      <w:tr>
        <w:trPr>
          <w:tblHeader w:val="true"/>
          <w:cantSplit/>
        </w:trPr>
        <w:tc>
          <w:tcPr>
            <w:tcW w:type="dxa" w:w="15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计数/集合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当前可说的事实</w:t>
            </w:r>
          </w:p>
        </w:tc>
        <w:tc>
          <w:tcPr>
            <w:tcW w:type="dxa" w:w="33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T0 要求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1,687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Denny 2018 正文支持：1,328 designed + 359 crystallographic junctions；Figure 6 以 1,687 聚类</w:t>
            </w:r>
          </w:p>
        </w:tc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建立 paper universe 的 canonical ID 与 source evidence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1,713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v1.1/本地 artifact 候选计数；论文正文未直接定义</w:t>
            </w:r>
          </w:p>
        </w:tc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解释生成逻辑、去重、与 1,687 的交并/差集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1,636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本地 `is_junctionmat=True` 候选分析层；论文正文未直接定义</w:t>
            </w:r>
          </w:p>
        </w:tc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解释过滤、缺失 ID、9 scaffold/context 语义及与前两者关系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admitted labels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当前为 0</w:t>
            </w:r>
          </w:p>
        </w:tc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只有 T0 PASS 后才由 canonical manifest 写入，不得等于任一上游 count</w:t>
            </w:r>
          </w:p>
        </w:tc>
      </w:tr>
    </w:tbl>
    <w:p>
      <w:pPr>
        <w:spacing w:after="40"/>
      </w:pP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TECTO-PAPER-COUNT-BOUNDARY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paper-supported junction universe = 1,687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local candidate counts 1,713 and 1,636 = UNRESOLVED_DATA_LAYERS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required: raw → designed → represented → measured → fitted → analysis set equations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[迁移] </w:t>
      </w:r>
      <w:r>
        <w:rPr>
          <w:rFonts w:ascii="Arial" w:hAnsi="Arial" w:eastAsia="Arial Unicode MS" w:cs="Arial"/>
          <w:b/>
          <w:color w:val="2E74B5"/>
          <w:sz w:val="26"/>
        </w:rPr>
        <w:t>6.2 旧合同候选资产计数：只作审计目标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以下数字来自 v1.1 对本地候选 artifact 的记录，尚未被 v1.2 T0 重新验证，不能写成可训练 N。T0 必须逐 source/hash 重算。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168"/>
        <w:gridCol w:w="2952"/>
        <w:gridCol w:w="3528"/>
      </w:tblGrid>
      <w:tr>
        <w:trPr>
          <w:tblHeader w:val="true"/>
          <w:cantSplit/>
        </w:trPr>
        <w:tc>
          <w:tcPr>
            <w:tcW w:type="dxa" w:w="316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候选 artifact</w:t>
            </w:r>
          </w:p>
        </w:tc>
        <w:tc>
          <w:tcPr>
            <w:tcW w:type="dxa" w:w="29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v1.1 记录</w:t>
            </w:r>
          </w:p>
        </w:tc>
        <w:tc>
          <w:tcPr>
            <w:tcW w:type="dxa" w:w="352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v1.2 状态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library annotations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约 28,935 rows / 25 fields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CANDIDATE_NOT_ADMITTED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junction_conformations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12,024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CANDIDATE_NOT_ADMITTED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tertiary_contacts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4,862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CANDIDATE_NOT_ADMITTED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along_pdb / flanking / junction_pdb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3,792 / 3,601 / 3,280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CANDIDATE_NOT_ADMITTED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along / along_extended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1,120 / 256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CANDIDATE_NOT_ADMITTED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3 flow-piece theoretical/observed units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86,805 / 81,131（93.46%）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高度相关的 measurement units，不是 N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9/11-bp interpolation correlation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约 0.995 / 0.997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不能证明无插值偏差；需独立 layer 与 holdout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CI summaries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约 0.20 / 0.34 / 0.39 / 0.41 kcal/mol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需追溯 replicate/bootstrap/covariance 生成方法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6.3 measured / interpolated / censored 必须成为不同数据层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656"/>
        <w:gridCol w:w="5112"/>
        <w:gridCol w:w="2880"/>
      </w:tblGrid>
      <w:tr>
        <w:trPr>
          <w:tblHeader w:val="true"/>
          <w:cantSplit/>
        </w:trPr>
        <w:tc>
          <w:tcPr>
            <w:tcW w:type="dxa" w:w="165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层</w:t>
            </w:r>
          </w:p>
        </w:tc>
        <w:tc>
          <w:tcPr>
            <w:tcW w:type="dxa" w:w="51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最低字段</w:t>
            </w:r>
          </w:p>
        </w:tc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建模规则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measured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raw value、unit、condition、replicate、CI/covariance、source row hash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可进入冻结 likelihood；不得与插值行同权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interpolated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 endpoints、interpolation function/version、prediction uncertainty、reason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主分析默认单独层；必须有去插值 sensitivity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censored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threshold、direction、interval、reason、condition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进入 censored likelihood；不得删为缺失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excluded/QC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raw value、rule、reason、reviewer、evidence hash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保留在 ledger 和 attrition；不能 silent drop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6.4 −7.1 kcal/mol 的删失方向与 likelihood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Denny 正文直接描述可测动态范围约 −12.0 至 −7.1 kcal/mol，并将更弱结合记为 ΔG &gt; −7.1 kcal/mol。以论文数值方向为准时，这是数值右删失；但 T0 必须在 raw field、sign convention 和 software encoding 上做 round-trip，随后冻结：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Default censoring hypothesis; T0 must verify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observed: ΔG ≤ −7.1 kcal/mol  → density contribution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weak-binding censored: ΔG &gt; −7.1 kcal/mol → survival contribution P(Y &gt; −7.1)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if upstream sign/transform differs, freeze transformed interval before any fit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不得把 −7.1 当作精确观测值填充。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不得删除 censored samples 后只在 complete cases 上评估 ranking 或 calibration。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若多个 flow-piece/condition 的 censoring threshold 不同，必须逐行记录。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6.5 replicate、bootstrap、covariance 与 scaffold/context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区分 technical replicate、biological/construct replicate、bootstrap replicate 和同一 motif 的 scaffold/flow-piece observations。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恢复 covariance 或以 block bootstrap/cluster-robust likelihood 显式建模；不能把同一 fingerprint 的维度当独立。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冻结 scaffold、flow-piece、helix length、ionic condition、surface/context 和 study source 的语义。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所有 derived averages 必须保留 numerator/denominator、权重、缺失/删失处理与 parent row hashes。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6.6 raw→analysis attrition table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800"/>
        <w:gridCol w:w="3816"/>
        <w:gridCol w:w="4032"/>
      </w:tblGrid>
      <w:tr>
        <w:trPr>
          <w:tblHeader w:val="true"/>
          <w:cantSplit/>
        </w:trPr>
        <w:tc>
          <w:tcPr>
            <w:tcW w:type="dxa" w:w="18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381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必须报告的计数</w:t>
            </w:r>
          </w:p>
        </w:tc>
        <w:tc>
          <w:tcPr>
            <w:tcW w:type="dxa" w:w="40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必须解释的差异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source/raw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files、rows、bytes、hashes、license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下载/版本/重复文件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schema-valid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parsed rows、parse failures、unit failures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所有失败逐行 reason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canonicalized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unique constructs/motifs、symmetry groups、duplicate classes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ID/frame/strand/boundary 变换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measurement layer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measured/interpolated/censored/excluded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任何状态转换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analysis candidates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motif–construct–scaffold–study graph nodes/edges/components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连通性与不可拆 groups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outer holdout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train/validation/test groups、source/condition覆盖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group closure、泄漏审计和 power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admitted labels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最终 rows、units、constructs、motifs、independent groups、effective N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不得只报一个总 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6.7 motif–construct–scaffold–study graph 与有效 N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必须以 motif/family、canonical construct、symmetry equivalence、scaffold、flow piece、source study、PDB/template ancestry 和 condition 建图。外层 split 是连通约束下的 group partition，不是行级抽样。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Effective-N reporting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report raw_rows, measurement_units, unique_constructs, unique_motifs,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independent_biological_groups, split_groups, component_sizes, and group-adjusted N_eff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illustrative N_eff = (Σ_g w_g)^2 / Σ_g w_g^2; weight rule and sensitivity must be frozen</w:t>
            </w:r>
          </w:p>
        </w:tc>
      </w:tr>
    </w:tbl>
    <w:p>
      <w:pPr>
        <w:spacing w:after="20"/>
      </w:pP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648"/>
      </w:tblGrid>
      <w:tr>
        <w:tc>
          <w:tcPr>
            <w:tcW w:type="dxa" w:w="9648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9B1C1C"/>
                <w:sz w:val="19"/>
              </w:rPr>
              <w:t>巨型 connected component 规则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若 graph 出现覆盖大多数候选的巨型连通分量，不得随机拆开制造测试集。必须改为预定义的多轴 blocked generalization（例如 source/condition、scaffold 或 mutation architecture）或承认无法支持 outer generalization。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6.8 T0 与 T1 的 PASS 条件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080"/>
        <w:gridCol w:w="5832"/>
        <w:gridCol w:w="2736"/>
      </w:tblGrid>
      <w:tr>
        <w:trPr>
          <w:tblHeader w:val="true"/>
          <w:cantSplit/>
        </w:trPr>
        <w:tc>
          <w:tcPr>
            <w:tcW w:type="dxa" w:w="10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Gate</w:t>
            </w:r>
          </w:p>
        </w:tc>
        <w:tc>
          <w:tcPr>
            <w:tcW w:type="dxa" w:w="58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PASS 必须同时满足</w:t>
            </w:r>
          </w:p>
        </w:tc>
        <w:tc>
          <w:tcPr>
            <w:tcW w:type="dxa" w:w="273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FAIL/BLOCKED 示例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T0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source/license/hash 完整；1,687/1,713/1,636 集合方程闭环；字段/单位/censor direction 可复现；raw→analysis attrition 可解释；可构造真实 outer holdout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关键 source 不可验证；分母无法解释；label lineage 不完整；无可解释 holdout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T1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CleaningLedger 100%覆盖 admitted rows；graph/split/freshness 冻结；有效 N/power 支持选定复杂度；无已知 exact/family/template leakage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giant component 被随机拆分；插值/删失静默处理；test exposure 未缓解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v1.1 的候选门槛（例如 paired motifs 80、independent groups 40、test groups 15）不在 v1.2 自动继承。T1 必须根据审计后的 group graph、效应尺度、censoring 和 matched baseline variance 做预注册 power rule；在查看模型结果前冻结。</w:t>
      </w:r>
    </w:p>
    <w:p>
      <w:pPr>
        <w:pStyle w:val="Heading1"/>
      </w:pPr>
      <w:bookmarkStart w:id="107" w:name="v12_section_08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7. 模型复杂度阶梯与下游任务边界</w:t>
      </w:r>
      <w:bookmarkEnd w:id="107"/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模型复杂度由可准入 independent groups、operator calibration 和 identification tests 决定。v1.2 不从大型架构出发；每一层只有在更简单层已审计且新增复杂度带来冻结的 held-out 价值时才允许进入。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7.1 核心论文模型阶梯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792"/>
        <w:gridCol w:w="2448"/>
        <w:gridCol w:w="3888"/>
        <w:gridCol w:w="2520"/>
      </w:tblGrid>
      <w:tr>
        <w:trPr>
          <w:tblHeader w:val="true"/>
          <w:cantSplit/>
        </w:trPr>
        <w:tc>
          <w:tcPr>
            <w:tcW w:type="dxa" w:w="7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层级</w:t>
            </w:r>
          </w:p>
        </w:tc>
        <w:tc>
          <w:tcPr>
            <w:tcW w:type="dxa" w:w="24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模型</w:t>
            </w:r>
          </w:p>
        </w:tc>
        <w:tc>
          <w:tcPr>
            <w:tcW w:type="dxa" w:w="38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必须处理</w:t>
            </w:r>
          </w:p>
        </w:tc>
        <w:tc>
          <w:tcPr>
            <w:tcW w:type="dxa" w:w="252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升级条件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L1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censoring/interpolation-aware 层级统计基线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censoring、heteroscedasticity、group dependence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T1 PASS；作为不可删除 baseline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L2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scaffold/context/replicate/group random effects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motif/construct/scaffold/study 层级与 covariance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group variance 可识别；held-out score 改善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L3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normalized physical/thermodynamic forward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Zs/Z0 归一化、单位、condition、operator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M0 synthetic recovery 与 misspecification tests PASS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L4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operator-robust identified interval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𝒰_s 外部依据、worst-case set、dominant uncertainty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coverage 与 width 可解释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L5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calibrated uncertainty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group-level calibration、coverage、proper score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校准不依赖外层 test 调参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L6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条件化小容量 sequence-only baseline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仅用冻结 tecto-derived training labels；exposure audit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T3 PASS 后单独授权；不反向证明机制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7.2 M0：合成与 operator-identification 测试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在已知 Φ*、已知/扰动 U_s、删失和 group covariance 的 synthetic fixtures 上恢复 coverage、bias 和 set width。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构造远距离 likelihood-equivalent 参数与 operator alias；证明算法能报告非点识别，而不是给伪精确 posterior。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对 units、frame、symmetry、target-kernel round trip 和 censor direction 建立 failure-injection tests。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对 operator range misspecification、interpolation shift、single-study dominance 和 giant-component split 进行 adversarial tests。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真实数据 fitting 前冻结 numerical tolerances、optimizer budgets、seed policy 和 failure labels。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[关闭] </w:t>
      </w:r>
      <w:r>
        <w:rPr>
          <w:rFonts w:ascii="Arial" w:hAnsi="Arial" w:eastAsia="Arial Unicode MS" w:cs="Arial"/>
          <w:b/>
          <w:color w:val="2E74B5"/>
          <w:sz w:val="26"/>
        </w:rPr>
        <w:t>7.3 明确删除的大型主线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不授权从头训练 RNA foundation model。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不授权以大型 multimodal model、current-DMS fusion 或生成式 shared-latent 模型作为核心论文路线。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frozen RNA LM 只能是 exposure-audited sequence baseline；不得称为架构创新。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参数量必须与 effective N、group 数和 baselines 匹配；模型名不构成科学贡献。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7.4 sequence-only 部署边界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232"/>
        <w:gridCol w:w="3096"/>
        <w:gridCol w:w="2088"/>
        <w:gridCol w:w="2232"/>
      </w:tblGrid>
      <w:tr>
        <w:trPr>
          <w:tblHeader w:val="true"/>
          <w:cantSplit/>
        </w:trPr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前置条件</w:t>
            </w:r>
          </w:p>
        </w:tc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允许输入</w:t>
            </w:r>
          </w:p>
        </w:tc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允许输出</w:t>
            </w:r>
          </w:p>
        </w:tc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禁止解释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T0/S0/T1/M0/T2/T3 全部 PASS；另行冻结 exposure/split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sequence、明确允许的 frozen embeddings；不得使用 test tecto、qMaP 或 current DMS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Φ* 的条件预测/排序与 calibrated uncertainty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不能把 sequence predictor 成功反推物理 forward 正确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7.5 下游任务边界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核心论文只保留 target-functional estimation 与 held-out ranking。结构预测、双井/多态模型、CASP/RNA-Puzzles、junction-rich candidate reranking 和 sequence deployment 移入条件性 annex；只有主线证据通过且另行冻结任务定义后才能执行。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880"/>
        <w:gridCol w:w="3168"/>
        <w:gridCol w:w="3600"/>
      </w:tblGrid>
      <w:tr>
        <w:trPr>
          <w:tblHeader w:val="true"/>
          <w:cantSplit/>
        </w:trPr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任务</w:t>
            </w:r>
          </w:p>
        </w:tc>
        <w:tc>
          <w:tcPr>
            <w:tcW w:type="dxa" w:w="316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v1.2 核心地位</w:t>
            </w:r>
          </w:p>
        </w:tc>
        <w:tc>
          <w:tcPr>
            <w:tcW w:type="dxa" w:w="36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解锁条件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Φ* inference + interval</w:t>
            </w:r>
          </w:p>
        </w:tc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primary</w:t>
            </w:r>
          </w:p>
        </w:tc>
        <w:tc>
          <w:tcPr>
            <w:tcW w:type="dxa" w:w="36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T2/T3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held-out motif ranking</w:t>
            </w:r>
          </w:p>
        </w:tc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primary secondary readout</w:t>
            </w:r>
          </w:p>
        </w:tc>
        <w:tc>
          <w:tcPr>
            <w:tcW w:type="dxa" w:w="36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T1/M0/T2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sequence-only prediction</w:t>
            </w:r>
          </w:p>
        </w:tc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optional deployment</w:t>
            </w:r>
          </w:p>
        </w:tc>
        <w:tc>
          <w:tcPr>
            <w:tcW w:type="dxa" w:w="36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T3 后另行冻结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structure/CASP/RNA-Puzzles</w:t>
            </w:r>
          </w:p>
        </w:tc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conditional annex</w:t>
            </w:r>
          </w:p>
        </w:tc>
        <w:tc>
          <w:tcPr>
            <w:tcW w:type="dxa" w:w="36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独立 task contract；不得作为核心成功条件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新湿实验</w:t>
            </w:r>
          </w:p>
        </w:tc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out of scope</w:t>
            </w:r>
          </w:p>
        </w:tc>
        <w:tc>
          <w:tcPr>
            <w:tcW w:type="dxa" w:w="36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必须新合同版本</w:t>
            </w:r>
          </w:p>
        </w:tc>
      </w:tr>
    </w:tbl>
    <w:p>
      <w:pPr>
        <w:spacing w:after="40"/>
      </w:pPr>
    </w:p>
    <w:p>
      <w:pPr>
        <w:pStyle w:val="Heading1"/>
      </w:pPr>
      <w:bookmarkStart w:id="108" w:name="v12_section_09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8. 评测、统计、泄漏与不确定性合同</w:t>
      </w:r>
      <w:bookmarkEnd w:id="108"/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8.1 核心论文只保留五个 primary choices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952"/>
        <w:gridCol w:w="6696"/>
      </w:tblGrid>
      <w:tr>
        <w:trPr>
          <w:tblHeader w:val="true"/>
          <w:cantSplit/>
        </w:trPr>
        <w:tc>
          <w:tcPr>
            <w:tcW w:type="dxa" w:w="29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项目</w:t>
            </w:r>
          </w:p>
        </w:tc>
        <w:tc>
          <w:tcPr>
            <w:tcW w:type="dxa" w:w="66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v1.2 默认/冻结规则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estimand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第 2.2 节唯一 Φ*x(K*,c*)；S0 冻结一个 K* 与 c*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generalization split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MOTIF_FAMILY_OUTER_HOLDOUT_WITH_COMPONENT_CLOSURE；construct/scaffold/study/symmetry/PDB ancestry 约束闭包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operator-robustness criterion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worst-case admitted 𝒰 下：group coverage 下界 ≥ frozen coverage_target，且 frozen outer-group width statistic / minimum-meaningful-effect ≤ max_width_to_MME_ratio（或 width ≤ max_primary_width）；数值阈值与 aggregation unit 在 outcome 前冻结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held-out metric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outer-group averaged censored negative log predictive density（cNLPD；越低越好）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transfer/generalization test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qMaPseq Q5 locked transfer test；结果不得反向调 tecto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若 T1 数据审计证明上述默认 split 或 metric 在数学上不可用，必须在查看模型结果前通过版本化 change record 修改，并给出 power/identifiability 依据；不得结果导向地更换 primary。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8.2 nested grouped CV 与 blocked stress tests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outer split 以 motif family 为主，并对 construct/scaffold/study/symmetry/PDB/template ancestry 连通约束取闭包。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inner CV 只在 outer-train 内做 model/hyperparameter/calibration selection；outer-test 全程密封。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secondary stress tests：construct/scaffold/study holdout、source/condition holdout、PDB/template ancestry holdout、symmetry-equivalent group holdout。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若各 holdout 不是独立系统，必须标为 axis-specific generalization，不得累计成多个外部验证。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8.3 明令禁止的 split 与 N 口径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672"/>
        <w:gridCol w:w="5976"/>
      </w:tblGrid>
      <w:tr>
        <w:trPr>
          <w:tblHeader w:val="true"/>
          <w:cantSplit/>
        </w:trPr>
        <w:tc>
          <w:tcPr>
            <w:tcW w:type="dxa" w:w="36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禁止项</w:t>
            </w:r>
          </w:p>
        </w:tc>
        <w:tc>
          <w:tcPr>
            <w:tcW w:type="dxa" w:w="59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random row split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同 motif/construct/scaffold/study 相关记录泄漏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nucleotide-level split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同一分子和实验条件泄漏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replicate split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同一 biological/construct unit 泄漏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同 construct 的 conditions 分 fold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titration/condition rows 不是独立样本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把 reads、titration points、fingerprint dimensions 当 N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测量深度或相关维度不等于独立信息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giant component 随机切割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制造不可解释的测试独立性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8.4 统计与不确定性报告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group-level bootstrap；重采样单位是冻结 outer group，不是 row、nucleotide 或 read。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censored proper score；同时报告完整/删失 strata，不做 complete-case headline。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interval coverage、width、calibration curve、AURC/coverage-risk、held-out ranking 和 group-level effect distribution。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matched simple baselines 使用同输入、同 split、同 censoring、同 calibration budget 和相近 capacity。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报告 point estimate、uncertainty interval、operator worst case、study/family bootstrap 和 sensitivity，而非只报均值±随机种子标准差。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8.5 必跑 baselines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816"/>
        <w:gridCol w:w="5832"/>
      </w:tblGrid>
      <w:tr>
        <w:trPr>
          <w:tblHeader w:val="true"/>
          <w:cantSplit/>
        </w:trPr>
        <w:tc>
          <w:tcPr>
            <w:tcW w:type="dxa" w:w="381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Baseline</w:t>
            </w:r>
          </w:p>
        </w:tc>
        <w:tc>
          <w:tcPr>
            <w:tcW w:type="dxa" w:w="58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intercept / group mean / scaffold mean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确认模型是否超越最简单可用先验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censor-aware hierarchical regression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核心统计 baseline；控制 group/context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nearest-family / simple sequence distance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检测同源与 family shortcut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normalized physical forward without robust set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量化 operator robustness 的真实增量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frozen RNA LM linear/small head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只作 exposure-audited sequence baseline；非创新 claim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8.6 必跑 ablations 与 negative controls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176"/>
        <w:gridCol w:w="5472"/>
      </w:tblGrid>
      <w:tr>
        <w:trPr>
          <w:tblHeader w:val="true"/>
          <w:cantSplit/>
        </w:trPr>
        <w:tc>
          <w:tcPr>
            <w:tcW w:type="dxa" w:w="41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Ablation/control</w:t>
            </w:r>
          </w:p>
        </w:tc>
        <w:tc>
          <w:tcPr>
            <w:tcW w:type="dxa" w:w="54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检查的问题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operator range/source/calibration ablation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结论是否只由某个未经校准 U_s 驱动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measured-only / interpolation-aware / include-exclude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插值是否制造效果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pretraining exact/near-homolog exposure ablation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frozen LM 是否记忆测试 family/template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family/study label permutation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split 或 group shortcut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symmetry/frame perturbation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canonicalization 与 group action 是否正确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 transport/mapping ablation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迁移结果是否依赖单一 mapping 或 complete cases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 label permutation / negative nucleotides / condition controls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chemical-mapping signal是否特异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8.7 ExposureRegistry 的独立轴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source-level audit、exact sequence overlap、near-homolog/family overlap、PDB/template ancestry 和人工查看暴露是不同轴；任一轴完成不能代表其他轴无泄漏。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训练/预训练 corpus accession 与 snapshot。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exact sequence hash overlap；reverse/complement/canonical symmetry 后再查。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family/Rfam/motif cluster 与 sequence-identity bands。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PDB/template/structure-derived feature ancestry。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test labels 是否用于 debugging、error analysis、feature choice 或人工标签检查。</w:t>
      </w:r>
    </w:p>
    <w:p>
      <w:pPr>
        <w:pStyle w:val="Heading1"/>
      </w:pPr>
      <w:bookmarkStart w:id="109" w:name="v12_section_10"/>
      <w:r>
        <w:rPr>
          <w:rFonts w:ascii="Arial" w:hAnsi="Arial" w:eastAsia="Arial Unicode MS" w:cs="Arial"/>
          <w:b/>
          <w:color w:val="9B1C1C"/>
          <w:sz w:val="20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32"/>
        </w:rPr>
        <w:t>9. qMaPseq 强论文必做第二系统 Gate</w:t>
      </w:r>
      <w:bookmarkEnd w:id="109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648"/>
      </w:tblGrid>
      <w:tr>
        <w:tc>
          <w:tcPr>
            <w:tcW w:type="dxa" w:w="9648"/>
            <w:shd w:fill="EEF5FB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2E74B5"/>
                <w:sz w:val="19"/>
              </w:rPr>
              <w:t>QMAPSEQ_ROLE = MANDATORY_COMPLETION_GATE_FOR_STRONG_MANUSCRIPT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qMaPseq 必须完成第二系统 integrity、registry、attrition、replay、selection freeze 和 locked transfer；不要求得到阳性。它不阻塞 tecto T0–T3，也不是 junction preorganization 的同标签独立复现。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9.1 原论文事实与主张边界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原论文事实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v1.2 解读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98 个经过筛选的 TL/TLR variants；16 个 Mg²⁺浓度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真实统计单位是 variant；titration rows/replicates 同 fold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84 个可拟合 [Mg²⁺]1/2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complete cases 不是完整无偏验证集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11 个 [Mg²⁺]1/2 &gt; 40 mM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以 midpoint 为变量的右删失；必须进入 censored likelihood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2 个 closing-pair abnormal reactivity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UCUAAA_CAUGA、CCUACA_UACGG；structural-QC stratum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 个 alternate/unknown profile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CUUAAC_UAUGG；structural-QC stratum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ln([Mg²⁺]1/2) vs RNA-MaP ΔG: R²≈0.64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相关/transport evidence；不是同一 estimand 的 replication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7.5 mM GAAA-DMS summary vs RNA-MaP ΔG: R²≈0.68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单条件相关；不是 DMS 普遍等价 thermodynamic ΔG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9.2 Q0 — Integrity and license freeze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下列公开入口是 Q0 的验证目标，不得在 Gate 前预写成“已闭环”。实际执行必须记录下载时间、最终 URL、版本、文件尺寸、上游 checksum 与本地 SHA-256。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656"/>
        <w:gridCol w:w="3672"/>
        <w:gridCol w:w="4320"/>
      </w:tblGrid>
      <w:tr>
        <w:trPr>
          <w:tblHeader w:val="true"/>
          <w:cantSplit/>
        </w:trPr>
        <w:tc>
          <w:tcPr>
            <w:tcW w:type="dxa" w:w="165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Source</w:t>
            </w:r>
          </w:p>
        </w:tc>
        <w:tc>
          <w:tcPr>
            <w:tcW w:type="dxa" w:w="36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冻结目标</w:t>
            </w:r>
          </w:p>
        </w:tc>
        <w:tc>
          <w:tcPr>
            <w:tcW w:type="dxa" w:w="432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当前一手元数据提示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SRA/BioProject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PRJNA1086549；run manifest、文件格式、sizes、checksums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论文称 unprocessed FASTA；NCBI 登记 raw sequence reads；以实际 SRA manifest 为准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Figshare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10.6084/m9.figshare.25331758.v2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data.zip；502,061,658 bytes；CC BY 4.0；upstream MD5 7a080dc74bb3433e57fcdd885b5b7a56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Zenodo code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10.5281/zenodo.11672684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2024_qmap_paper-main.zip；2,509,162 bytes；record license CC BY 4.0；MD5 48da131a78f5027d4b1f31a58c08007b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GitHub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YesselmanLabPublications/2024_qmap_paper 的固定 commit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不得用浮动 HEAD；单独核对 checkout 内 license；Zenodo license 不自动覆盖未来 HEAD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使用 Figshare 发布的 exact construct/barcode catalog；不得把重新生成的 helix/barcode 当真相源。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官方 README 警告 generator 会随机化 helix 并覆盖为不同序列；任何 generator output 只能做测试 fixture。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任一核心 source、license、version 或 checksum 无法验证，则终态 `QMAP_NOT_ADMITTED`。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9.3 Q1 — 98-Variant Registry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Registry 维度</w:t>
            </w:r>
          </w:p>
        </w:tc>
        <w:tc>
          <w:tcPr>
            <w:tcW w:type="dxa" w:w="75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必填字段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canonical identity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canonical_variant_id、sequence、mutation positions/class、sequence distance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cross-source names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bonilla_source_name、qmap_source_name、orientation_transform、TL/TLR side、5′→3′ sequence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construct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exact construct、helix、barcode、catalog row、source row hash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experiment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run/set、16 Mg²⁺ conditions、replicate、controls、batch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artifacts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raw/processed paths、size、SHA-256、producer code commit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references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Bonilla/RNA-MaP reference ΔG、source row/evidence、uncertainty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status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measured/fitted/censored/structural-QC/condition-excluded/analysis-excluded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所有进入主分析的行必须 100% 可追溯；无法映射的行不得靠相关性、文件名、字符串相似或图形对齐推断。Bonilla 名称在 qMaP 项目中存在方向翻转，例如 `CAUGG_CCUAAA → CCUAAA_CAUGG`，必须显式登记 orientation transform。</w:t>
      </w:r>
    </w:p>
    <w:p>
      <w:pPr>
        <w:pStyle w:val="Heading3"/>
      </w:pPr>
      <w:r>
        <w:rPr>
          <w:rFonts w:ascii="Arial" w:hAnsi="Arial" w:eastAsia="Arial Unicode MS" w:cs="Arial"/>
          <w:b/>
          <w:color w:val="9B1C1C"/>
          <w:sz w:val="17"/>
        </w:rPr>
        <w:t xml:space="preserve">[新增] </w:t>
      </w:r>
      <w:r>
        <w:rPr>
          <w:rFonts w:ascii="Arial" w:hAnsi="Arial" w:eastAsia="Arial Unicode MS" w:cs="Arial"/>
          <w:b/>
          <w:color w:val="1F4D78"/>
          <w:sz w:val="23"/>
        </w:rPr>
        <w:t>9.3.1 Cross-source denominator reconstruction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224"/>
        <w:gridCol w:w="4464"/>
        <w:gridCol w:w="3960"/>
      </w:tblGrid>
      <w:tr>
        <w:trPr>
          <w:tblHeader w:val="true"/>
          <w:cantSplit/>
        </w:trPr>
        <w:tc>
          <w:tcPr>
            <w:tcW w:type="dxa" w:w="12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分母</w:t>
            </w:r>
          </w:p>
        </w:tc>
        <w:tc>
          <w:tcPr>
            <w:tcW w:type="dxa" w:w="446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来源含义</w:t>
            </w:r>
          </w:p>
        </w:tc>
        <w:tc>
          <w:tcPr>
            <w:tcW w:type="dxa" w:w="39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Q1 必须证明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1,592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 methods 所称 Bonilla original construct universe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source/design universe 的 canonical IDs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1,493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Bonilla 2021 论文 reported analyzed TLR sequences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analysis universe 与 1,592 的差集/原因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277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 selection 链中的 class-A / WT-like thermodynamic fingerprint 子集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筛选规则和 277 IDs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98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进一步按 A/C 和 flank pairing 等规则形成的 qMaP proof-of-concept set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98 IDs、每步 attrition、无漏项/重复</w:t>
            </w:r>
          </w:p>
        </w:tc>
      </w:tr>
    </w:tbl>
    <w:p>
      <w:pPr>
        <w:spacing w:after="40"/>
      </w:pP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648"/>
      </w:tblGrid>
      <w:tr>
        <w:tc>
          <w:tcPr>
            <w:tcW w:type="dxa" w:w="9648"/>
            <w:shd w:fill="FFF6D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7A5A00"/>
                <w:sz w:val="19"/>
              </w:rPr>
              <w:t>分母不可合并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1,592 与 1,493 很可能对应设计/source universe 与 analyzed universe；在 Q1 重建前不得写成同一个 N。98 也不是任意 TLR family 的代表性样本。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9.4 Q2 — Attrition and censoring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232"/>
        <w:gridCol w:w="3528"/>
        <w:gridCol w:w="3888"/>
      </w:tblGrid>
      <w:tr>
        <w:trPr>
          <w:tblHeader w:val="true"/>
          <w:cantSplit/>
        </w:trPr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类别</w:t>
            </w:r>
          </w:p>
        </w:tc>
        <w:tc>
          <w:tcPr>
            <w:tcW w:type="dxa" w:w="352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冻结数量/ID</w:t>
            </w:r>
          </w:p>
        </w:tc>
        <w:tc>
          <w:tcPr>
            <w:tcW w:type="dxa" w:w="38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fitted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84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进入 endpoint analysis；仍需报告 selection 和 group structure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right-censored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11；[Mg²⁺]1/2 &gt; 40 mM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进入 censored likelihood；不得删除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closing-pair structural-QC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2：UCUAAA_CAUGA；CCUACA_UACGG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保留原因与 raw curves；进入 sensitivity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alternate/unknown structural-QC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1：CUUAAC_UAUGG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保留原因与 raw curves；进入 sensitivity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 Unicode MS" w:cs="Arial"/>
          <w:b/>
          <w:color w:val="9B1C1C"/>
          <w:sz w:val="17"/>
        </w:rPr>
        <w:t xml:space="preserve">[新增] </w:t>
      </w:r>
      <w:r>
        <w:rPr>
          <w:rFonts w:ascii="Arial" w:hAnsi="Arial" w:eastAsia="Arial Unicode MS" w:cs="Arial"/>
          <w:b/>
          <w:color w:val="1F4D78"/>
          <w:sz w:val="23"/>
        </w:rPr>
        <w:t>9.4.1 Condition-level exception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No silent row deletion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QMAP_CONDITION_EXCEPTION_001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scope = first_25_construct_library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condition = 5_mM_Mg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source_reason = unexpectedly_high_reactivity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required = preserve raw; reproduce exclusion; include/exclude sensitivity; list IDs + hashes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rial" w:hAnsi="Arial" w:eastAsia="Arial Unicode MS" w:cs="Arial"/>
          <w:b/>
          <w:color w:val="9B1C1C"/>
          <w:sz w:val="17"/>
        </w:rPr>
        <w:t xml:space="preserve">[新增] </w:t>
      </w:r>
      <w:r>
        <w:rPr>
          <w:rFonts w:ascii="Arial" w:hAnsi="Arial" w:eastAsia="Arial Unicode MS" w:cs="Arial"/>
          <w:b/>
          <w:color w:val="1F4D78"/>
          <w:sz w:val="23"/>
        </w:rPr>
        <w:t>9.4.2 Analysis-specific atypical cluster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原论文后续 clustering 又称 cluster 4 含 4 个 atypical-reactivity variants，并在先前分析中因 divergent behavior 被排除；正文未证明该 4-set 与前述 2+1 structural-QC 集完全相同。Q2 必须按 canonical ID 冻结：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Analysis-specific attrition set algebra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structural_qc_2_plus_1_ID_set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cluster_4_atypical_ID_set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intersection / only_in_structural_qc / only_in_cluster_4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analysis_stage_of_each_exclusion</w:t>
            </w:r>
          </w:p>
        </w:tc>
      </w:tr>
    </w:tbl>
    <w:p>
      <w:pPr>
        <w:spacing w:after="2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Q2 PASS 必须覆盖 construct-level、condition-level 和 analysis-level 三层 attrition；仅复现 84/11/2/1 总数不构成 PASS。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9.5 Q3 — Endpoint replay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从公开 raw/processed artifacts 和归档代码重建每个 variant 的 DMS titration curve。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重建 [Mg²⁺]1/2、uncertainty、fit diagnostics、DMS summary、reference ΔG mapping 与 failure/censoring reason。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对首个 25-construct library 的 5 mM 点执行原始 exclusion replay 与 include/exclude sensitivity。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按 public table precision、rounding、software/version 在运行前冻结数值 tolerance；逐 variant 判定。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仅复现论文 R²、图形或整体分布不构成 Q3 PASS。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880"/>
        <w:gridCol w:w="6768"/>
      </w:tblGrid>
      <w:tr>
        <w:trPr>
          <w:tblHeader w:val="true"/>
          <w:cantSplit/>
        </w:trPr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Q3 输出</w:t>
            </w:r>
          </w:p>
        </w:tc>
        <w:tc>
          <w:tcPr>
            <w:tcW w:type="dxa" w:w="676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最低验收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variant_endpoint_table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98 行 canonical registry；每行 fit/censor/QC/failure 终态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curve_artifacts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16-point 或明确 condition exception；raw→processed hash lineage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comparison_report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逐值误差、tolerance、rounding/version 解释；不得只报 correlation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attrition_report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84/11/2/1 + 5 mM exception + 4-cluster 集合交并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9.6 Q4 — Selection, split and analysis freeze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明确 98 variants 来自已知 WT-like binding-mode/class-A 子空间，不能外推到任意 TLR family。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比较 fitted、censored、structural-failure、condition-excluded 与 analysis-excluded variants 的 mutation class、sequence distance、reference ΔG 和 construct features。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按 mutation/edit graph 构造 outer groups；同一 variant 的所有 titration rows、conditions、replicates 必须同 fold。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冻结 split、baseline、primary metric、minimum meaningful effect、power rule、negative controls 和 multiplicity policy。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在查看 locked transfer outcome 前完成 freeze；Q5 结果不得修改 tecto。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9.7 Q5 — Locked transfer test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952"/>
        <w:gridCol w:w="6696"/>
      </w:tblGrid>
      <w:tr>
        <w:trPr>
          <w:tblHeader w:val="true"/>
          <w:cantSplit/>
        </w:trPr>
        <w:tc>
          <w:tcPr>
            <w:tcW w:type="dxa" w:w="29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比较对象</w:t>
            </w:r>
          </w:p>
        </w:tc>
        <w:tc>
          <w:tcPr>
            <w:tcW w:type="dxa" w:w="66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intercept/mean baseline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仅使用训练组分布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论文公开单变量关系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ln([Mg²⁺]1/2) 与 reference ΔG；按 outer groups 重评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sequence/mutation baseline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小容量；mutation class/distance/sequence；同 split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locked partial-ID/calibration method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不查看 Q5 test 调参；输出 interval、coverage、width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Q5 主报告必须同时包含：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held-out proper score；reference ΔG ranking；interval coverage；interval width；calibration；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相对最强简单 baseline 的预注册增益及最小有意义效应；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mutation-class/group bootstrap；label permutation；condition/negative-nucleotide controls；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84 complete-case、all-98 censor-aware、structural-QC 与 condition-exception sensitivity。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9.8 qMaPseq 终态与完成定义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096"/>
        <w:gridCol w:w="4248"/>
        <w:gridCol w:w="2304"/>
      </w:tblGrid>
      <w:tr>
        <w:trPr>
          <w:tblHeader w:val="true"/>
          <w:cantSplit/>
        </w:trPr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终态</w:t>
            </w:r>
          </w:p>
        </w:tc>
        <w:tc>
          <w:tcPr>
            <w:tcW w:type="dxa" w:w="42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含义</w:t>
            </w:r>
          </w:p>
        </w:tc>
        <w:tc>
          <w:tcPr>
            <w:tcW w:type="dxa" w:w="230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强论文路线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QMAP_TRANSFER_SUPPORTED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locked test 支持预注册的受限迁移增益</w:t>
            </w:r>
          </w:p>
        </w:tc>
        <w:tc>
          <w:tcPr>
            <w:tcW w:type="dxa" w:w="23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可开放受限跨 measurement-system 主张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QMAP_TRANSFER_NOT_SUPPORTED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分析完整但未支持增益</w:t>
            </w:r>
          </w:p>
        </w:tc>
        <w:tc>
          <w:tcPr>
            <w:tcW w:type="dxa" w:w="23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 完成；可作为预注册阴性/边界证据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QMAP_INCONCLUSIVE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分析完整但 power/uncertainty 不足</w:t>
            </w:r>
          </w:p>
        </w:tc>
        <w:tc>
          <w:tcPr>
            <w:tcW w:type="dxa" w:w="23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 完成；只允许不确定边界叙述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QMAP_NOT_ADMITTED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核心 source/registry/replay 不可验证</w:t>
            </w:r>
          </w:p>
        </w:tc>
        <w:tc>
          <w:tcPr>
            <w:tcW w:type="dxa" w:w="23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关闭强跨系统论文路线；tecto 主线仍可继续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这些值只写入 qmap_terminal_disposition。Q5 本身仍使用 Gate 生命周期状态：前三个完成性终态对应 Q5=PASS；QMAP_NOT_ADMITTED 对应 Q5=BLOCKED 或 NOT_STARTED，并须有 Q0–Q3 integrity/registry/attrition/replay admission failure 证据。未裁定时必须写 NOT_ADJUDICATED，不得把 NOT_STARTED 冒充终态；若到投稿裁定时 Q4/Q5 仍未完成或失败，NOT_ADJUDICATED 必须触发强跨系统路线 fail closed，而不能被解释为 qMaP 分析完成。</w:t>
      </w:r>
    </w:p>
    <w:p>
      <w:pPr>
        <w:pStyle w:val="Heading1"/>
      </w:pPr>
      <w:bookmarkStart w:id="110" w:name="v12_section_11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10. 预训练数据、外部资源与竞争方法</w:t>
      </w:r>
      <w:bookmarkEnd w:id="110"/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10.1 RNA-MaP/tectoRNA platform cluster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800"/>
        <w:gridCol w:w="3240"/>
        <w:gridCol w:w="3096"/>
        <w:gridCol w:w="1512"/>
      </w:tblGrid>
      <w:tr>
        <w:trPr>
          <w:tblHeader w:val="true"/>
          <w:cantSplit/>
        </w:trPr>
        <w:tc>
          <w:tcPr>
            <w:tcW w:type="dxa" w:w="18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研究</w:t>
            </w:r>
          </w:p>
        </w:tc>
        <w:tc>
          <w:tcPr>
            <w:tcW w:type="dxa" w:w="324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平台/对象</w:t>
            </w:r>
          </w:p>
        </w:tc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允许用途</w:t>
            </w:r>
          </w:p>
        </w:tc>
        <w:tc>
          <w:tcPr>
            <w:tcW w:type="dxa" w:w="15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独立性边界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Bonilla 2021</w:t>
            </w:r>
          </w:p>
        </w:tc>
        <w:tc>
          <w:tcPr>
            <w:tcW w:type="dxa" w:w="32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RNA-MaP；1,493 analyzed TLRs；tectoRNA scaffold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TLR/mutation/scaffold blocked holdout；qMaP reference lineage</w:t>
            </w:r>
          </w:p>
        </w:tc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不是 qMaP 独立 reference 之外的第二验证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Shin 2023</w:t>
            </w:r>
          </w:p>
        </w:tc>
        <w:tc>
          <w:tcPr>
            <w:tcW w:type="dxa" w:w="32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RNA-MaP；11ntR single/double mutant sublibrary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mutation architecture / energetic coupling within-platform stress test</w:t>
            </w:r>
          </w:p>
        </w:tc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Bonilla sublibrary；非独立 label lineage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Yesselman 2019</w:t>
            </w:r>
          </w:p>
        </w:tc>
        <w:tc>
          <w:tcPr>
            <w:tcW w:type="dxa" w:w="32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RNA-MaP；tectoRNA heterodimer；helix sequence/length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helix/scaffold/template blocked holdout；operator prior</w:t>
            </w:r>
          </w:p>
        </w:tc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同平台/近 scaffold 谱系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三者必须登记为一个 `RNA-MaP/tectoRNA platform cluster`：可提供 within-platform 的 scaffold、helix、TLR、ionic-condition 和 mutation-architecture holdout；不得把三篇论文标题计作三套独立外部验证。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10.2 PRIME-P4/P6 2026：竞争矩阵与低 N falsification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752"/>
        <w:gridCol w:w="4896"/>
      </w:tblGrid>
      <w:tr>
        <w:trPr>
          <w:tblHeader w:val="true"/>
          <w:cantSplit/>
        </w:trPr>
        <w:tc>
          <w:tcPr>
            <w:tcW w:type="dxa" w:w="47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事实</w:t>
            </w:r>
          </w:p>
        </w:tc>
        <w:tc>
          <w:tcPr>
            <w:tcW w:type="dxa" w:w="48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合同边界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2026 bioRxiv v1 preprint；未同行评审</w:t>
            </w:r>
          </w:p>
        </w:tc>
        <w:tc>
          <w:tcPr>
            <w:tcW w:type="dxa" w:w="48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必须标 PREPRINT；不能按既定 SOTA 终局对待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一个 Tetrahymena P4–P6 construct；0/5 mM Mg²⁺；每条件一个 full time course</w:t>
            </w:r>
          </w:p>
        </w:tc>
        <w:tc>
          <w:tcPr>
            <w:tcW w:type="dxa" w:w="48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不是高 N second-system benchmark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49 A + 21/35 C 可拟合；14 C 为 &gt;3 kcal/mol lower bounds</w:t>
            </w:r>
          </w:p>
        </w:tc>
        <w:tc>
          <w:tcPr>
            <w:tcW w:type="dxa" w:w="48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位点是同一 RNA 上相关 endpoints，不是 70 independent N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PRIME/nerd + Zenodo 18398129（论文声明版本）</w:t>
            </w:r>
          </w:p>
        </w:tc>
        <w:tc>
          <w:tcPr>
            <w:tcW w:type="dxa" w:w="48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若执行 annex，必须显式冻结 version/hash；不得让 concept DOI 静默漂移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PRIME 必须进入创新性和方法竞争矩阵，可作为 operator assumptions、site-level energetics 或 Mg²⁺ coupling 的低 N 正交 falsification；不替代 qMaPseq，也不替代 tecto T0，更不构成 junction-bearing independent operator。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10.3 预训练/先验资源的允许角色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088"/>
        <w:gridCol w:w="4608"/>
        <w:gridCol w:w="2952"/>
      </w:tblGrid>
      <w:tr>
        <w:trPr>
          <w:tblHeader w:val="true"/>
          <w:cantSplit/>
        </w:trPr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资源</w:t>
            </w:r>
          </w:p>
        </w:tc>
        <w:tc>
          <w:tcPr>
            <w:tcW w:type="dxa" w:w="460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允许角色</w:t>
            </w:r>
          </w:p>
        </w:tc>
        <w:tc>
          <w:tcPr>
            <w:tcW w:type="dxa" w:w="29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禁止角色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Rfam / RNAcentral</w:t>
            </w:r>
          </w:p>
        </w:tc>
        <w:tc>
          <w:tcPr>
            <w:tcW w:type="dxa" w:w="46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sequence corpus、family labels、canonicalization、exposure audit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target thermodynamic labels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RNA3DB / PDB / Motif Atlas</w:t>
            </w:r>
          </w:p>
        </w:tc>
        <w:tc>
          <w:tcPr>
            <w:tcW w:type="dxa" w:w="46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geometry/template ancestry、frame checks、operator prior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独立 thermodynamic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RMDB / Ribonanza</w:t>
            </w:r>
          </w:p>
        </w:tc>
        <w:tc>
          <w:tcPr>
            <w:tcW w:type="dxa" w:w="46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chemical-mapping noise、operator prior、pretraining baseline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替代 target-specific second-system evidence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frozen RNA LM</w:t>
            </w:r>
          </w:p>
        </w:tc>
        <w:tc>
          <w:tcPr>
            <w:tcW w:type="dxa" w:w="46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小容量 exposure-audited sequence baseline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架构创新或无泄漏证明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smFRET / SAXS / low-throughput assays</w:t>
            </w:r>
          </w:p>
        </w:tc>
        <w:tc>
          <w:tcPr>
            <w:tcW w:type="dxa" w:w="46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候选正交 falsification 或 future version 设计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v1.2 根 Gate；本版本不含新湿实验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10.4 预训练数据穷尽原则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“可穷尽利用”不等于把所有公开数据混成 labels。v1.2 要求建立 capability matrix：每个 source 只进入其可支持的 axis，并记录版本、license、unit、operator、family/template exposure 和与 outer test 的重叠。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656"/>
        <w:gridCol w:w="5112"/>
        <w:gridCol w:w="2880"/>
      </w:tblGrid>
      <w:tr>
        <w:trPr>
          <w:tblHeader w:val="true"/>
          <w:cantSplit/>
        </w:trPr>
        <w:tc>
          <w:tcPr>
            <w:tcW w:type="dxa" w:w="165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Axis</w:t>
            </w:r>
          </w:p>
        </w:tc>
        <w:tc>
          <w:tcPr>
            <w:tcW w:type="dxa" w:w="51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可穷尽检索的内容</w:t>
            </w:r>
          </w:p>
        </w:tc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sequence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RNAcentral/Rfam/论文 supplementary/catalog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 sequence registry + exact/near-homolog audit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geometry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PDB/RNA3DB/Motif Atlas/论文 structures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frame/template ancestry registry；不生成 thermodynamic label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chemical mapping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RMDB/Ribonanza/qMaP/PRIME and cited datasets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operator/noise priors；source-specific endpoints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thermodynamics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Denny/RNA-MaP/qMaP references and lawful public records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platform-cluster-aware endpoint registry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pretrained models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model cards/training corpora where disclosed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ExposureRegistry + NOT_AVAILABLE_NOT_ASSERTED gaps</w:t>
            </w:r>
          </w:p>
        </w:tc>
      </w:tr>
    </w:tbl>
    <w:p>
      <w:pPr>
        <w:spacing w:after="40"/>
      </w:pPr>
    </w:p>
    <w:p>
      <w:pPr>
        <w:pStyle w:val="Heading1"/>
      </w:pPr>
      <w:bookmarkStart w:id="111" w:name="v12_section_12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11. 论文主张矩阵、发表路线与停止规则</w:t>
      </w:r>
      <w:bookmarkEnd w:id="111"/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11.1 结果 × 允许主张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312"/>
        <w:gridCol w:w="3960"/>
        <w:gridCol w:w="2376"/>
      </w:tblGrid>
      <w:tr>
        <w:trPr>
          <w:tblHeader w:val="true"/>
          <w:cantSplit/>
        </w:trPr>
        <w:tc>
          <w:tcPr>
            <w:tcW w:type="dxa" w:w="33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结果组合</w:t>
            </w:r>
          </w:p>
        </w:tc>
        <w:tc>
          <w:tcPr>
            <w:tcW w:type="dxa" w:w="39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允许主张</w:t>
            </w:r>
          </w:p>
        </w:tc>
        <w:tc>
          <w:tcPr>
            <w:tcW w:type="dxa" w:w="23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标题/摘要边界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Tecto PASS + QMAP_TRANSFER_SUPPORTED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方法在另一个公开 TL/TLR–Mg²⁺ measurement system 上通过预注册迁移测试；qMaP 条件下 chemical mapping 含 held-out thermodynamic signal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可用受限 cross-measurement-system/generalization；不得称 junction 同标签复现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Tecto PASS + QMAP_TRANSFER_NOT_SUPPORTED / QMAP_INCONCLUSIVE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tecto-specific robust target functional；qMaP 提供预注册边界、阴性或不确定证据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主标题以 tecto-specific/partial-ID 为核心；不写广义 chemical-mapping validation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Tecto PASS + QMAP_NOT_ADMITTED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tecto-specific reanalysis、benchmark 或 partial-ID case study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不得写 strong cross-system；必须披露 qMaP admission failure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Q4/Q5 未完成或失败 + NOT_ADJUDICATED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强跨系统路线 fail closed；Tecto PASS 时最多为 tecto-specific，且披露 mandatory qMaP gate 未完成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 PASS → TECTO_SPECIFIC；Tecto FAIL → STOP_MECHANISM_ROUTE；不得写 qMaP completed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Tecto FAIL + QMAP_TRANSFER_SUPPORTED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measurement/identifiability comparative result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不得保留 junction-preorganization 主标题或暗示 tecto mechanism 成功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两支均无可解释结果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停止 mechanism-paper 路线；数据审计稿另行评估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不默认可发表；需新合同裁定 audit paper 是否有独立价值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11.2 永久禁止的论文主张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“当前 7,500-construct DMS 验证了 tectoRNA”。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“DMS 普遍等价于 thermodynamic ΔG”。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“qMaPseq 独立复现了 junction preorganization”。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“Bonilla、Shin、Yesselman 是三套独立外部验证”。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“方法已经证明跨所有 two-way junction、TLR family 或 RNA system 泛化”。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“一个大型/多模态/foundation 架构本身构成科学创新”。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“负结果本身保证可发表”或“合同完成保证期刊接收”。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在 point identification 失败时只报一个无限定的预组织自由能点值。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11.3 主张标签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448"/>
        <w:gridCol w:w="4464"/>
        <w:gridCol w:w="2736"/>
      </w:tblGrid>
      <w:tr>
        <w:trPr>
          <w:tblHeader w:val="true"/>
          <w:cantSplit/>
        </w:trPr>
        <w:tc>
          <w:tcPr>
            <w:tcW w:type="dxa" w:w="24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标签</w:t>
            </w:r>
          </w:p>
        </w:tc>
        <w:tc>
          <w:tcPr>
            <w:tcW w:type="dxa" w:w="446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可以使用的条件</w:t>
            </w:r>
          </w:p>
        </w:tc>
        <w:tc>
          <w:tcPr>
            <w:tcW w:type="dxa" w:w="273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TARGET_SPECIFIC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K*/c*/system/operator 边界明确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target-specific preorganization functional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OPERATOR_CONDITIONAL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只在某一已校准 operator 下成立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conditional on frozen U_s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OPERATOR_ROBUST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对 admitted 𝒰 worst case 稳定并校准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operator-robust interval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PARTIALLY_IDENTIFIED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点识别失败但 set/interval 有覆盖与有限宽度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identified set for Φ*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WITHIN_PLATFORM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同一 RNA-MaP/tectoRNA platform cluster 内 holdout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within-platform blocked generalization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CROSS_MEASUREMENT_SYSTEM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Q0–Q5 完成且 QMAP_TRANSFER_SUPPORTED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locked transfer to qMaPseq TL/TLR–Mg²⁺ system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11.4 可发表性现实边界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本合同只提高可审计性与 claim 纪律，不能承诺发表。潜在论文价值依赖于：tecto 数据是否形成真实 holdout；Φ* 是否得到非平凡、校准且 operator-robust 的 identified interval；结果是否超越 matched simple baselines；qMaP locked test 是否提供可解释的支持或边界；以及与 PRIME 等竞争方法相比是否仍有清晰差异。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520"/>
        <w:gridCol w:w="4536"/>
        <w:gridCol w:w="2592"/>
      </w:tblGrid>
      <w:tr>
        <w:trPr>
          <w:tblHeader w:val="true"/>
          <w:cantSplit/>
        </w:trPr>
        <w:tc>
          <w:tcPr>
            <w:tcW w:type="dxa" w:w="252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路线</w:t>
            </w:r>
          </w:p>
        </w:tc>
        <w:tc>
          <w:tcPr>
            <w:tcW w:type="dxa" w:w="453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最低证据</w:t>
            </w:r>
          </w:p>
        </w:tc>
        <w:tc>
          <w:tcPr>
            <w:tcW w:type="dxa" w:w="25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风险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强方法/跨系统路线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Tecto PASS + QMAP_TRANSFER_SUPPORTED + 明确方法差异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 selected population、平台关联和 small effective N 限制主张强度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tecto-specific partial-ID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Tecto PASS；nontrivial interval、calibration、blocked holdout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若 interval 太宽或只复现简单 baseline，贡献不足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阴性/边界机制稿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预注册 qMaP negative/inconclusive；清楚解释可识别性边界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负结果需要普遍方法价值，不自动可发表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数据审计稿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可复现、对社区有独立价值的 dataset/lineage failure analysis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项目内部清洗问题未必具备外部新颖性</w:t>
            </w:r>
          </w:p>
        </w:tc>
      </w:tr>
    </w:tbl>
    <w:p>
      <w:pPr>
        <w:spacing w:after="40"/>
      </w:pPr>
    </w:p>
    <w:p>
      <w:pPr>
        <w:pStyle w:val="Heading1"/>
      </w:pPr>
      <w:bookmarkStart w:id="112" w:name="v12_section_13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12. 运行治理、manifest、可复现与变更控制</w:t>
      </w:r>
      <w:bookmarkEnd w:id="112"/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12.1 每个正式 run 的最小绑定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800"/>
        <w:gridCol w:w="7848"/>
      </w:tblGrid>
      <w:tr>
        <w:trPr>
          <w:tblHeader w:val="true"/>
          <w:cantSplit/>
        </w:trPr>
        <w:tc>
          <w:tcPr>
            <w:tcW w:type="dxa" w:w="18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层</w:t>
            </w:r>
          </w:p>
        </w:tc>
        <w:tc>
          <w:tcPr>
            <w:tcW w:type="dxa" w:w="78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必须绑定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contract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absolute path、version、SHA-256、签署/冻结时间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source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repo、commit、worktree status、entry point、source-origin audit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data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accession/version、download timestamp、license、size、SHA-256、input manifest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spec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EstimandSpec、OperatorUncertaintySpec、SymmetryFrameSpec、transport spec、split hash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runtime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run/parent ID、config、seed、environment、hardware/GPU evidence if used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artifacts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path、size、hash、schema、producer、freshness lineage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decision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gate status、reason、known limitations、finalizer、sentinel、terminal time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12.2 CanonicalStateManifest 决策规则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每个 run 只有一个 current canonical manifest；derived summaries 必须声明 parent manifest hash。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finalizer 必须检查 source/input freshness、required artifact completeness、checksums、Gate invariants 和 sentinel。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未 terminal、finalizer 缺失、checksum mismatch 或 stale derived manifest 时，一律不允许 PASS。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旧 status/report 与 canonical manifest 不一致时，旧文件自动 `STALE_NOT_AUTHORITATIVE`；不得修改旧文件来消除矛盾。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工程测试、smoke、proxy、replay、development evidence、formal Gate 和 scientific claim 必须使用不同 status namespace。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12.3 失败与恢复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232"/>
        <w:gridCol w:w="4320"/>
        <w:gridCol w:w="3096"/>
      </w:tblGrid>
      <w:tr>
        <w:trPr>
          <w:tblHeader w:val="true"/>
          <w:cantSplit/>
        </w:trPr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事件</w:t>
            </w:r>
          </w:p>
        </w:tc>
        <w:tc>
          <w:tcPr>
            <w:tcW w:type="dxa" w:w="432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必须动作</w:t>
            </w:r>
          </w:p>
        </w:tc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禁止动作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source/hash 不一致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终止本 Gate；保留 evidence；新 acquisition/run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覆盖旧文件后继续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schema/row mapping 失败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写逐行 failure ledger；评估 admission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丢弃无法映射行后宣称 100%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模型/optimizer 失败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保留 stderr/config/checkpoint；parent-linked rerun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复用失败 run root 冒充新 run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Gate FAIL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记录 fail reason 和下游 BLOCKED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降低阈值、跳 Gate 或把负结果改 PASS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外部 prerequisite 不可得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按合同终态关闭分支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无限轮询或依赖未承诺作者回复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12.4 变更控制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952"/>
        <w:gridCol w:w="2160"/>
        <w:gridCol w:w="4536"/>
      </w:tblGrid>
      <w:tr>
        <w:trPr>
          <w:tblHeader w:val="true"/>
          <w:cantSplit/>
        </w:trPr>
        <w:tc>
          <w:tcPr>
            <w:tcW w:type="dxa" w:w="29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变更类型</w:t>
            </w:r>
          </w:p>
        </w:tc>
        <w:tc>
          <w:tcPr>
            <w:tcW w:type="dxa" w:w="21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是否需新合同版本</w:t>
            </w:r>
          </w:p>
        </w:tc>
        <w:tc>
          <w:tcPr>
            <w:tcW w:type="dxa" w:w="453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最低记录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estimand/K*/c*</w:t>
            </w:r>
          </w:p>
        </w:tc>
        <w:tc>
          <w:tcPr>
            <w:tcW w:type="dxa" w:w="21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是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原因、旧/新 spec hash、影响 Gate、是否看过 outcome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split/metric/operator criterion</w:t>
            </w:r>
          </w:p>
        </w:tc>
        <w:tc>
          <w:tcPr>
            <w:tcW w:type="dxa" w:w="21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是或正式 amendment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power/identifiability 依据、sealed-outcome attestation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新增数据系统/湿实验</w:t>
            </w:r>
          </w:p>
        </w:tc>
        <w:tc>
          <w:tcPr>
            <w:tcW w:type="dxa" w:w="21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是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source/operator/estimand/transport/ethics/license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bug fix 不改科学定义</w:t>
            </w:r>
          </w:p>
        </w:tc>
        <w:tc>
          <w:tcPr>
            <w:tcW w:type="dxa" w:w="21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不一定；必须新 run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parent ID、patch commit、failure evidence、新 hashes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意外获得 current-DMS crosswalk</w:t>
            </w:r>
          </w:p>
        </w:tc>
        <w:tc>
          <w:tcPr>
            <w:tcW w:type="dxa" w:w="21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是；不得在 v1.2 内恢复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新版本、新 acquisition、新 run；旧状态保持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[迁移] </w:t>
      </w:r>
      <w:r>
        <w:rPr>
          <w:rFonts w:ascii="Arial" w:hAnsi="Arial" w:eastAsia="Arial Unicode MS" w:cs="Arial"/>
          <w:b/>
          <w:color w:val="2E74B5"/>
          <w:sz w:val="26"/>
        </w:rPr>
        <w:t>12.5 计算与 GPU 证据边界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若后续 Gate 使用 GPU，正式 CUDA 证据必须包含 GPU UUID、真实 model/input、forward/backward/optimizer step、dtype/device、fallback count 和 artifact hash。`nvidia-smi`、健康快照、dry run 或 CPU fallback 不能替代。v1.2 当前未授权任何训练或 GPU Gate。</w:t>
      </w:r>
    </w:p>
    <w:p>
      <w:pPr>
        <w:pStyle w:val="Heading1"/>
      </w:pPr>
      <w:bookmarkStart w:id="113" w:name="v12_section_14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13. Gate 产物、交付物与验收测试</w:t>
      </w:r>
      <w:bookmarkEnd w:id="113"/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26"/>
        </w:rPr>
        <w:t>13.1 tecto 分支最低产物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792"/>
        <w:gridCol w:w="5472"/>
        <w:gridCol w:w="3384"/>
      </w:tblGrid>
      <w:tr>
        <w:trPr>
          <w:tblHeader w:val="true"/>
          <w:cantSplit/>
        </w:trPr>
        <w:tc>
          <w:tcPr>
            <w:tcW w:type="dxa" w:w="7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Gate</w:t>
            </w:r>
          </w:p>
        </w:tc>
        <w:tc>
          <w:tcPr>
            <w:tcW w:type="dxa" w:w="54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最低产物</w:t>
            </w:r>
          </w:p>
        </w:tc>
        <w:tc>
          <w:tcPr>
            <w:tcW w:type="dxa" w:w="338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正式验收重点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T0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source manifest；license；1,687/1,713/1,636 set algebra；raw→analysis attrition；preliminary graph/holdout feasibility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provenance、units、censor direction、no silent exclusions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S0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EstimandSpec；OperatorUncertaintySpec；SymmetryFrameSpec；primary choices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唯一性、外部依据、round trip、outcome-blind freeze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T1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CleaningLedger；graph；effective-N report；split manifest；ExposureRegistry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outer holdout、component closure、power、leakage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M0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synthetic fixtures；recovery/coverage；alias/misspecification/failure-injection tests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算法能报告 non-ID；tolerances 预冻结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T2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tecto-only baseline/model results；matched comparisons；calibration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sealed outer test、cNLPD、group uncertainty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T3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Φ* identified intervals；coverage/width；ranking；operator sensitivity；claim adjudication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target-specific、operator-robust/conditional 标签正确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13.2 qMaPseq 分支最低产物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792"/>
        <w:gridCol w:w="5472"/>
        <w:gridCol w:w="3384"/>
      </w:tblGrid>
      <w:tr>
        <w:trPr>
          <w:tblHeader w:val="true"/>
          <w:cantSplit/>
        </w:trPr>
        <w:tc>
          <w:tcPr>
            <w:tcW w:type="dxa" w:w="7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Gate</w:t>
            </w:r>
          </w:p>
        </w:tc>
        <w:tc>
          <w:tcPr>
            <w:tcW w:type="dxa" w:w="54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最低产物</w:t>
            </w:r>
          </w:p>
        </w:tc>
        <w:tc>
          <w:tcPr>
            <w:tcW w:type="dxa" w:w="338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正式验收重点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Q0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SRA/Figshare/Zenodo/GitHub fixed-source manifest；licenses；sizes；hashes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 floating HEAD；core source 可验证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Q1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98 registry；1,592/1,493/277/98 set algebra；orientation/name mapping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100% traceability；exact catalog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Q2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84/11/2/1 ledger；5 mM condition exception；4-cluster set intersection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censoring、structural-QC、analysis attrition 分层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Q3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98 endpoint table；curves；uncertainty；replay tolerance report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逐值重建；不是只复现 R²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Q4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selection analysis；mutation/edit graph split；frozen metrics/baselines/power/controls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outcome-blind；不反向调 tecto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Q5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locked transfer results；all sensitivity/controls；terminal state；claim record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complete≠positive；terminal enum 合法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13.3 本次合同文档交付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096"/>
        <w:gridCol w:w="6552"/>
      </w:tblGrid>
      <w:tr>
        <w:trPr>
          <w:tblHeader w:val="true"/>
          <w:cantSplit/>
        </w:trPr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交付物</w:t>
            </w:r>
          </w:p>
        </w:tc>
        <w:tc>
          <w:tcPr>
            <w:tcW w:type="dxa" w:w="65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1.2.docx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完整、clean、可编辑；不覆盖原始 1.1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1.1_to_1.2_redline.docx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完整 v1.2 + 决策级 old/new 对照与 [新增]/[改写]/[关闭]/[迁移] 标记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v1.2_decision_and_claim_log.md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变更决策、claim matrix 摘要、source verification、QA 与 SHA-256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13.4 DOCX 内容与版式验收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完整结构抽取；Heading 层级、目录、页眉页脚、PAGE/NUMPAGES fields、表格 geometry 和 ZIP integrity。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逐页渲染 clean 与 redline；中文字体、公式、表格、引用、断页、溢出、重叠、孤行/孤标题均无错误。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8 个状态字面量在封面、执行摘要、最终决策和 machine-readable specification 一致。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所有 Gate、DAG 依赖、qMaP terminal states 和 claim matrix 前后一致；current-DMS 关闭不阻塞 T0–T3。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所有数据规模区分 reads、rows、measurement units、constructs、motifs、independent groups、effective N 和 admitted labels。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qMaP 98→84/11/2/1、5 mM condition exception 和 4-cluster analysis attrition 均覆盖；不得把 84 complete cases冒充完整验证。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Bonilla/Shin/Yesselman 标记为同一 platform cluster；PRIME 标 PREPRINT 且 independent N 边界正确。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新增文献 DOI、年份、题名、数据/代码入口经一手来源核对。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原始 1.1、clean 1.2、redline 和 decision log 分别生成 SHA-256；原始 1.1 hash 保持不变。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13.5 文本清扫规则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clean 1.2 不得保留任何仍具 operational authority 的 `Conditional GO after Phase 0.5`、current-DMS Fisher/Schur success formula、current-DMS joint model、DMS-driven threshold/split、sequence+DMS deployment 或过度发表承诺。redline 中出现旧词只能位于明确标注为“删除/关闭/历史”的上下文。</w:t>
      </w:r>
    </w:p>
    <w:p>
      <w:pPr>
        <w:pStyle w:val="Heading1"/>
      </w:pPr>
      <w:bookmarkStart w:id="114" w:name="v12_section_15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14. 最终决策与下一步授权</w:t>
      </w:r>
      <w:bookmarkEnd w:id="114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648"/>
      </w:tblGrid>
      <w:tr>
        <w:tc>
          <w:tcPr>
            <w:tcW w:type="dxa" w:w="9648"/>
            <w:shd w:fill="FFF6D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7A5A00"/>
                <w:sz w:val="19"/>
              </w:rPr>
              <w:t>Final decision: CONDITIONAL CANDIDATE / NO UNLOCK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项目仍值得继续，因为真正的问题不是“能否拼两套大数据训练模型”，而是：在 Denny tectoRNA 数据、删失、相关 fingerprint 和 uncertain operators 下，一个 target-specific preorganization functional 是否能被诚实地识别；并且这一方法是否能在 qMaPseq 的受限 TL/TLR–Mg²⁺系统上经锁定测试迁移。当前没有任何科学解锁，也没有发表保证。</w:t>
            </w:r>
          </w:p>
        </w:tc>
      </w:tr>
    </w:tbl>
    <w:p>
      <w:pPr>
        <w:spacing w:after="20"/>
      </w:pP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384"/>
        <w:gridCol w:w="6264"/>
      </w:tblGrid>
      <w:tr>
        <w:trPr>
          <w:tblHeader w:val="true"/>
          <w:cantSplit/>
        </w:trPr>
        <w:tc>
          <w:tcPr>
            <w:tcW w:type="dxa" w:w="338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状态键</w:t>
            </w:r>
          </w:p>
        </w:tc>
        <w:tc>
          <w:tcPr>
            <w:tcW w:type="dxa" w:w="626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最终冻结值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CURRENT_OPERATIONAL_STATE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BLOCKED_AT_TECTO_DATA_ADMISSION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CURRENT_SCIENTIFIC_DISPOSITION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CONDITIONAL_CANDIDATE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CURRENT_DMS_CROSSWALK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ASSUMED_PERMANENTLY_UNAVAILABLE_V1_2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CURRENT_DMS_PRIMARY_LABELS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NOT_ADMITTED_FINAL_V1_2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CURRENT_DMS_REPLAY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ENGINEERING_EVIDENCE_ONLY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CURRENT_DMS_JOINT_TRANSPORT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CLOSED_NOT_AUTHORIZED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QMAPSEQ_ROLE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MANDATORY_COMPLETION_GATE_FOR_STRONG_MANUSCRIPT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SCIENTIFIC_UNLOCK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NO_UNLOCK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14.1 下一步唯一授权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1. </w:t>
      </w:r>
      <w:r>
        <w:rPr>
          <w:rFonts w:ascii="Arial" w:hAnsi="Arial" w:eastAsia="Arial Unicode MS" w:cs="Arial"/>
          <w:sz w:val="20"/>
        </w:rPr>
        <w:t>启动 tecto T0：只做 source/data admission、完整清洗设计、集合关系、graph 和 holdout feasibility；不得拟合真实标签主模型。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2. </w:t>
      </w:r>
      <w:r>
        <w:rPr>
          <w:rFonts w:ascii="Arial" w:hAnsi="Arial" w:eastAsia="Arial Unicode MS" w:cs="Arial"/>
          <w:sz w:val="20"/>
        </w:rPr>
        <w:t>并行启动 qMaP Q0–Q3：固定资源、构建 98 registry、重建多层 attrition 与 endpoint；Q4/Q5 必须等 outcome-blind freeze。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3. </w:t>
      </w:r>
      <w:r>
        <w:rPr>
          <w:rFonts w:ascii="Arial" w:hAnsi="Arial" w:eastAsia="Arial Unicode MS" w:cs="Arial"/>
          <w:sz w:val="20"/>
        </w:rPr>
        <w:t>完成 T0/Q0–Q3 后生成 CanonicalStateManifest 与审计报告，再按本合同 Gate 裁定；不得把进度报告写成 PASS。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[关闭] </w:t>
      </w:r>
      <w:r>
        <w:rPr>
          <w:rFonts w:ascii="Arial" w:hAnsi="Arial" w:eastAsia="Arial Unicode MS" w:cs="Arial"/>
          <w:b/>
          <w:color w:val="2E74B5"/>
          <w:sz w:val="26"/>
        </w:rPr>
        <w:t>14.2 明确不授权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 current-DMS crosswalk 恢复、joint transport 或任何正式 science use。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不授权大型多模态/foundation model、sequence deployment、structure downstream 或新湿实验。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不授权远端合同同步、repo 修改、commit、push、训练或投稿。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不授权基于数据规模表面数字、相关系数或工程 replay 宣称 scientific unlock。</w:t>
      </w:r>
    </w:p>
    <w:p>
      <w:pPr>
        <w:pStyle w:val="Heading1"/>
      </w:pPr>
      <w:bookmarkStart w:id="115" w:name="v12_section_16"/>
      <w:r>
        <w:rPr>
          <w:rFonts w:ascii="Arial" w:hAnsi="Arial" w:eastAsia="Arial Unicode MS" w:cs="Arial"/>
          <w:b/>
          <w:color w:val="9B1C1C"/>
          <w:sz w:val="20"/>
        </w:rPr>
        <w:t xml:space="preserve">[改写] </w:t>
      </w:r>
      <w:r>
        <w:rPr>
          <w:rFonts w:ascii="Arial" w:hAnsi="Arial" w:eastAsia="Arial Unicode MS" w:cs="Arial"/>
          <w:b/>
          <w:color w:val="2E74B5"/>
          <w:sz w:val="32"/>
        </w:rPr>
        <w:t>参考文献</w:t>
      </w:r>
      <w:bookmarkEnd w:id="115"/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[R1] Denny, S. K. et al. High-Throughput Investigation of Diverse Junction Elements in RNA Tertiary Folding. Cell 174(2), 377–390.e20 (2018). DOI: 10.1016/j.cell.2018.05.038. </w:t>
      </w:r>
      <w:hyperlink r:id="rId10">
        <w:r>
          <w:rPr>
            <w:rFonts w:ascii="Arial" w:hAnsi="Arial" w:eastAsia="Arial Unicode MS" w:cs="Arial"/>
            <w:color w:val="2E74B5"/>
            <w:sz w:val="18"/>
            <w:u w:val="single"/>
          </w:rPr>
          <w:t>https://doi.org/10.1016/j.cell.2018.05.038</w:t>
        </w:r>
      </w:hyperlink>
      <w:r>
        <w:rPr>
          <w:rFonts w:ascii="Arial" w:hAnsi="Arial" w:eastAsia="Arial Unicode MS" w:cs="Arial"/>
          <w:sz w:val="18"/>
        </w:rPr>
        <w:t xml:space="preserve"> ; PMC6053692: </w:t>
      </w:r>
      <w:hyperlink r:id="rId11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https://pmc.ncbi.nlm.nih.gov/articles/PMC6053692/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[R2] Lange, B., Gil, R. G., Anderson, G. S. &amp; Yesselman, J. D. High-throughput determination of RNA tertiary contact thermodynamics by quantitative DMS chemical mapping. Nucleic Acids Research 52(16), 9953–9965 (2024). DOI: 10.1093/nar/gkae633. </w:t>
      </w:r>
      <w:hyperlink r:id="rId22">
        <w:r>
          <w:rPr>
            <w:rFonts w:ascii="Arial" w:hAnsi="Arial" w:eastAsia="Arial Unicode MS" w:cs="Arial"/>
            <w:color w:val="2E74B5"/>
            <w:sz w:val="18"/>
            <w:u w:val="single"/>
          </w:rPr>
          <w:t>https://academic.oup.com/nar/article/52/16/9953/7724680</w:t>
        </w:r>
      </w:hyperlink>
      <w:r>
        <w:rPr>
          <w:rFonts w:ascii="Arial" w:hAnsi="Arial" w:eastAsia="Arial Unicode MS" w:cs="Arial"/>
          <w:sz w:val="18"/>
        </w:rPr>
        <w:t xml:space="preserve"> ; PMC11381326: </w:t>
      </w:r>
      <w:hyperlink r:id="rId43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https://pmc.ncbi.nlm.nih.gov/articles/PMC11381326/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[R3] Bonilla, S. L. et al. High-throughput dissection of the thermodynamic and conformational properties of a ubiquitous class of RNA tertiary contact motifs. PNAS 118(33), e2109085118 (2021). DOI: 10.1073/pnas.2109085118. </w:t>
      </w:r>
      <w:hyperlink r:id="rId19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https://pmc.ncbi.nlm.nih.gov/articles/PMC8379967/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[R4] Shin, J. H. et al. Dissecting the energetic architecture within an RNA tertiary structural motif via high-throughput thermodynamic measurements. PNAS 120(11), e2220485120 (2023). DOI: 10.1073/pnas.2220485120. </w:t>
      </w:r>
      <w:hyperlink r:id="rId44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https://pmc.ncbi.nlm.nih.gov/articles/PMC10243134/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[R5] Yesselman, J. D. et al. Sequence-dependent RNA helix conformational preferences predictably impact tertiary structure formation. PNAS 116(34), 16847–16855 (2019). DOI: 10.1073/pnas.1901530116. </w:t>
      </w:r>
      <w:hyperlink r:id="rId17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https://pmc.ncbi.nlm.nih.gov/articles/PMC6708322/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[R6] Choi, E. K. et al. Ubiquitous Low-Energy RNA Fluctuations and Energetic Coupling Measured by Chemical Probing. bioRxiv Version 1 preprint (posted 30 January 2026). DOI: 10.64898/2026.01.28.702231. NOT PEER REVIEWED. </w:t>
      </w:r>
      <w:hyperlink r:id="rId45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https://pmc.ncbi.nlm.nih.gov/articles/PMC12873924/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[R7] Deenalattha, D. H. S. et al. Characterizing RNA 3D structural features from DMS reactivity. Nucleic Acids Research 54(14), gkag672 (2026). DOI: 10.1093/nar/gkag672. </w:t>
      </w:r>
      <w:hyperlink r:id="rId12">
        <w:r>
          <w:rPr>
            <w:rFonts w:ascii="Arial" w:hAnsi="Arial" w:eastAsia="Arial Unicode MS" w:cs="Arial"/>
            <w:color w:val="2E74B5"/>
            <w:sz w:val="18"/>
            <w:u w:val="single"/>
          </w:rPr>
          <w:t>https://doi.org/10.1093/nar/gkag672</w:t>
        </w:r>
      </w:hyperlink>
      <w:r>
        <w:rPr>
          <w:rFonts w:ascii="Arial" w:hAnsi="Arial" w:eastAsia="Arial Unicode MS" w:cs="Arial"/>
          <w:sz w:val="18"/>
        </w:rPr>
        <w:t xml:space="preserve"> . Historical current-DMS source only; not an admitted v1.2 label source.</w:t>
      </w:r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[D1] qMaPseq SRA/BioProject: PRJNA1086549. </w:t>
      </w:r>
      <w:hyperlink r:id="rId46">
        <w:r>
          <w:rPr>
            <w:rFonts w:ascii="Arial" w:hAnsi="Arial" w:eastAsia="Arial Unicode MS" w:cs="Arial"/>
            <w:color w:val="2E74B5"/>
            <w:sz w:val="18"/>
            <w:u w:val="single"/>
          </w:rPr>
          <w:t>https://www.ncbi.nlm.nih.gov/bioproject/PRJNA1086549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[D2] Yesselman, J. qdms-mapseq data. Figshare Dataset v2 (2024). DOI: 10.6084/m9.figshare.25331758.v2. </w:t>
      </w:r>
      <w:hyperlink r:id="rId47">
        <w:r>
          <w:rPr>
            <w:rFonts w:ascii="Arial" w:hAnsi="Arial" w:eastAsia="Arial Unicode MS" w:cs="Arial"/>
            <w:color w:val="2E74B5"/>
            <w:sz w:val="18"/>
            <w:u w:val="single"/>
          </w:rPr>
          <w:t>https://figshare.com/articles/dataset/data/25331758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[D3] Yesselman, J. qmap_paper_analysis. Zenodo Software (2024). DOI: 10.5281/zenodo.11672684. </w:t>
      </w:r>
      <w:hyperlink r:id="rId48">
        <w:r>
          <w:rPr>
            <w:rFonts w:ascii="Arial" w:hAnsi="Arial" w:eastAsia="Arial Unicode MS" w:cs="Arial"/>
            <w:color w:val="2E74B5"/>
            <w:sz w:val="18"/>
            <w:u w:val="single"/>
          </w:rPr>
          <w:t>https://zenodo.org/records/11672684</w:t>
        </w:r>
      </w:hyperlink>
      <w:r>
        <w:rPr>
          <w:rFonts w:ascii="Arial" w:hAnsi="Arial" w:eastAsia="Arial Unicode MS" w:cs="Arial"/>
          <w:sz w:val="18"/>
        </w:rPr>
        <w:t xml:space="preserve"> ; repository: </w:t>
      </w:r>
      <w:hyperlink r:id="rId49">
        <w:r>
          <w:rPr>
            <w:rFonts w:ascii="Arial" w:hAnsi="Arial" w:eastAsia="Arial Unicode MS" w:cs="Arial"/>
            <w:color w:val="2E74B5"/>
            <w:sz w:val="18"/>
            <w:u w:val="single"/>
          </w:rPr>
          <w:t>https://github.com/YesselmanLabPublications/2024_qmap_paper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[D4] PRIME declared source-data archive: </w:t>
      </w:r>
      <w:hyperlink r:id="rId50">
        <w:r>
          <w:rPr>
            <w:rFonts w:ascii="Arial" w:hAnsi="Arial" w:eastAsia="Arial Unicode MS" w:cs="Arial"/>
            <w:color w:val="2E74B5"/>
            <w:sz w:val="18"/>
            <w:u w:val="single"/>
          </w:rPr>
          <w:t>https://zenodo.org/records/18398129</w:t>
        </w:r>
      </w:hyperlink>
      <w:r>
        <w:rPr>
          <w:rFonts w:ascii="Arial" w:hAnsi="Arial" w:eastAsia="Arial Unicode MS" w:cs="Arial"/>
          <w:sz w:val="18"/>
        </w:rPr>
        <w:t xml:space="preserve"> ; core framework: </w:t>
      </w:r>
      <w:hyperlink r:id="rId51">
        <w:r>
          <w:rPr>
            <w:rFonts w:ascii="Arial" w:hAnsi="Arial" w:eastAsia="Arial Unicode MS" w:cs="Arial"/>
            <w:color w:val="2E74B5"/>
            <w:sz w:val="18"/>
            <w:u w:val="single"/>
          </w:rPr>
          <w:t>https://github.com/LucksLab/nerd</w:t>
        </w:r>
      </w:hyperlink>
      <w:r>
        <w:rPr>
          <w:rFonts w:ascii="Arial" w:hAnsi="Arial" w:eastAsia="Arial Unicode MS" w:cs="Arial"/>
          <w:sz w:val="18"/>
        </w:rPr>
        <w:t xml:space="preserve"> . Any annex execution must freeze an explicit record version and checksum.</w:t>
      </w: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参考文献核验说明</w:t>
      </w: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R1–R5 的题名、年份、期刊和 DOI 已用 Crossref/PMC/期刊一手元数据核对；R6 明确为 2026 preprint；qMaP 98→84/11/2/1、R²、SRA/Figshare/Zenodo 入口来自原论文与官方资源。任何后续执行仍须在 Gate 运行时重新固定版本和 checksum。</w:t>
      </w:r>
    </w:p>
    <w:p>
      <w:pPr>
        <w:pStyle w:val="Heading1"/>
      </w:pPr>
      <w:bookmarkStart w:id="116" w:name="v12_section_17"/>
      <w:r>
        <w:rPr>
          <w:rFonts w:ascii="Arial" w:hAnsi="Arial" w:eastAsia="Arial Unicode MS" w:cs="Arial"/>
          <w:b/>
          <w:color w:val="9B1C1C"/>
          <w:sz w:val="20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32"/>
        </w:rPr>
        <w:t>附录 A｜Machine-readable status specification</w:t>
      </w:r>
      <w:bookmarkEnd w:id="116"/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以下是 v1.2 当前状态的规范化实例。正式运行时，JSON 文件必须由 CanonicalStateManifest 引用并校验 hash；人类可读报告不得覆盖它。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Current status instance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{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"schema": "rna-junction-contract-status/v1.2",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"contract_version": "1.2",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"as_of": "2026-08-03",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"CURRENT_OPERATIONAL_STATE": "BLOCKED_AT_TECTO_DATA_ADMISSION",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"CURRENT_SCIENTIFIC_DISPOSITION": "CONDITIONAL_CANDIDATE",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"CURRENT_DMS_CROSSWALK": "ASSUMED_PERMANENTLY_UNAVAILABLE_V1_2",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"CURRENT_DMS_PRIMARY_LABELS": "NOT_ADMITTED_FINAL_V1_2",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"CURRENT_DMS_REPLAY": "ENGINEERING_EVIDENCE_ONLY",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"CURRENT_DMS_JOINT_TRANSPORT": "CLOSED_NOT_AUTHORIZED",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"QMAPSEQ_ROLE": "MANDATORY_COMPLETION_GATE_FOR_STRONG_MANUSCRIPT",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"SCIENTIFIC_UNLOCK": "NO_UNLOCK",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"tecto_branch": {"T0": "BLOCKED", "S0": "NOT_STARTED",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  "T1": "NOT_STARTED", "M0": "NOT_STARTED",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  "T2": "NOT_STARTED", "T3": "NOT_STARTED"},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"qmap_gates": {"Q0": "NOT_STARTED", "Q1": "NOT_STARTED",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  "Q2": "NOT_STARTED", "Q3": "NOT_STARTED",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  "Q4": "NOT_STARTED", "Q5": "NOT_STARTED"},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"qmap_terminal_disposition": "NOT_ADJUDICATED",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"current_dms_gate_effect_on_tecto": "NONE",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"remote_sync_authorized": false,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"training_authorized": false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A.1 Allowed enums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096"/>
        <w:gridCol w:w="6552"/>
      </w:tblGrid>
      <w:tr>
        <w:trPr>
          <w:tblHeader w:val="true"/>
          <w:cantSplit/>
        </w:trPr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65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允许值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tecto gate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NOT_STARTED | BLOCKED | PASS | FAIL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qmap_gates.Q0–Q5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NOT_STARTED | BLOCKED | PASS | FAIL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qmap_terminal_disposition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NOT_ADJUDICATED | QMAP_TRANSFER_SUPPORTED | QMAP_TRANSFER_NOT_SUPPORTED | QMAP_INCONCLUSIVE | QMAP_NOT_ADMITTED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scientific unlock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NO_UNLOCK | TECTO_ONLY_UNLOCK | STRONG_MANUSCRIPT_CLAIM_UNLOCK；后两者需新 manifest 实际证据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artifact authority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AUTHORITATIVE | STALE_NOT_AUTHORITATIVE | ENGINEERING_EVIDENCE_ONLY | NOT_ADMITTED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A.2 Invariants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CURRENT_DMS_PRIMARY_LABELS == NOT_ADMITTED_FINAL_V1_2。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CURRENT_DMS_JOINT_TRANSPORT == CLOSED_NOT_AUTHORIZED。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current-DMS status 不能把 T0–T3 置为 BLOCKED。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任一 tecto Gate 非 PASS 时，其直接后代不得 PASS。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初始 qmap_terminal_disposition == NOT_ADJUDICATED；不得把 qmap_gates.Q5 的 NOT_STARTED/BLOCKED 当作终态。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qmap_terminal_disposition 属于 QMAP_TRANSFER_SUPPORTED / QMAP_TRANSFER_NOT_SUPPORTED / QMAP_INCONCLUSIVE，则 qmap_gates.Q5 == PASS；三者均算 qMaP 分析完成。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Q0–Q3 的 integrity/registry/attrition/replay 无法准入，则失败 Gate == FAIL、后续 Gate == BLOCKED、qmap_terminal_disposition == QMAP_NOT_ADMITTED；tecto 主线不受影响。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若投稿裁定时 qmap_gates.Q4 或 Q5 属于 FAIL / BLOCKED / NOT_STARTED 且 qmap_terminal_disposition == NOT_ADJUDICATED，则 STRONG_CROSS_SYSTEM 禁止；Tecto PASS 仅可映射 TECTO_SPECIFIC，Tecto FAIL 映射 STOP_MECHANISM_ROUTE。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SCIENTIFIC_UNLOCK 的任何非 NO_UNLOCK 值必须由新 canonical manifest、finalizer 和相应 Gate PASS 支持。</w:t>
      </w:r>
    </w:p>
    <w:p>
      <w:pPr>
        <w:pStyle w:val="Heading1"/>
      </w:pPr>
      <w:bookmarkStart w:id="117" w:name="v12_section_18"/>
      <w:r>
        <w:rPr>
          <w:rFonts w:ascii="Arial" w:hAnsi="Arial" w:eastAsia="Arial Unicode MS" w:cs="Arial"/>
          <w:b/>
          <w:color w:val="9B1C1C"/>
          <w:sz w:val="20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32"/>
        </w:rPr>
        <w:t>附录 B｜CanonicalStateManifest 与 ledger schema</w:t>
      </w:r>
      <w:bookmarkEnd w:id="117"/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B.1 CanonicalStateManifest 最小 schema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CanonicalStateManifest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manifest_schema_version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contract: {path, version, sha256}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source: {repo, commit, dirty_state, entrypoint_hashes}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run: {run_id, parent_run_id, owner, created_at_utc, finalized_at_utc}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inputs: [{accession, version, path, size, sha256, license}]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specs: {estimand_sha256, operator_sha256, symmetry_sha256, transport_sha256}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split: {manifest_path, sha256, outer_group_rule, sealed_test}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artifacts: [{path, size, sha256, schema, producer, parent_hash}]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gate: {id, decision, reason, evidence_paths, finalizer}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sentinel: {terminal, completed, no_fallback_violation}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limitations: []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B.2 CleaningLedger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944"/>
        <w:gridCol w:w="7704"/>
      </w:tblGrid>
      <w:tr>
        <w:trPr>
          <w:tblHeader w:val="true"/>
          <w:cantSplit/>
        </w:trPr>
        <w:tc>
          <w:tcPr>
            <w:tcW w:type="dxa" w:w="194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字段组</w:t>
            </w:r>
          </w:p>
        </w:tc>
        <w:tc>
          <w:tcPr>
            <w:tcW w:type="dxa" w:w="770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字段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source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source_id、accession/version、file/path、row locator、source_sha256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identity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canonical_id、raw_id、sequence、motif/family、construct、scaffold、study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condition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temperature、ions、Mg²⁺、flow piece/probe、batch、replicate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measurement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endpoint、value、unit、measured/interpolated/censored、interval、uncertainty/covariance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cleaning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schema_valid、canonicalization transform、QC flags、exclusion rule/reason、reviewer/time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lineage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parent row hashes、derived artifact/hash、freshness status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B.3 ExposureRegistry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800"/>
        <w:gridCol w:w="7848"/>
      </w:tblGrid>
      <w:tr>
        <w:trPr>
          <w:tblHeader w:val="true"/>
          <w:cantSplit/>
        </w:trPr>
        <w:tc>
          <w:tcPr>
            <w:tcW w:type="dxa" w:w="18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轴</w:t>
            </w:r>
          </w:p>
        </w:tc>
        <w:tc>
          <w:tcPr>
            <w:tcW w:type="dxa" w:w="78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字段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source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corpus/accession/version/license；是否进入 pretraining/train/validation/test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exact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 sequence hash overlap；reverse/symmetry-normalized overlap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homology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family/Rfam/motif cluster；identity/coverage threshold；near-homolog status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template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PDB/RNA3DB/Motif Atlas ancestry；structure-derived features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human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是否查看 sealed labels、error analysis、manual relabel、feature choice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mitigation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exclude/repartition/report-only；residual unknowns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9B1C1C"/>
          <w:sz w:val="18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26"/>
        </w:rPr>
        <w:t>B.4 UncertaintySetRegistry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592"/>
        <w:gridCol w:w="7056"/>
      </w:tblGrid>
      <w:tr>
        <w:trPr>
          <w:tblHeader w:val="true"/>
          <w:cantSplit/>
        </w:trPr>
        <w:tc>
          <w:tcPr>
            <w:tcW w:type="dxa" w:w="25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705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set_id/version/hash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唯一标识与不可变版本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operator/transport scope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适用 probe、condition、construct/scaffold、measurement system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parameters/units/range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每个 range 的物理单位与边界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external basis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论文、structure、calibration material、assumption tier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holdout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不参与拟合的 operator/calibration source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sensitivity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coverage、width、claim stability、dominant endpoint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decision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ADMITTED / REJECTED / CONDITIONAL；reviewer/finalizer</w:t>
            </w:r>
          </w:p>
        </w:tc>
      </w:tr>
    </w:tbl>
    <w:p>
      <w:pPr>
        <w:spacing w:after="40"/>
      </w:pPr>
    </w:p>
    <w:p>
      <w:pPr>
        <w:pStyle w:val="Heading1"/>
      </w:pPr>
      <w:bookmarkStart w:id="118" w:name="v12_section_19"/>
      <w:r>
        <w:rPr>
          <w:rFonts w:ascii="Arial" w:hAnsi="Arial" w:eastAsia="Arial Unicode MS" w:cs="Arial"/>
          <w:b/>
          <w:color w:val="9B1C1C"/>
          <w:sz w:val="20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32"/>
        </w:rPr>
        <w:t>附录 C｜T0–T3 / Q0–Q5 Gate checklist</w:t>
      </w:r>
      <w:bookmarkEnd w:id="118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691"/>
        <w:gridCol w:w="6696"/>
        <w:gridCol w:w="2261"/>
      </w:tblGrid>
      <w:tr>
        <w:trPr>
          <w:tblHeader w:val="true"/>
          <w:cantSplit/>
        </w:trPr>
        <w:tc>
          <w:tcPr>
            <w:tcW w:type="dxa" w:w="691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Gate</w:t>
            </w:r>
          </w:p>
        </w:tc>
        <w:tc>
          <w:tcPr>
            <w:tcW w:type="dxa" w:w="66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所有项目均须 YES</w:t>
            </w:r>
          </w:p>
        </w:tc>
        <w:tc>
          <w:tcPr>
            <w:tcW w:type="dxa" w:w="2261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任一 NO 的默认终态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T0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source/license/hash；1687/1713/1636 set algebra；units/censoring；attrition；outer-holdout feasibility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FAIL 或 BLOCKED_AT_TECTO_DATA_ADMISSION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S0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one Φ*/K*/c*；operator basis/calibration；symmetry round trip；coverage_target + robustness rule frozen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FAIL；T1/M0/T2/T3 BLOCKED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T1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CleaningLedger coverage；graph/component closure；effective N/power；split/exposure；max width/width-to-MME + aggregation frozen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FAIL；M0/T2/T3 BLOCKED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M0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synthetic recovery；coverage；alias detection；misspecification/failure injection；tolerances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FAIL；T2/T3 BLOCKED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T2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tecto-only inference；matched baselines；sealed test；cNLPD/calibration；no outcome adaptation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FAIL；T3 BLOCKED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T3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Φ* set/interval；coverage_target；frozen width threshold；worst-operator sensitivity；ranking；claim label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criterion 超限即 FAIL；no operator-robust claim unlock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Q0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SRA/Figshare v2/Zenodo/fixed Git commit；license；sizes；hashes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Q0=FAIL；Q1–Q5=BLOCKED；disposition=QMAP_NOT_ADMITTED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Q1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98 registry；1592/1493/277/98 denominators；name/orientation mapping；exact catalog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Q1=FAIL；Q2–Q5=BLOCKED；disposition=QMAP_NOT_ADMITTED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Q2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84/11/2/1；5 mM exception；4-cluster intersection；all reasons/IDs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Q2=FAIL；Q3–Q5=BLOCKED；disposition=QMAP_NOT_ADMITTED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Q3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98 endpoint replay；curves/uncertainty/reasons；frozen per-value tolerance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Q3=FAIL；Q4/Q5=BLOCKED；disposition=QMAP_NOT_ADMITTED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Q4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selection audit；mutation graph split；primary choices/power/controls frozen；no tecto feedback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Q4=FAIL；Q5=BLOCKED；disposition=NOT_ADJUDICATED；强跨系统关闭</w:t>
            </w:r>
          </w:p>
        </w:tc>
      </w:tr>
      <w:t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Q5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locked baselines/method；proper score/ranking/coverage/width/calibration；controls/sensitivity；PASS 后 disposition=QMAP_TRANSFER_SUPPORTED / QMAP_TRANSFER_NOT_SUPPORTED / QMAP_INCONCLUSIVE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Q5=FAIL；disposition=NOT_ADJUDICATED；强跨系统关闭</w:t>
            </w:r>
          </w:p>
        </w:tc>
      </w:tr>
    </w:tbl>
    <w:p>
      <w:pPr>
        <w:spacing w:after="40"/>
      </w:pPr>
    </w:p>
    <w:p>
      <w:pPr>
        <w:pStyle w:val="Heading1"/>
      </w:pPr>
      <w:bookmarkStart w:id="119" w:name="v12_section_20"/>
      <w:r>
        <w:rPr>
          <w:rFonts w:ascii="Arial" w:hAnsi="Arial" w:eastAsia="Arial Unicode MS" w:cs="Arial"/>
          <w:b/>
          <w:color w:val="9B1C1C"/>
          <w:sz w:val="20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32"/>
        </w:rPr>
        <w:t>附录 D｜v1.1 B0–B12 到 v1.2 的迁移映射</w:t>
      </w:r>
      <w:bookmarkEnd w:id="119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368"/>
        <w:gridCol w:w="4104"/>
        <w:gridCol w:w="4176"/>
      </w:tblGrid>
      <w:tr>
        <w:trPr>
          <w:tblHeader w:val="true"/>
          <w:cantSplit/>
        </w:trPr>
        <w:tc>
          <w:tcPr>
            <w:tcW w:type="dxa" w:w="136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v1.1</w:t>
            </w:r>
          </w:p>
        </w:tc>
        <w:tc>
          <w:tcPr>
            <w:tcW w:type="dxa" w:w="410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v1.2 去向</w:t>
            </w:r>
          </w:p>
        </w:tc>
        <w:tc>
          <w:tcPr>
            <w:tcW w:type="dxa" w:w="41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状态/边界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B0 数据复现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T0/T1 data admission + cleaning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 tecto；current-DMS 不再是 Gate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B0.5 四规格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S0 + M0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拆分 estimand/operator/symmetry 与合成识别测试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B1 tecto baseline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T2 L1/L2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保留；censor/group aware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B2 normalized forward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T2 L3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保留；必须 M0 PASS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B3 operator ensemble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T2/T3 L4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保留并强化外部依据/校准/holdout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B4 robust functional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T3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唯一 Φ*；interval/identified set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B5 global alias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M0/T2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保留；局部 Fisher 只作诊断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B6 DMS observation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关闭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current-DMS formal labels 不准入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B7 DMS increment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关闭；qMaP Q5 取代为不同 endpoint 的 transfer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不得声称同一 estimand 增量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B8 uncertainty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T2/T3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 calibration/coverage/width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B9 multi-state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conditional annex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不作为核心成功条件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B10 target validation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T3 held-out ranking/functional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保留一个 primary target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B11 sequence deployment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T3 后 optional sequence-only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删除 +DMS-at-test；frozen LM 仅 baseline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B12 downstream structure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conditional annex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需另行 task freeze；非核心 Gate</w:t>
            </w:r>
          </w:p>
        </w:tc>
      </w:tr>
    </w:tbl>
    <w:p>
      <w:pPr>
        <w:spacing w:after="40"/>
      </w:pPr>
    </w:p>
    <w:p>
      <w:pPr>
        <w:pStyle w:val="Heading1"/>
      </w:pPr>
      <w:bookmarkStart w:id="120" w:name="v12_section_21"/>
      <w:r>
        <w:rPr>
          <w:rFonts w:ascii="Arial" w:hAnsi="Arial" w:eastAsia="Arial Unicode MS" w:cs="Arial"/>
          <w:b/>
          <w:color w:val="9B1C1C"/>
          <w:sz w:val="20"/>
        </w:rPr>
        <w:t xml:space="preserve">[新增] </w:t>
      </w:r>
      <w:r>
        <w:rPr>
          <w:rFonts w:ascii="Arial" w:hAnsi="Arial" w:eastAsia="Arial Unicode MS" w:cs="Arial"/>
          <w:b/>
          <w:color w:val="2E74B5"/>
          <w:sz w:val="32"/>
        </w:rPr>
        <w:t>附录 E｜敌对审稿问题与 claim boundary</w:t>
      </w:r>
      <w:bookmarkEnd w:id="120"/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1,687、1,713、1,636 分别是哪一层数据？每个差集的 ID 和原因在哪里？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−7.1 kcal/mol 是哪一方向的删失？raw field、符号变换和 likelihood 如何 round-trip？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flow pieces、replicates、conditions 和 fingerprint dimensions 为何不是独立 N？effective N 如何计算？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motif–construct–scaffold–study graph 是否存在巨型 component？outer test 真正独立在哪里？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K* 与 target condition 为什么在 outcome 前冻结？换 K* 后主结论是否反转？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每个 operator range 的外部依据、单位、calibration material 和 holdout 是什么？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为何只给 point estimate，而不是 operator-robust identified set、coverage 和 width？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frozen RNA LM 是否在 pretraining 中见过 test exact sequence、family 或 PDB/template？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current DMS 缺少 crosswalk，为什么没有任何 hidden use 于 feature、split、threshold 或 error analysis？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qMaP 98 是如何从 1,592/1,493/277 形成？selected、censored 和 structural-failure 是否系统不同？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qMaP 的 84 complete cases 为何不是无偏 validation set？11 censored 与 3 structural-QC 如何进入分析？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首个 25-construct library 的 5 mM 点与 4-variant atypical cluster 如何进入 attrition ledger？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Bonilla names 与 qMaP names 方向翻转如何证明 mapping，而不是靠文件名/相关性猜测？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Bonilla/Shin/Yesselman 为何只算一个 platform cluster？独立系统到底在哪里？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PRIME 的 49 A + 21 C 为什么不是 70 个独立样本？它对本方法真正 falsify 什么？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qMaP negative/inconclusive 或 not admitted，论文标题、摘要和主张如何自动降级？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Φ* interval 太宽、只打平简单 baseline 或无真实 outer holdout，是否会按 stop rule 停止？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648"/>
      </w:tblGrid>
      <w:tr>
        <w:tc>
          <w:tcPr>
            <w:tcW w:type="dxa" w:w="9648"/>
            <w:shd w:fill="FFF6D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7A5A00"/>
                <w:sz w:val="19"/>
              </w:rPr>
              <w:t>审稿自检通过标准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每个问题都必须能指向 frozen spec、canonical manifest、ledger、checksum-verified artifact 和 outcome-blind decision record；仅用叙述性回答不构成通过。</w:t>
            </w:r>
          </w:p>
        </w:tc>
      </w:tr>
    </w:tbl>
    <w:p>
      <w:pPr>
        <w:spacing w:after="20"/>
      </w:pPr>
    </w:p>
    <w:sectPr>
      <w:headerReference w:type="default" r:id="rId38"/>
      <w:footerReference w:type="default" r:id="rId39"/>
      <w:footerReference w:type="first" r:id="rId40"/>
      <w:headerReference w:type="first" r:id="rId42"/>
      <w:pgSz w:w="12240" w:h="15840"/>
      <w:pgMar w:top="1296" w:right="1296" w:bottom="1224" w:left="1296" w:header="708" w:footer="708" w:gutter="0"/>
      <w:cols w:space="720"/>
      <w:titlePg/>
      <w:docGrid w:linePitch="360"/>
    </w:sectPr>
  </w:body>
</w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  <ns0:font ns0:name="Arial Unicode MS">
    <ns0:family ns0:val="swiss"/>
    <ns0:pitch ns0:val="variable"/>
  </ns0:font>
</ns0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Ind w:w="11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776"/>
      <w:gridCol w:w="1872"/>
    </w:tblGrid>
    <w:tr>
      <w:tc>
        <w:tcPr>
          <w:tcW w:type="dxa" w:w="7776"/>
        </w:tcPr>
        <w:p>
          <w:pPr>
            <w:jc w:val="left"/>
          </w:pPr>
          <w:r>
            <w:rPr>
              <w:rFonts w:ascii="Arial" w:hAnsi="Arial" w:eastAsia="Arial Unicode MS" w:cs="Arial"/>
              <w:color w:val="667085"/>
              <w:sz w:val="16"/>
            </w:rPr>
            <w:t>BLOCKED_AT_TECTO_DATA_ADMISSION · 2026-08-03</w:t>
          </w:r>
        </w:p>
      </w:tc>
      <w:tc>
        <w:tcPr>
          <w:tcW w:type="dxa" w:w="1872"/>
        </w:tcPr>
        <w:p>
          <w:pPr>
            <w:jc w:val="right"/>
          </w:pPr>
          <w:r>
            <w:rPr>
              <w:rFonts w:ascii="Arial" w:hAnsi="Arial" w:eastAsia="Arial Unicode MS" w:cs="Arial"/>
              <w:b/>
              <w:color w:val="2E74B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 w:eastAsia="Arial Unicode MS" w:cs="Arial"/>
              <w:b/>
              <w:color w:val="2E74B5"/>
              <w:sz w:val="17"/>
            </w:rPr>
            <w:t xml:space="preserve"> / </w:t>
          </w:r>
          <w:r>
            <w:rPr>
              <w:rFonts w:ascii="Arial" w:hAnsi="Arial" w:eastAsia="Arial Unicode MS" w:cs="Arial"/>
              <w:b/>
              <w:color w:val="2E74B5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 w:eastAsia="Arial Unicode MS" w:cs="Arial"/>
        <w:color w:val="667085"/>
        <w:sz w:val="17"/>
      </w:rPr>
      <w:t>研究立项审计 · v1.2 · 修订对照版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60"/>
      <w:jc w:val="right"/>
      <w:pBdr>
        <w:bottom w:val="single" w:sz="5" w:space="1" w:color="B8C8D8"/>
      </w:pBdr>
    </w:pPr>
    <w:r>
      <w:rPr>
        <w:rFonts w:ascii="Arial" w:hAnsi="Arial" w:eastAsia="Arial Unicode MS" w:cs="Arial"/>
        <w:b/>
        <w:color w:val="667085"/>
        <w:sz w:val="17"/>
      </w:rPr>
      <w:t>RNA JUNCTION PREORGANIZATION · RESEARCH CONTRACT v1.2 · DECISION REDLINE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Noto Sans CJK SC" w:hAnsi="Noto Sans CJK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2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2"/>
    </w:lvlOverride>
  </w:num>
  <w:num w:numId="16">
    <w:abstractNumId w:val="10"/>
    <w:lvlOverride w:ilvl="0">
      <w:startOverride w:val="3"/>
    </w:lvlOverride>
  </w:num>
  <w:num w:numId="17">
    <w:abstractNumId w:val="10"/>
    <w:lvlOverride w:ilvl="0">
      <w:startOverride w:val="4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2"/>
    </w:lvlOverride>
  </w:num>
  <w:num w:numId="20">
    <w:abstractNumId w:val="10"/>
    <w:lvlOverride w:ilvl="0">
      <w:startOverride w:val="3"/>
    </w:lvlOverride>
  </w:num>
  <w:num w:numId="21">
    <w:abstractNumId w:val="10"/>
    <w:lvlOverride w:ilvl="0">
      <w:startOverride w:val="4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2"/>
    </w:lvlOverride>
  </w:num>
  <w:num w:numId="24">
    <w:abstractNumId w:val="10"/>
    <w:lvlOverride w:ilvl="0">
      <w:startOverride w:val="3"/>
    </w:lvlOverride>
  </w:num>
  <w:num w:numId="25">
    <w:abstractNumId w:val="10"/>
    <w:lvlOverride w:ilvl="0">
      <w:startOverride w:val="4"/>
    </w:lvlOverride>
  </w:num>
  <w:num w:numId="26">
    <w:abstractNumId w:val="10"/>
    <w:lvlOverride w:ilvl="0">
      <w:startOverride w:val="5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2"/>
    </w:lvlOverride>
  </w:num>
  <w:num w:numId="29">
    <w:abstractNumId w:val="10"/>
    <w:lvlOverride w:ilvl="0">
      <w:startOverride w:val="3"/>
    </w:lvlOverride>
  </w:num>
  <w:num w:numId="30">
    <w:abstractNumId w:val="10"/>
    <w:lvlOverride w:ilvl="0">
      <w:startOverride w:val="4"/>
    </w:lvlOverride>
  </w:num>
  <w:num w:numId="31">
    <w:abstractNumId w:val="10"/>
    <w:lvlOverride w:ilvl="0">
      <w:startOverride w:val="5"/>
    </w:lvlOverride>
  </w:num>
  <w:num w:numId="32">
    <w:abstractNumId w:val="10"/>
    <w:lvlOverride w:ilvl="0">
      <w:startOverride w:val="6"/>
    </w:lvlOverride>
  </w:num>
  <w:num w:numId="33">
    <w:abstractNumId w:val="10"/>
    <w:lvlOverride w:ilvl="0">
      <w:startOverride w:val="7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2"/>
    </w:lvlOverride>
  </w:num>
  <w:num w:numId="36">
    <w:abstractNumId w:val="10"/>
    <w:lvlOverride w:ilvl="0">
      <w:startOverride w:val="3"/>
    </w:lvlOverride>
  </w:num>
  <w:num w:numId="37">
    <w:abstractNumId w:val="10"/>
    <w:lvlOverride w:ilvl="0">
      <w:startOverride w:val="4"/>
    </w:lvlOverride>
  </w:num>
  <w:num w:numId="38">
    <w:abstractNumId w:val="10"/>
    <w:lvlOverride w:ilvl="0">
      <w:startOverride w:val="5"/>
    </w:lvlOverride>
  </w:num>
  <w:num w:numId="39">
    <w:abstractNumId w:val="10"/>
    <w:lvlOverride w:ilvl="0">
      <w:startOverride w:val="6"/>
    </w:lvlOverride>
  </w:num>
  <w:num w:numId="40">
    <w:abstractNumId w:val="10"/>
    <w:lvlOverride w:ilvl="0">
      <w:startOverride w:val="7"/>
    </w:lvlOverride>
  </w:num>
  <w:num w:numId="41">
    <w:abstractNumId w:val="10"/>
    <w:lvlOverride w:ilvl="0">
      <w:startOverride w:val="8"/>
    </w:lvlOverride>
  </w:num>
  <w:num w:numId="42">
    <w:abstractNumId w:val="10"/>
    <w:lvlOverride w:ilvl="0">
      <w:startOverride w:val="9"/>
    </w:lvlOverride>
  </w:num>
  <w:num w:numId="43">
    <w:abstractNumId w:val="10"/>
    <w:lvlOverride w:ilvl="0">
      <w:startOverride w:val="10"/>
    </w:lvlOverride>
  </w:num>
  <w:num w:numId="44">
    <w:abstractNumId w:val="10"/>
    <w:lvlOverride w:ilvl="0">
      <w:startOverride w:val="11"/>
    </w:lvlOverride>
  </w:num>
  <w:num w:numId="45">
    <w:abstractNumId w:val="10"/>
    <w:lvlOverride w:ilvl="0">
      <w:startOverride w:val="12"/>
    </w:lvlOverride>
  </w:num>
  <w:num w:numId="46">
    <w:abstractNumId w:val="10"/>
    <w:lvlOverride w:ilvl="0">
      <w:startOverride w:val="1"/>
    </w:lvlOverride>
  </w:num>
  <w:num w:numId="47">
    <w:abstractNumId w:val="10"/>
    <w:lvlOverride w:ilvl="0">
      <w:startOverride w:val="2"/>
    </w:lvlOverride>
  </w:num>
  <w:num w:numId="48">
    <w:abstractNumId w:val="10"/>
    <w:lvlOverride w:ilvl="0">
      <w:startOverride w:val="3"/>
    </w:lvlOverride>
  </w:num>
  <w:num w:numId="49">
    <w:abstractNumId w:val="10"/>
    <w:lvlOverride w:ilvl="0">
      <w:startOverride w:val="4"/>
    </w:lvlOverride>
  </w:num>
  <w:num w:numId="50">
    <w:abstractNumId w:val="10"/>
    <w:lvlOverride w:ilvl="0">
      <w:startOverride w:val="5"/>
    </w:lvlOverride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updateFields ns0:val="true"/>
  <ns0:zoom ns0:val="bestFit"/>
  <ns0:proofState ns0:spelling="clean" ns0:grammar="clean"/>
  <ns0:defaultTabStop ns0:val="720"/>
  <ns0:characterSpacingControl ns0:val="doNotCompress"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Rule="auto" w:line="298"/>
    </w:pPr>
    <w:rPr>
      <w:rFonts w:ascii="Arial" w:hAnsi="Arial" w:eastAsia="Arial Unicode MS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180"/>
      <w:outlineLvl w:val="0"/>
    </w:pPr>
    <w:rPr>
      <w:rFonts w:asciiTheme="majorHAnsi" w:eastAsiaTheme="majorEastAsia" w:hAnsiTheme="majorHAnsi" w:cstheme="majorBidi" w:ascii="Arial" w:hAnsi="Arial" w:eastAsia="Arial Unicode MS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 Unicode MS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Arial Unicode MS" w:cs="Arial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contextualSpacing/>
    </w:pPr>
    <w:rPr>
      <w:rFonts w:ascii="Arial" w:hAnsi="Arial" w:eastAsia="Arial Unicode MS" w:cs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8" w:lineRule="auto"/>
      <w:contextualSpacing/>
    </w:pPr>
    <w:rPr>
      <w:rFonts w:ascii="Arial" w:hAnsi="Arial" w:eastAsia="Arial Unicode MS" w:cs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contextualSpacing/>
    </w:pPr>
    <w:rPr>
      <w:rFonts w:ascii="Arial" w:hAnsi="Arial" w:eastAsia="Arial Unicode MS" w:cs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Arial" w:hAnsi="Arial" w:eastAsia="Arial Unicode MS" w:cs="Arial"/>
      <w:b/>
      <w:bCs/>
      <w:i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Label">
    <w:name w:val="Document Label"/>
    <w:pPr>
      <w:spacing w:after="160"/>
    </w:pPr>
    <w:rPr>
      <w:rFonts w:ascii="Noto Sans CJK SC" w:hAnsi="Noto Sans CJK SC" w:eastAsia="Noto Sans CJK SC"/>
      <w:b/>
      <w:color w:val="2E74B5"/>
      <w:sz w:val="18"/>
    </w:rPr>
  </w:style>
  <w:style w:type="paragraph" w:customStyle="1" w:styleId="TableText">
    <w:name w:val="Table Text"/>
    <w:pPr>
      <w:spacing w:before="0" w:after="40" w:line="252" w:lineRule="auto"/>
    </w:pPr>
    <w:rPr>
      <w:rFonts w:ascii="Noto Sans CJK SC" w:hAnsi="Noto Sans CJK SC" w:eastAsia="Noto Sans CJK SC"/>
      <w:sz w:val="17"/>
    </w:rPr>
  </w:style>
  <w:style w:type="paragraph" w:customStyle="1" w:styleId="TableHeader">
    <w:name w:val="Table Header"/>
    <w:pPr>
      <w:spacing w:before="0" w:after="40" w:line="240" w:lineRule="auto"/>
    </w:pPr>
    <w:rPr>
      <w:rFonts w:ascii="Noto Sans CJK SC" w:hAnsi="Noto Sans CJK SC" w:eastAsia="Noto Sans CJK SC"/>
      <w:b/>
      <w:color w:val="1F4D78"/>
      <w:sz w:val="17"/>
    </w:rPr>
  </w:style>
  <w:style w:type="paragraph" w:customStyle="1" w:styleId="ContractSubtitle">
    <w:name w:val="Contract Subtitle"/>
    <w:pPr>
      <w:spacing w:after="300"/>
    </w:pPr>
    <w:rPr>
      <w:rFonts w:ascii="Arial" w:hAnsi="Arial" w:eastAsia="Arial Unicode MS" w:cs="Arial"/>
      <w:i/>
      <w:color w:val="667085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10" Type="http://schemas.openxmlformats.org/officeDocument/2006/relationships/hyperlink" Target="https://doi.org/10.1016/j.cell.2018.05.038" TargetMode="External" /><Relationship Id="rId11" Type="http://schemas.openxmlformats.org/officeDocument/2006/relationships/hyperlink" Target="https://pmc.ncbi.nlm.nih.gov/articles/PMC6053692/" TargetMode="External" /><Relationship Id="rId12" Type="http://schemas.openxmlformats.org/officeDocument/2006/relationships/hyperlink" Target="https://doi.org/10.1093/nar/gkag672" TargetMode="External" /><Relationship Id="rId17" Type="http://schemas.openxmlformats.org/officeDocument/2006/relationships/hyperlink" Target="https://pmc.ncbi.nlm.nih.gov/articles/PMC6708322/" TargetMode="External" /><Relationship Id="rId19" Type="http://schemas.openxmlformats.org/officeDocument/2006/relationships/hyperlink" Target="https://pmc.ncbi.nlm.nih.gov/articles/PMC8379967/" TargetMode="External" /><Relationship Id="rId22" Type="http://schemas.openxmlformats.org/officeDocument/2006/relationships/hyperlink" Target="https://academic.oup.com/nar/article/52/16/9953/7724680" TargetMode="External" /><Relationship Id="rId38" Type="http://schemas.openxmlformats.org/officeDocument/2006/relationships/header" Target="header1.xml" /><Relationship Id="rId39" Type="http://schemas.openxmlformats.org/officeDocument/2006/relationships/footer" Target="footer1.xml" /><Relationship Id="rId40" Type="http://schemas.openxmlformats.org/officeDocument/2006/relationships/footer" Target="footer2.xml" /><Relationship Id="rId42" Type="http://schemas.openxmlformats.org/officeDocument/2006/relationships/header" Target="header2.xml" /><Relationship Id="rId43" Type="http://schemas.openxmlformats.org/officeDocument/2006/relationships/hyperlink" Target="https://pmc.ncbi.nlm.nih.gov/articles/PMC11381326/" TargetMode="External" /><Relationship Id="rId44" Type="http://schemas.openxmlformats.org/officeDocument/2006/relationships/hyperlink" Target="https://pmc.ncbi.nlm.nih.gov/articles/PMC10243134/" TargetMode="External" /><Relationship Id="rId45" Type="http://schemas.openxmlformats.org/officeDocument/2006/relationships/hyperlink" Target="https://pmc.ncbi.nlm.nih.gov/articles/PMC12873924/" TargetMode="External" /><Relationship Id="rId46" Type="http://schemas.openxmlformats.org/officeDocument/2006/relationships/hyperlink" Target="https://www.ncbi.nlm.nih.gov/bioproject/PRJNA1086549" TargetMode="External" /><Relationship Id="rId47" Type="http://schemas.openxmlformats.org/officeDocument/2006/relationships/hyperlink" Target="https://figshare.com/articles/dataset/data/25331758" TargetMode="External" /><Relationship Id="rId48" Type="http://schemas.openxmlformats.org/officeDocument/2006/relationships/hyperlink" Target="https://zenodo.org/records/11672684" TargetMode="External" /><Relationship Id="rId49" Type="http://schemas.openxmlformats.org/officeDocument/2006/relationships/hyperlink" Target="https://github.com/YesselmanLabPublications/2024_qmap_paper" TargetMode="External" /><Relationship Id="rId50" Type="http://schemas.openxmlformats.org/officeDocument/2006/relationships/hyperlink" Target="https://zenodo.org/records/18398129" TargetMode="External" /><Relationship Id="rId51" Type="http://schemas.openxmlformats.org/officeDocument/2006/relationships/hyperlink" Target="https://github.com/LucksLab/ner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49</ns0:Pages>
  <ns0:Words>14503</ns0:Words>
  <ns0:Characters>52032</ns0:Characters>
  <ns0:Application>Microsoft Macintosh Word</ns0:Application>
  <ns0:DocSecurity>0</ns0:DocSecurity>
  <ns0:Lines>706</ns0:Lines>
  <ns0:Paragraphs>377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56503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RNA Junction Preorganization Research Contract v1.2 — Decision Redline</dc:title>
  <dc:subject>tectoRNA-first target-specific thermodynamic functional contract</dc:subject>
  <dc:creator/>
  <cp:keywords>tectoRNA, qMaPseq, partial identification, research contract</cp:keywords>
  <dc:description>Full v1.2 rewrite from the retained v1.1 contract; current DMS is closed for scientific labels, tectoRNA is primary, and qMaPseq is a locked strong-manuscript gate.</dc:description>
  <cp:lastModifiedBy/>
  <cp:revision>1</cp:revision>
  <dcterms:created xsi:type="dcterms:W3CDTF">2026-08-03T00:00:00Z</dcterms:created>
  <dcterms:modified xsi:type="dcterms:W3CDTF">2026-08-03T00:00:00Z</dcterms:modified>
  <cp:category/>
</cp:coreProperties>
</file>