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40"/>
      </w:pPr>
      <w:r>
        <w:rPr>
          <w:rFonts w:ascii="Arial" w:hAnsi="Arial" w:eastAsia="Arial Unicode MS" w:cs="Arial"/>
          <w:b/>
          <w:color w:val="2E74B5"/>
          <w:sz w:val="22"/>
        </w:rPr>
        <w:t>RESEARCH CONTRACT / TECTO-FIRST / v1.2</w:t>
      </w:r>
    </w:p>
    <w:p>
      <w:pPr>
        <w:spacing w:after="120"/>
      </w:pPr>
      <w:r>
        <w:rPr>
          <w:rFonts w:ascii="Arial" w:hAnsi="Arial" w:eastAsia="Arial Unicode MS" w:cs="Arial"/>
          <w:b/>
          <w:color w:val="2E74B5"/>
          <w:sz w:val="60"/>
        </w:rPr>
        <w:t>RNA 两向连接区预组织</w:t>
      </w:r>
    </w:p>
    <w:p>
      <w:pPr>
        <w:spacing w:after="360"/>
      </w:pPr>
      <w:r>
        <w:rPr>
          <w:rFonts w:ascii="Arial" w:hAnsi="Arial" w:eastAsia="Arial Unicode MS" w:cs="Arial"/>
          <w:b/>
          <w:color w:val="1F4D78"/>
          <w:sz w:val="44"/>
        </w:rPr>
        <w:t>tectoRNA-first 稳健部分辨识研究合同</w:t>
      </w:r>
    </w:p>
    <w:p>
      <w:pPr>
        <w:pStyle w:val="ContractSubtitle"/>
      </w:pPr>
      <w:r>
        <w:rPr>
          <w:rFonts w:ascii="Arial" w:hAnsi="Arial" w:eastAsia="Arial Unicode MS" w:cs="Arial"/>
          <w:i/>
          <w:color w:val="667085"/>
          <w:sz w:val="25"/>
        </w:rPr>
        <w:t>Target-Specific Thermodynamic Functional, Operator-Robust Identification, and a Locked qMaPseq Transfer Test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888"/>
        <w:gridCol w:w="5760"/>
      </w:tblGrid>
      <w:tr>
        <w:trPr>
          <w:tblHeader w:val="true"/>
          <w:cantSplit/>
        </w:trPr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规范状态键</w:t>
            </w:r>
          </w:p>
        </w:tc>
        <w:tc>
          <w:tcPr>
            <w:tcW w:type="dxa" w:w="57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冻结值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CONTRACT_VERSION / DATE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v1.2 / 2026-08-03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CURRENT_OPERATIONAL_STATE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BLOCKED_AT_TECTO_DATA_ADMISSION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CURRENT_SCIENTIFIC_DISPOSITION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CONDITIONAL_CANDIDATE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CURRENT_DMS_CROSSWALK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ASSUMED_PERMANENTLY_UNAVAILABLE_V1_2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CURRENT_DMS_PRIMARY_LABELS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CURRENT_DMS_REPLAY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ENGINEERING_EVIDENCE_ONLY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CURRENT_DMS_JOINT_TRANSPORT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QMAPSEQ_ROLE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MANDATORY_COMPLETION_GATE_FOR_STRONG_MANUSCRIPT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SCIENTIFIC_UNLOCK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NO_UNLOCK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SCIENTIFIC_UNLOCK = NO_UNLOCK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当前阻塞点只属于 tectoRNA 数据准入。关闭的 current-DMS 分支不再阻塞 T0–T3；qMaPseq 决定强跨系统论文主张是否开放，但不是 tecto 主线的 unlock gate。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v1.2 中“永久不可得”仅指当前 DMS crosswalk 在本合同版本内被永久视为不可得。未来若意外获得权威 crosswalk，必须建立新合同版本和 parent-linked 新 run；不得回填旧 manifest、改写历史失败或把旧证据追认为 PASS。</w:t>
      </w:r>
    </w:p>
    <w:p>
      <w:pPr>
        <w:keepNext w:val="0"/>
        <w:spacing w:after="0"/>
      </w:pPr>
      <w:r>
        <w:rPr>
          <w:rFonts w:ascii="Arial" w:hAnsi="Arial" w:eastAsia="Arial Unicode MS" w:cs="Arial"/>
          <w:i/>
          <w:color w:val="667085"/>
          <w:sz w:val="17"/>
        </w:rPr>
        <w:t>本次授权仅限本地 clean/redline/decision log；不修改远端、不提交、不 push。</w:t>
      </w:r>
    </w:p>
    <w:p>
      <w:pPr>
        <w:pStyle w:val="Heading1"/>
      </w:pPr>
      <w:r>
        <w:rPr>
          <w:rFonts w:ascii="Arial" w:hAnsi="Arial" w:eastAsia="Arial Unicode MS" w:cs="Arial"/>
          <w:b/>
          <w:color w:val="2E74B5"/>
          <w:sz w:val="32"/>
        </w:rPr>
        <w:t>内容导览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667085"/>
          <w:sz w:val="18"/>
        </w:rPr>
        <w:t>本目录为交付时冻结的静态页码索引；正文层级同时使用真实 Heading 样式，便于在 Word 中继续维护。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8784"/>
        <w:gridCol w:w="864"/>
      </w:tblGrid>
      <w:tr>
        <w:trPr>
          <w:tblHeader w:val="true"/>
          <w:cantSplit/>
        </w:trPr>
        <w:tc>
          <w:tcPr>
            <w:tcW w:type="dxa" w:w="87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章节</w:t>
            </w:r>
          </w:p>
        </w:tc>
        <w:tc>
          <w:tcPr>
            <w:tcW w:type="dxa" w:w="8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页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1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0. 文档权威、当前状态与使用规则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2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1. 执行摘要与最终授权边界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3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2. 科学问题、唯一主估计量与创新边界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4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3. v1.2 双支 DAG、依赖与状态转换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5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4. 核心规格文件与权威 registry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6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5. 当前 DMS 关闭分支与历史负面证据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7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6. tectoRNA 数据准入、完整清洗与有效 N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8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7. 模型复杂度阶梯与下游任务边界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09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8. 评测、统计、泄漏与不确定性合同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0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9. qMaPseq 强论文必做第二系统 Gate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26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1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10. 预训练数据、外部资源与竞争方法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2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11. 论文主张矩阵、发表路线与停止规则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3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12. 运行治理、manifest、可复现与变更控制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4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13. Gate 产物、交付物与验收测试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5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14. 最终决策与下一步授权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6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参考文献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7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A｜Machine-readable status specification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8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B｜CanonicalStateManifest 与 ledger schema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19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C｜T0–T3 / Q0–Q5 Gate checklist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20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D｜v1.1 B0–B12 到 v1.2 的迁移映射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87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hyperlink w:anchor="v12_section_21" w:history="1">
              <w:r>
                <w:rPr>
                  <w:rFonts w:ascii="Arial" w:hAnsi="Arial" w:eastAsia="Arial Unicode MS" w:cs="Arial"/>
                  <w:color w:val="1F4D78"/>
                  <w:sz w:val="17"/>
                  <w:u w:val="none"/>
                </w:rPr>
                <w:t>附录 E｜敌对审稿问题与 claim boundary</w:t>
              </w:r>
            </w:hyperlink>
          </w:p>
        </w:tc>
        <w:tc>
          <w:tcPr>
            <w:tcW w:type="dxa" w:w="8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47</w:t>
            </w:r>
          </w:p>
        </w:tc>
      </w:tr>
    </w:tbl>
    <w:p>
      <w:pPr>
        <w:spacing w:after="40"/>
      </w:pPr>
    </w:p>
    <w:p>
      <w:pPr>
        <w:pStyle w:val="Heading1"/>
      </w:pPr>
      <w:bookmarkStart w:id="100" w:name="v12_section_01"/>
      <w:r>
        <w:rPr>
          <w:rFonts w:ascii="Arial" w:hAnsi="Arial" w:eastAsia="Arial Unicode MS" w:cs="Arial"/>
          <w:b/>
          <w:color w:val="2E74B5"/>
          <w:sz w:val="32"/>
        </w:rPr>
        <w:t>0. 文档权威、当前状态与使用规则</w:t>
      </w:r>
      <w:bookmarkEnd w:id="100"/>
    </w:p>
    <w:p>
      <w:pPr>
        <w:keepNext w:val="0"/>
        <w:spacing w:after="120"/>
      </w:pPr>
      <w:r>
        <w:rPr>
          <w:rFonts w:ascii="Arial" w:hAnsi="Arial" w:eastAsia="Arial Unicode MS" w:cs="Arial"/>
          <w:b/>
          <w:color w:val="111111"/>
          <w:sz w:val="21"/>
        </w:rPr>
        <w:t>本合同</w:t>
      </w:r>
      <w:r>
        <w:rPr>
          <w:rFonts w:ascii="Arial" w:hAnsi="Arial" w:eastAsia="Arial Unicode MS" w:cs="Arial"/>
          <w:i w:val="0"/>
          <w:color w:val="111111"/>
          <w:sz w:val="21"/>
        </w:rPr>
        <w:t>是 RNA Junction Preorganization 项目 v1.2 的唯一科学与执行边界。它替代 v1.1 的 operational authority，但不删除、不改写 v1.1 及其历史 run、manifest、失败证据或工程 replay。所有后续实现必须先绑定本合同的 SHA-256，再绑定代码 commit、run ID、parent ID 和 CanonicalStateManifest。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0.1 当前冻结状态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3672"/>
        <w:gridCol w:w="2880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状态键</w:t>
            </w:r>
          </w:p>
        </w:tc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冻结值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执行含义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CURRENT_OPERATIONAL_STATE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BLOCKED_AT_TECTO_DATA_ADMISSION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真实标签建模尚未获准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CURRENT_SCIENTIFIC_DISPOSITION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CONDITIONAL_CANDIDATE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保留科学候选资格，不等于 GO 或可发表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CURRENT_DMS_CROSSWALK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ASSUMED_PERMANENTLY_UNAVAILABLE_V1_2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v1.2 内不等待、不推断、不重复恢复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CURRENT_DMS_PRIMARY_LABELS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NOT_ADMITTED_FINAL_V1_2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不得进入正式拟合、split、阈值或效果量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CURRENT_DMS_REPLAY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ENGINEERING_EVIDENCE_ONLY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只能证明指定工程 replay，不构成科学 admission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CURRENT_DMS_JOINT_TRANSPORT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CLOSED_NOT_AUTHORIZED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不得启动 current-DMS joint transport/science benchmark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QMAPSEQ_ROLE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MANDATORY_COMPLETION_GATE_FOR_STRONG_MANUSCRIPT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完成可为 supported、not supported 或 inconclusive；不要求阳性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SCIENTIFIC_UNLOCK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NO_UNLOCK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无模型训练、机制结论或投稿级泛化主张解锁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0.2 权威优先级与 stale 规则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1. </w:t>
      </w:r>
      <w:r>
        <w:rPr>
          <w:rFonts w:ascii="Arial" w:hAnsi="Arial" w:eastAsia="Arial Unicode MS" w:cs="Arial"/>
          <w:sz w:val="20"/>
        </w:rPr>
        <w:t>经 finalizer 签名并与合同 hash、代码 commit、run/parent lineage 一致的 CanonicalStateManifest。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2. </w:t>
      </w:r>
      <w:r>
        <w:rPr>
          <w:rFonts w:ascii="Arial" w:hAnsi="Arial" w:eastAsia="Arial Unicode MS" w:cs="Arial"/>
          <w:sz w:val="20"/>
        </w:rPr>
        <w:t>CanonicalStateManifest 中列出的 checksum-verified artifacts 与 gate decision。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3. </w:t>
      </w:r>
      <w:r>
        <w:rPr>
          <w:rFonts w:ascii="Arial" w:hAnsi="Arial" w:eastAsia="Arial Unicode MS" w:cs="Arial"/>
          <w:sz w:val="20"/>
        </w:rPr>
        <w:t>被冻结且 freshness 校验通过的 derived manifest、CleaningLedger、ExposureRegistry 和 UncertaintySetRegistry。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4. </w:t>
      </w:r>
      <w:r>
        <w:rPr>
          <w:rFonts w:ascii="Arial" w:hAnsi="Arial" w:eastAsia="Arial Unicode MS" w:cs="Arial"/>
          <w:sz w:val="20"/>
        </w:rPr>
        <w:t>人类可读报告、Notebook、registry 快照和旧 status 文件。若与 canonical manifest 不一致，自动标记 `STALE_NOT_AUTHORITATIVE`。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禁止逆向修史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不得覆盖旧 run_state、旧 manifest、旧 crosswalk、旧 registry 或旧失败报告；不得把后续获得的信息回填到历史 run 后追认 PASS。新证据必须进入新版本、新 run、新 parent lineage。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0.3 v1.2 中“永久不可得”的精确定义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`ASSUMED_PERMANENTLY_UNAVAILABLE_V1_2` 是版本内封闭假设，不是对世界状态的永久断言。它的目的，是移除“等待原作者 crosswalk”这一不可控依赖，防止项目继续停留在无期限 Phase 0。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本版本不联系作者、不用相似度或相关性推断 row-level crosswalk、不重复跑同一恢复流程。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未来若出现权威 crosswalk，只能触发 v1.3 或更高版本的重新审计；v1.2 current-DMS 主标签状态保持最终不准入。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历史 RNA-MAP replay 永远保留为 engineering evidence；其 `NO_PHASE_0_PASS / NO_UNLOCK` 边界不得被修改。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0.4 本次交付和远端边界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本次合同重写只在本地生成 clean v1.2、决策级 redline 和 decision/claim log。未授权远端同步、仓库修改、commit、push、训练、数据下载或 Gate 执行。</w:t>
      </w:r>
    </w:p>
    <w:p>
      <w:pPr>
        <w:pStyle w:val="Heading1"/>
      </w:pPr>
      <w:bookmarkStart w:id="101" w:name="v12_section_02"/>
      <w:r>
        <w:rPr>
          <w:rFonts w:ascii="Arial" w:hAnsi="Arial" w:eastAsia="Arial Unicode MS" w:cs="Arial"/>
          <w:b/>
          <w:color w:val="2E74B5"/>
          <w:sz w:val="32"/>
        </w:rPr>
        <w:t>1. 执行摘要与最终授权边界</w:t>
      </w:r>
      <w:bookmarkEnd w:id="101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执行结论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项目继续作为 CONDITIONAL_CANDIDATE，但当前只允许 tectoRNA T0 数据准入审计与 qMaPseq Q0–Q3 并行准备。任何真实 tecto 标签建模必须等待 T0、S0、T1、M0 依次通过；qMaPseq 的结果不得反向修改已冻结的 tecto 选择。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1.0 冻结状态快照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888"/>
        <w:gridCol w:w="5760"/>
      </w:tblGrid>
      <w:tr>
        <w:trPr>
          <w:tblHeader w:val="true"/>
          <w:cantSplit/>
        </w:trPr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状态键</w:t>
            </w:r>
          </w:p>
        </w:tc>
        <w:tc>
          <w:tcPr>
            <w:tcW w:type="dxa" w:w="57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冻结值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CURRENT_OPERATIONAL_STATE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BLOCKED_AT_TECTO_DATA_ADMISSION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CURRENT_SCIENTIFIC_DISPOSITION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CONDITIONAL_CANDIDATE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CURRENT_DMS_CROSSWALK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ASSUMED_PERMANENTLY_UNAVAILABLE_V1_2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CURRENT_DMS_PRIMARY_LABELS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CURRENT_DMS_REPLAY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ENGINEERING_EVIDENCE_ONLY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CURRENT_DMS_JOINT_TRANSPORT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QMAPSEQ_ROLE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MANDATORY_COMPLETION_GATE_FOR_STRONG_MANUSCRIPT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SCIENTIFIC_UNLOCK</w:t>
            </w:r>
          </w:p>
        </w:tc>
        <w:tc>
          <w:tcPr>
            <w:tcW w:type="dxa" w:w="57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NO_UNLOCK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1.1 最大风险按优先级排序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691"/>
        <w:gridCol w:w="2232"/>
        <w:gridCol w:w="3528"/>
        <w:gridCol w:w="3197"/>
      </w:tblGrid>
      <w:tr>
        <w:trPr>
          <w:tblHeader w:val="true"/>
          <w:cantSplit/>
        </w:trPr>
        <w:tc>
          <w:tcPr>
            <w:tcW w:type="dxa" w:w="691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优先级</w:t>
            </w:r>
          </w:p>
        </w:tc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风险</w:t>
            </w:r>
          </w:p>
        </w:tc>
        <w:tc>
          <w:tcPr>
            <w:tcW w:type="dxa" w:w="352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为什么是根风险</w:t>
            </w:r>
          </w:p>
        </w:tc>
        <w:tc>
          <w:tcPr>
            <w:tcW w:type="dxa" w:w="3197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失败后的处置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1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数据是否可准入且能形成真实 outer holdout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1,687 文献分母与 1,713/1,636 本地分层未闭环；scaffold/construct/study 图可能形成巨型连通分量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若无可解释 blocked holdout，停止泛化论文路线；不以 random row split 补救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2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唯一 target functional 是否可识别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operator range、target kernel、symmetry frame 和删失语义可使点识别失败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报告 identified set/interval；若集合无信息量则停止 mechanism claim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3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有效 N 与标签依赖被高估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rows、flow pieces、replicates、conditions、reads 与同一 construct 不是独立样本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按 group-adjusted effective N、group bootstrap 和 power rule降级复杂度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4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qMaPseq 迁移检验的选择与 attrition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98 是强选择子集；84 complete cases、11 censored、3 structural-QC 以及 condition-level exclusion 不能混为一体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允许支持、阴性或不确定；资料不可准入则关闭强跨系统路线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5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模型复杂度抢在数据与识别之前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小 N、强依赖和 operator uncertainty 不能靠大型架构消除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固定小容量阶梯；大型多模态/自训练主线不授权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6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发表预期先于证据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阴性结果、数据审计或新模型名都不自动形成论文贡献</w:t>
            </w:r>
          </w:p>
        </w:tc>
        <w:tc>
          <w:tcPr>
            <w:tcW w:type="dxa" w:w="31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严格按 claim matrix 裁定标题、摘要和投稿类型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1.2 现在允许与禁止的动作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现在允许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现在禁止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T0：tecto source、license、schema、集合关系、raw→analysis attrition 的只读/可复现审计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任何 tecto 真实标签主模型拟合或阈值选择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Q0–Q3：qMaPseq integrity、98 registry、attrition/censoring、endpoint replay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用 qMaP test outcome 调整 tecto estimand、operator、split、阈值或模型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current DMS archive/design catalog、aggregate engineering QC、非生物学 simulator 压力测试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current DMS 作为 primary label、效果量、联合科学 likelihood 或 test-time input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准备规格模板、manifest schema、合成测试和 exposure audit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声称 SCIENTIFIC_UNLOCK、可发表、跨所有 junction 泛化或已完成独立验证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1.3 强论文路线的必要但非充分条件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T0–T3 全部通过，并且主结论来自冻结的 target-specific functional、blocked holdout 和 matched simple baselines。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qMaPseq Q0–Q5 分析完成；阳性不是完成条件，但 `QMAP_NOT_ADMITTED` 关闭强跨系统论文路线。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headline effect 均由 group-level uncertainty、censored proper score、coverage/calibration 和 exposure audit 支持。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论文标题与摘要严格服从第 11 节 claim matrix；完成合同不等于期刊接受。</w:t>
      </w:r>
    </w:p>
    <w:p>
      <w:pPr>
        <w:pStyle w:val="Heading1"/>
      </w:pPr>
      <w:bookmarkStart w:id="102" w:name="v12_section_03"/>
      <w:r>
        <w:rPr>
          <w:rFonts w:ascii="Arial" w:hAnsi="Arial" w:eastAsia="Arial Unicode MS" w:cs="Arial"/>
          <w:b/>
          <w:color w:val="2E74B5"/>
          <w:sz w:val="32"/>
        </w:rPr>
        <w:t>2. 科学问题、唯一主估计量与创新边界</w:t>
      </w:r>
      <w:bookmarkEnd w:id="102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2.1 唯一中心科学问题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648"/>
      </w:tblGrid>
      <w:tr>
        <w:tc>
          <w:tcPr>
            <w:tcW w:type="dxa" w:w="9648"/>
            <w:shd w:fill="EEF5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2E74B5"/>
                <w:sz w:val="19"/>
              </w:rPr>
              <w:t>Primary scientific question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在 Denny tectoRNA 的实验条件与数据支持范围内，冻结 target geometry、symmetry frame、删失模型和来源可辩护的 operator uncertainty 后，现有观测能否识别每个 two-way junction 对一个预先指定目标构象的 thermodynamic preorganization functional；不能点识别时，最窄且覆盖校准的 identified set 是什么？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本问题不要求恢复一个普适、完整、唯一的 RNA 构象能量面；也不把几何坐标、DMS reactivity、sequence embedding 或任一实验 latent state 当成同一个“真值”。每个 measurement operator 只能约束其正式定义的 observables 与目标泛函。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2.2 唯一主 estimand：target-specific thermodynamic functional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对 motif/construct x、冻结目标条件 c* 和规范化目标核 K*(q)∈[0,1]，令 p_x(q|c*) 为在允许物理模型与 operator 条件下的游离态构象分布。v1.2 的唯一主 estimand 定义为：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Primary estimand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Φ*x(c*) = − R T · log { ∫ K*(q) p_x(q | c*) dq 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special case: K*(q) = 1[q ∈ Ω*]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interpretation: target-specific preorganization penalty, not an absolute universal free energy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K*、c*、坐标单位、target geometry、标准态、边界和温度必须在 S0 冻结。硬区域 Ω* 只是 K* 的特例，不能在看到结果后在多个核之间择优。主文只能保留一个 K*、一个 c* 和一个 primary estimand。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2.3 归一化 tecto forward 与 operator 条件性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对每个 tecto probe/operator s，预测观测必须以游离态配分函数归一化，避免把 motif-specific 零点或刚度导致的构象熵误写成结合自由能。一个允许的抽象形式是：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Normalized tecto forward family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Z0_x(θ,c) = ∫ exp[−β E_x(q; θ,c)] dq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Zs_x(θ,U_s,c) = ∫ exp[−β {E_x(q;θ,c) + U_s(q;c)}] dq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ŷ_xs = offset_s(c) − R T · log { Zs_x / Z0_x 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U_s ∈ 𝒰_s; offsets, units, calibration materials and admissible range must be frozen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该 forward family 不是默认真实机制。它只有在 T0/S0/T1/M0 通过、operator sources 可审计且 synthetic identifiability 测试成功后，才可进入 T2。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2.4 点识别失败时的强制输出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Identified-set rule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I_x = { Φ*x(θ,U,η) : (θ,U,η) is data-compatible and passes frozen constraints 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report = [lower(I_x), upper(I_x)] + coverage + width + dominant uncertainty source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point estimate without identified-set audit = NOT_AUTHORIZED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S0 必须登记数值 coverage_target；T1 必须在查看模型/outer outcome 前登记 max_primary_width 或 max_width_to_MME_ratio、outer-group aggregation unit 和 worst-case operator 聚合规则。任一字段缺失时，M0/T2 不得解锁。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primary robustness PASS 当且仅当 worst-case admitted operator 下，group coverage 的预注册下界达到 coverage_target，且预注册 outer-group width statistic / minimum-meaningful-effect 不超过 max_width_to_MME_ratio（或等价的 max_primary_width）。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interval 超过冻结 width 门槛但诚实，结论是“当前数据不能决定”，T3 的 operator-robust criterion=FAIL，并按第 11 节降级；不得缩小 uncertainty set 追求显著。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operator-conditional 结果稳定而 operator-robust 结果不稳定，只允许 conditional claim。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target kernel 的选择主导结果，必须报告 kernel sensitivity，并降低为 target-definition-bound case study。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2.5 qMaPseq endpoint namespace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944"/>
        <w:gridCol w:w="4824"/>
        <w:gridCol w:w="2880"/>
      </w:tblGrid>
      <w:tr>
        <w:trPr>
          <w:tblHeader w:val="true"/>
          <w:cantSplit/>
        </w:trPr>
        <w:tc>
          <w:tcPr>
            <w:tcW w:type="dxa" w:w="194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命名空间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定义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不得混写为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Y_QMAP_PRIMARY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qMaPseq [Mg²⁺]1/2；16 点 titration 的 operational midpoint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Denny junction Φ*x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Y_QMAP_DERIVED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ΔG*qmap = −RT ln([Mg²⁺]1/2 / c°)，须冻结浓度单位与标准态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无下标的通用 ΔG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Y_RNAMAP_REFERENCE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Bonilla/RNA-MaP binding ΔG reference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qMaPseq 自身的独立真值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DMS_SUMMARY_QMAP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TL/TLR 位点 reactivity summary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current 7,500-construct DMS label 或 Denny functional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2.6 创新性：允许与不允许的来源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可形成创新的贡献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不能作为创新的叙事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在 uncertain tecto operators 下对 target functional 做可审计的 partial identification 与校准区间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给现有 RNA LM 加一个新 head 或换一个网络名字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 measurement units、censoring、interpolation、scaffold/context dependence 和 group graph 前置为 admission gate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 reads、titration points 或 replicate rows 当大 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在强选择 qMaP population 上执行预注册、censor-aware、不可反向调参的 cross-operator transfer test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 R²=0.64 写成相同 estimand 的独立复现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明确何时只能支持 tecto-specific、conditional 或 negative-boundary claim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把阴性结果本身写成可发表保证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CanonicalStateManifest 将 run lineage、gate、artifacts 和 freshness 统一为唯一状态源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用大型多模态 foundation model 掩盖数据与识别问题</w:t>
            </w:r>
          </w:p>
        </w:tc>
      </w:tr>
    </w:tbl>
    <w:p>
      <w:pPr>
        <w:spacing w:after="40"/>
      </w:pPr>
    </w:p>
    <w:p>
      <w:pPr>
        <w:pStyle w:val="Heading1"/>
      </w:pPr>
      <w:bookmarkStart w:id="103" w:name="v12_section_04"/>
      <w:r>
        <w:rPr>
          <w:rFonts w:ascii="Arial" w:hAnsi="Arial" w:eastAsia="Arial Unicode MS" w:cs="Arial"/>
          <w:b/>
          <w:color w:val="2E74B5"/>
          <w:sz w:val="32"/>
        </w:rPr>
        <w:t>3. v1.2 双支 DAG、依赖与状态转换</w:t>
      </w:r>
      <w:bookmarkEnd w:id="103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3.1 tectoRNA 主线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tecto branch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T0  tecto data admission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S0  estimand / operator / symmetry specification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T1  cleaning / QC / effective-N / split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M0  synthetic + operator-identification tests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T2  tecto-only inference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T3  target-specific thermodynamic functional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optional sequence-only deployment → manuscript claim adjudication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3.2 qMaPseq 第二系统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qMaPseq branch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Q0  integrity + license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Q1  98-variant registry + cross-source denominator reconstruction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Q2  construct-, condition-, and analysis-level attrition/censoring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Q3  endpoint replay with frozen tolerance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Q4  selection / split / analysis freeze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↓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Q5  locked transfer test + claim adjudication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3.3 依赖规则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376"/>
        <w:gridCol w:w="7272"/>
      </w:tblGrid>
      <w:tr>
        <w:trPr>
          <w:tblHeader w:val="true"/>
          <w:cantSplit/>
        </w:trPr>
        <w:tc>
          <w:tcPr>
            <w:tcW w:type="dxa" w:w="23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规则</w:t>
            </w:r>
          </w:p>
        </w:tc>
        <w:tc>
          <w:tcPr>
            <w:tcW w:type="dxa" w:w="72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强制含义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T0–T3 独立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不依赖 current DMS 或 qMaPseq；current-DMS 关闭不得阻塞 tecto。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Q0–Q3 可并行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可与 T0/S0/T1 并行，但不得查看或使用未冻结的 transfer 结果。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Q4/Q5 单向约束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不得修改已冻结的 tecto estimand、operator、模型、阈值、split 或主指标。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 非 unlock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qMaP 只裁定 cross-measurement-system、chemical-mapping thermodynamics 或 generalization 主张。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失败 fail closed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任一 Gate 未满足则该 Gate 及其后代保持 BLOCKED；不得跳过、降阈值或把 engineering replay 当 science PASS。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新证据新 lineage</w:t>
            </w:r>
          </w:p>
        </w:tc>
        <w:tc>
          <w:tcPr>
            <w:tcW w:type="dxa" w:w="72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任何修复必须创建新 run ID 和 parent-linked evidence；历史 run 保持原状态。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3.4 Gate 状态枚举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4824"/>
        <w:gridCol w:w="2592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字段/范围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允许状态</w:t>
            </w:r>
          </w:p>
        </w:tc>
        <w:tc>
          <w:tcPr>
            <w:tcW w:type="dxa" w:w="25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状态转换规则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T0/S0/T1/M0/T2/T3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PASS / FAIL / BLOCKED / NOT_STARTED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仅 PASS 解锁直接后代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qmap_gates.Q0–Q5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PASS / FAIL / BLOCKED / NOT_STARTED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Q4 需 Q0–Q3 PASS；Q5 需 Q0–Q4 PASS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qmap_terminal_disposition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NOT_ADJUDICATED / QMAP_TRANSFER_SUPPORTED / QMAP_TRANSFER_NOT_SUPPORTED / QMAP_INCONCLUSIVE / QMAP_NOT_ADMITTED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前三个 QMAP_TRANSFER_* / INCONCLUSIVE 表示 Q5 完成；NOT_ADMITTED 可由 Q0/Q1 admission failure 直接裁定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Manuscript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STRONG_CROSS_SYSTEM / TECTO_SPECIFIC / COMPARATIVE_ONLY / STOP_MECHANISM_ROUTE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由第 11 节矩阵唯一映射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qmap_gates 记录生命周期，qmap_terminal_disposition 记录论文裁定；两者不得混用。初始 disposition 必须为 NOT_ADJUDICATED。若 Q0–Q3 的 integrity/registry/attrition/replay 无法准入：失败 Gate=FAIL，后续 Gate=BLOCKED，disposition=QMAP_NOT_ADMITTED。若投稿裁定时 Q4/Q5 仍为 FAIL、BLOCKED 或 NOT_STARTED 且 disposition=NOT_ADJUDICATED，则强跨系统路线自动关闭：Tecto PASS 最多进入 TECTO_SPECIFIC，Tecto FAIL 进入 STOP_MECHANISM_ROUTE。</w:t>
      </w:r>
    </w:p>
    <w:p>
      <w:pPr>
        <w:pStyle w:val="Heading1"/>
      </w:pPr>
      <w:bookmarkStart w:id="104" w:name="v12_section_05"/>
      <w:r>
        <w:rPr>
          <w:rFonts w:ascii="Arial" w:hAnsi="Arial" w:eastAsia="Arial Unicode MS" w:cs="Arial"/>
          <w:b/>
          <w:color w:val="2E74B5"/>
          <w:sz w:val="32"/>
        </w:rPr>
        <w:t>4. 核心规格文件与权威 registry</w:t>
      </w:r>
      <w:bookmarkEnd w:id="104"/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规格文件不是填写表格即可 PASS。每个 spec 必须绑定来源证据、单位、适用范围、错误模型、校准材料、holdout、版本、hash、冻结时间和失败标签；若关键字段不可审计，则 Gate fail closed。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4.1 EstimandSpec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84"/>
        <w:gridCol w:w="4032"/>
        <w:gridCol w:w="2232"/>
      </w:tblGrid>
      <w:tr>
        <w:trPr>
          <w:tblHeader w:val="true"/>
          <w:cantSplit/>
        </w:trPr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必填字段</w:t>
            </w:r>
          </w:p>
        </w:tc>
        <w:tc>
          <w:tcPr>
            <w:tcW w:type="dxa" w:w="40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PASS 条件</w:t>
            </w:r>
          </w:p>
        </w:tc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失败标签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K* 或其唯一参数化、c*、温度、标准态、单位、target geometry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查看真实外层测试结果前冻结；只有一个 primary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ESTIMAND_NOT_UNIQUE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Φ*x 公式、计算域、参考态、边界条件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量纲一致；硬/软 target 映射可复现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ESTIMAND_DIMENSION_OR_REFERENCE_ERROR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点估计与 identified-set 输出规则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point-ID 失败时自动输出 interval/set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POINT_ESTIMATE_WITHOUT_IDENTIFICATION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 nuisance 与禁止 proxy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DMS、geometry、embedding 均不被等同 latent truth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PROXY_AS_TRUTH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metric 与最小有意义效应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在外层结果前按 T1 power 冻结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OUTCOME_ADAPTIVE_THRESHOLD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coverage_target；max_primary_width 或 max_width_to_MME_ratio；group aggregation；worst-case operator rule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S0/T1 outcome-blind 数值冻结；缺一项不得解锁 M0/T2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OPERATOR_ROBUSTNESS_CRITERION_NOT_FROZEN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4.2 OperatorUncertaintySpec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12"/>
        <w:gridCol w:w="4248"/>
        <w:gridCol w:w="2088"/>
      </w:tblGrid>
      <w:tr>
        <w:trPr>
          <w:tblHeader w:val="true"/>
          <w:cantSplit/>
        </w:trPr>
        <w:tc>
          <w:tcPr>
            <w:tcW w:type="dxa" w:w="33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每个 operator range 必须绑定</w:t>
            </w:r>
          </w:p>
        </w:tc>
        <w:tc>
          <w:tcPr>
            <w:tcW w:type="dxa" w:w="42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最低证据</w:t>
            </w:r>
          </w:p>
        </w:tc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仅写 uncertainty set 是否 PASS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物理来源、单位、参数范围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原论文/结构/外部校准或明确假设层级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误差与相关结构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replicate/bootstrap/covariance 或可审计替代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适用 construct/scaffold/condition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不能跨范围无条件 transport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校准材料与 operator holdout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至少一个不参与拟合的校准/检验来源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sensitivity result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range 内 conclusion stability、coverage、width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4.3 SymmetryFrameSpec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strand order、5′→3′方向、motif boundary、flank 规则、helix reference frame 和 target geometry frame。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reciprocal/strand-swap/symmetry equivalence 的 group action，以及 sequence、local coordinate、parameter 和 target kernel 的协变规则。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round-trip 必须恢复原 canonical ID、sequence、frame、operator index 与 target kernel；字符串去重不能替代 frame 等价。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symmetry-equivalent observations 必须在同一 outer group；不得跨 fold。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4.4 AssayTransportSpec-current-DMS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67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status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N/A_CLOSED_NO_CROSSWALK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primary labels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joint transport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recovery path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NONE_IN_V1_2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allowed use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archive/design catalog、aggregate engineering QC、non-biological stress tests、negative provenance case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scientific gate effect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NONE_ON_T0_TO_T3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4.5 AssayTransportSpec-qMaPseq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qMaPseq 规格只描述 TL/TLR–Mg²⁺系统中的 operational contact stability、[Mg²⁺]1/2、DMS summaries 与 RNA-MaP reference binding ΔG 的关系。它不与 Denny junction functional 共享 latent q。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输入域：经过 Q1/Q2 锁定的 98 variants、16 个 Mg²⁺条件、replicates、controls 和 source mapping。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输出域：censor-aware [Mg²⁺]1/2、uncertainty、optional ΔG*qmap、reference ranking/calibration。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外推域：只限已知 WT-like binding-mode 的 selected TL/TLR 子空间；不得扩展到任意 TLR family 或 junction preorganization。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锁定规则：Q5 outcome 不得进入 tecto model selection 或 operator calibration。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4.6 CanonicalStateManifest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7416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绑定项</w:t>
            </w:r>
          </w:p>
        </w:tc>
        <w:tc>
          <w:tcPr>
            <w:tcW w:type="dxa" w:w="741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强制字段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合同与代码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contract_path/hash；Git repo/commit；dirty-state declaration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运行谱系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run_id；parent_run_id；created_at；owner；schema_version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数据与配置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 accessions/versions；input manifest hash；spec hashes；split hash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产物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artifact path；size；SHA-256；producer；freshness 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gate_id；decision；reason；evidence list；finalizer；finalized_at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完成性</w:t>
            </w:r>
          </w:p>
        </w:tc>
        <w:tc>
          <w:tcPr>
            <w:tcW w:type="dxa" w:w="74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sentinel；terminal status；derived-manifest freshness；known limitations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4.7 CleaningLedger / ExposureRegistry / UncertaintySetRegistry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5688"/>
        <w:gridCol w:w="1872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Registry</w:t>
            </w:r>
          </w:p>
        </w:tc>
        <w:tc>
          <w:tcPr>
            <w:tcW w:type="dxa" w:w="56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逐行/逐项最低字段</w:t>
            </w:r>
          </w:p>
        </w:tc>
        <w:tc>
          <w:tcPr>
            <w:tcW w:type="dxa" w:w="18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 用途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CleaningLedger</w:t>
            </w:r>
          </w:p>
        </w:tc>
        <w:tc>
          <w:tcPr>
            <w:tcW w:type="dxa" w:w="56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source、condition、construct、motif/family、replicate、measured/interpolated/censored、QC、排除原因、不确定性、证据 hash</w:t>
            </w:r>
          </w:p>
        </w:tc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T0/T1/Q1/Q2/Q3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ExposureRegistry</w:t>
            </w:r>
          </w:p>
        </w:tc>
        <w:tc>
          <w:tcPr>
            <w:tcW w:type="dxa" w:w="56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source-level、family-level、PDB/template、pretraining exact/near-homolog、test exposure、mitigation</w:t>
            </w:r>
          </w:p>
        </w:tc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T1/M0/T2/Q4/Q5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UncertaintySetRegistry</w:t>
            </w:r>
          </w:p>
        </w:tc>
        <w:tc>
          <w:tcPr>
            <w:tcW w:type="dxa" w:w="56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operator/transport set ID、外部依据、单位、range、calibration、holdout、sensitivity result、status</w:t>
            </w:r>
          </w:p>
        </w:tc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S0/M0/T2/T3/Q5</w:t>
            </w:r>
          </w:p>
        </w:tc>
      </w:tr>
    </w:tbl>
    <w:p>
      <w:pPr>
        <w:spacing w:after="40"/>
      </w:pPr>
    </w:p>
    <w:p>
      <w:pPr>
        <w:pStyle w:val="Heading1"/>
      </w:pPr>
      <w:bookmarkStart w:id="105" w:name="v12_section_06"/>
      <w:r>
        <w:rPr>
          <w:rFonts w:ascii="Arial" w:hAnsi="Arial" w:eastAsia="Arial Unicode MS" w:cs="Arial"/>
          <w:b/>
          <w:color w:val="2E74B5"/>
          <w:sz w:val="32"/>
        </w:rPr>
        <w:t>5. 当前 DMS 关闭分支与历史负面证据</w:t>
      </w:r>
      <w:bookmarkEnd w:id="105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Final role of current DMS in v1.2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当前 7,500-construct DMS 资产永久不准入 v1.2 的 primary labels、主模型、split、阈值、feature selection、效果量或科学 benchmark。它保留为 archive/design catalog、工程 QC、非生物学压力测试和 provenance failure 的负面案例。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5.1 允许与禁止用途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archive/design catalog；sequence/motif 目录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primary label、主模型拟合、阈值/feature/split 选择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aggregate engineering QC；文件/schema/计数一致性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DMS-only、late-fusion 或 current-DMS joint-generative 科学 benchmark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simulator 的非生物学压力测试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sequence+DMS-at-test；任何 DMS test-time input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描述性 motif overlap 枚举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论文效果量或“DMS 改善 tecto 推断”主张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provenance 缺失、状态矛盾和 partial artifact 的负面案例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“DMS 缩小 identified set”“当前 DMS 验证 tectoRNA”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未来合同设计参考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恢复 v1.1 Fisher/Schur 增量路径或共享 latent q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5.2 HistoricalNegativeEvidenceLedger（不得删除或弱化）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4536"/>
        <w:gridCol w:w="3024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证据项</w:t>
            </w:r>
          </w:p>
        </w:tc>
        <w:tc>
          <w:tcPr>
            <w:tcW w:type="dxa" w:w="45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冻结事实边界</w:t>
            </w:r>
          </w:p>
        </w:tc>
        <w:tc>
          <w:tcPr>
            <w:tcW w:type="dxa" w:w="30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v1.2 解释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7,500 construct 对照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sequence 7,500/7,500；structure 7,497/7,500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结构对照不是全闭环；3 个 discrepancy 必须逐 ID 保留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structure discrepancies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construct3362、construct6271、construct7182；等长但 Hamming distance 非零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不得自动纠正或静默选择一侧；保留原始值、位置与 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17 个标准协议排除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规则/count 为 SOURCE_DOCUMENTED；17 个身份、逐行原因、run mapping = NOT_AVAILABLE_NOT_ASSERTED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aggregate 不等于 row-level provenance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684 vs 17 短孵育失败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只有 aggregate；不是 crosswalk，也不能解释为同一 17 个构建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保留分母、条件和来源；禁止凭相关性配对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partial artifacts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失败的 transfer、wrong-root audit、`.partial` 文件或不完整补充包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只作失败 evidence；不得作为 admitted source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RNA-MAP replay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SRR35766784；约 92,296,217 paired reads；约 98.85% alignment；18 outputs；REPLAY_COMPLETED_ENGINEERING_ONLY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reads/outputs 不证明 label identity、crosswalk、Phase 0 PASS 或科学解锁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状态面矛盾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launch `run_state.json=RUNNING` 与独立 completion state 并存；旧 registry/report 不同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历史文件不改写；由 CanonicalStateManifest 标记当前权威与 STALE_NOT_AUTHORITATIVE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provenance 根失败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缺少 accession/sample→condition→construct/library→evidence hash 的权威逐行 crosswalk</w:t>
            </w:r>
          </w:p>
        </w:tc>
        <w:tc>
          <w:tcPr>
            <w:tcW w:type="dxa" w:w="30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CURRENT_DMS_PRIMARY_LABELS=NOT_ADMITTED_FINAL_V1_2；NO_UNLOCK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rFonts w:ascii="Arial" w:hAnsi="Arial" w:eastAsia="Arial Unicode MS" w:cs="Arial"/>
          <w:b/>
          <w:i/>
          <w:color w:val="667085"/>
          <w:sz w:val="17"/>
        </w:rPr>
        <w:t>表 5-1｜历史 DMS 负面证据只界定不可用范围；它不证明 processed observations 本身一定错误。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5.3 数据量边界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旧资料中的 7,500 constructs、约 240,000 measurements、约 38,000 reads/sequence、5–7 motifs/construct、replicate R² 或 outlier 数量只能描述 archive 规模和工程特征。它们不等于 admitted labels、独立分子数、independent groups 或可用于 tecto 训练的 N。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4176"/>
        <w:gridCol w:w="3672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单位</w:t>
            </w:r>
          </w:p>
        </w:tc>
        <w:tc>
          <w:tcPr>
            <w:tcW w:type="dxa" w:w="41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可报告</w:t>
            </w:r>
          </w:p>
        </w:tc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禁止等价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reads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测序深度与工程 QC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biological 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nucleotide/measurement rows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局部测量记录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independent labels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constructs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设计单元；仍受共现 motif/context 连接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motif groups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motifs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描述性目录；可能重复、对称或近同源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test groups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labels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v1.2 固定为 0 admitted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可从 archive count 推断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5.4 未来意外获得 crosswalk 时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创建新合同版本；记录 v1.2 为 parent scientific disposition，但不修改其状态。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创建新 source acquisition、crosswalk、validation 和 run ID；不得复用失败 run root。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旧 crosswalk/manifest/report 只读保留；新证据通过新 finalizer 与新 checksum ledger 裁定。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任何 DMS 科学 claim 必须在新合同中重新定义 estimand、transport、operator、split 与 exposure；v1.2 不预授权。</w:t>
      </w:r>
    </w:p>
    <w:p>
      <w:pPr>
        <w:pStyle w:val="Heading1"/>
      </w:pPr>
      <w:bookmarkStart w:id="106" w:name="v12_section_07"/>
      <w:r>
        <w:rPr>
          <w:rFonts w:ascii="Arial" w:hAnsi="Arial" w:eastAsia="Arial Unicode MS" w:cs="Arial"/>
          <w:b/>
          <w:color w:val="2E74B5"/>
          <w:sz w:val="32"/>
        </w:rPr>
        <w:t>6. tectoRNA 数据准入、完整清洗与有效 N</w:t>
      </w:r>
      <w:bookmarkEnd w:id="106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T0 根 Gate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在任何真实标签建模前，必须证明 source、license、字段、集合关系、删失、插值、replicate/covariance、scaffold/context、group graph、有效 N 和 outer holdout 全部可审计。T0 未 PASS 时，不得用“先训练再看数据问题”的方式绕过。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6.1 论文分母与本地数据层必须分开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512"/>
        <w:gridCol w:w="4824"/>
        <w:gridCol w:w="3312"/>
      </w:tblGrid>
      <w:tr>
        <w:trPr>
          <w:tblHeader w:val="true"/>
          <w:cantSplit/>
        </w:trPr>
        <w:tc>
          <w:tcPr>
            <w:tcW w:type="dxa" w:w="15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计数/集合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当前可说的事实</w:t>
            </w:r>
          </w:p>
        </w:tc>
        <w:tc>
          <w:tcPr>
            <w:tcW w:type="dxa" w:w="33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T0 要求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1,687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Denny 2018 正文支持：1,328 designed + 359 crystallographic junctions；Figure 6 以 1,687 聚类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建立 paper universe 的 canonical ID 与 source evidence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1,713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v1.1/本地 artifact 候选计数；论文正文未直接定义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解释生成逻辑、去重、与 1,687 的交并/差集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1,636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本地 `is_junctionmat=True` 候选分析层；论文正文未直接定义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解释过滤、缺失 ID、9 scaffold/context 语义及与前两者关系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admitted labels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当前为 0</w:t>
            </w:r>
          </w:p>
        </w:tc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只有 T0 PASS 后才由 canonical manifest 写入，不得等于任一上游 count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TECTO-PAPER-COUNT-BOUNDARY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paper-supported junction universe = 1,687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local candidate counts 1,713 and 1,636 = UNRESOLVED_DATA_LAYERS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required: raw → designed → represented → measured → fitted → analysis set equations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6.2 旧合同候选资产计数：只作审计目标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以下数字来自 v1.1 对本地候选 artifact 的记录，尚未被 v1.2 T0 重新验证，不能写成可训练 N。T0 必须逐 source/hash 重算。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168"/>
        <w:gridCol w:w="2952"/>
        <w:gridCol w:w="3528"/>
      </w:tblGrid>
      <w:tr>
        <w:trPr>
          <w:tblHeader w:val="true"/>
          <w:cantSplit/>
        </w:trPr>
        <w:tc>
          <w:tcPr>
            <w:tcW w:type="dxa" w:w="31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候选 artifact</w:t>
            </w:r>
          </w:p>
        </w:tc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v1.1 记录</w:t>
            </w:r>
          </w:p>
        </w:tc>
        <w:tc>
          <w:tcPr>
            <w:tcW w:type="dxa" w:w="352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状态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library annotations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约 28,935 rows / 25 fields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junction_conformations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12,024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tertiary_contacts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4,862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along_pdb / flanking / junction_pdb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3,792 / 3,601 / 3,280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along / along_extended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1,120 / 256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CANDIDATE_NOT_ADMITTED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3 flow-piece theoretical/observed units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86,805 / 81,131（93.46%）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高度相关的 measurement units，不是 N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9/11-bp interpolation correlation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约 0.995 / 0.997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不能证明无插值偏差；需独立 layer 与 holdout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CI summaries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约 0.20 / 0.34 / 0.39 / 0.41 kcal/mol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需追溯 replicate/bootstrap/covariance 生成方法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6.3 measured / interpolated / censored 必须成为不同数据层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656"/>
        <w:gridCol w:w="5112"/>
        <w:gridCol w:w="2880"/>
      </w:tblGrid>
      <w:tr>
        <w:trPr>
          <w:tblHeader w:val="true"/>
          <w:cantSplit/>
        </w:trPr>
        <w:tc>
          <w:tcPr>
            <w:tcW w:type="dxa" w:w="16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层</w:t>
            </w:r>
          </w:p>
        </w:tc>
        <w:tc>
          <w:tcPr>
            <w:tcW w:type="dxa" w:w="51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最低字段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建模规则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measured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raw value、unit、condition、replicate、CI/covariance、source row hash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可进入冻结 likelihood；不得与插值行同权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interpolated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 endpoints、interpolation function/version、prediction uncertainty、reason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主分析默认单独层；必须有去插值 sensitivity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censored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threshold、direction、interval、reason、condition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进入 censored likelihood；不得删为缺失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excluded/QC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raw value、rule、reason、reviewer、evidence hash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保留在 ledger 和 attrition；不能 silent drop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6.4 −7.1 kcal/mol 的删失方向与 likelihood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Denny 正文直接描述可测动态范围约 −12.0 至 −7.1 kcal/mol，并将更弱结合记为 ΔG &gt; −7.1 kcal/mol。以论文数值方向为准时，这是数值右删失；但 T0 必须在 raw field、sign convention 和 software encoding 上做 round-trip，随后冻结：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Default censoring hypothesis; T0 must verify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observed: ΔG ≤ −7.1 kcal/mol  → density contribution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weak-binding censored: ΔG &gt; −7.1 kcal/mol → survival contribution P(Y &gt; −7.1)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if upstream sign/transform differs, freeze transformed interval before any fit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不得把 −7.1 当作精确观测值填充。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不得删除 censored samples 后只在 complete cases 上评估 ranking 或 calibration。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若多个 flow-piece/condition 的 censoring threshold 不同，必须逐行记录。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6.5 replicate、bootstrap、covariance 与 scaffold/context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区分 technical replicate、biological/construct replicate、bootstrap replicate 和同一 motif 的 scaffold/flow-piece observations。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恢复 covariance 或以 block bootstrap/cluster-robust likelihood 显式建模；不能把同一 fingerprint 的维度当独立。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scaffold、flow-piece、helix length、ionic condition、surface/context 和 study source 的语义。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derived averages 必须保留 numerator/denominator、权重、缺失/删失处理与 parent row hashes。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6.6 raw→analysis attrition table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3816"/>
        <w:gridCol w:w="4032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381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必须报告的计数</w:t>
            </w:r>
          </w:p>
        </w:tc>
        <w:tc>
          <w:tcPr>
            <w:tcW w:type="dxa" w:w="40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必须解释的差异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source/raw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files、rows、bytes、hashes、license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下载/版本/重复文件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schema-valid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parsed rows、parse failures、unit failures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所有失败逐行 reason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canonicalized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unique constructs/motifs、symmetry groups、duplicate classes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ID/frame/strand/boundary 变换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measurement layer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measured/interpolated/censored/excluded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任何状态转换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analysis candidates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motif–construct–scaffold–study graph nodes/edges/components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连通性与不可拆 groups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outer holdout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train/validation/test groups、source/condition覆盖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group closure、泄漏审计和 power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admitted labels</w:t>
            </w:r>
          </w:p>
        </w:tc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最终 rows、units、constructs、motifs、independent groups、effective N</w:t>
            </w:r>
          </w:p>
        </w:tc>
        <w:tc>
          <w:tcPr>
            <w:tcW w:type="dxa" w:w="40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不得只报一个总 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6.7 motif–construct–scaffold–study graph 与有效 N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必须以 motif/family、canonical construct、symmetry equivalence、scaffold、flow piece、source study、PDB/template ancestry 和 condition 建图。外层 split 是连通约束下的 group partition，不是行级抽样。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Effective-N reporting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report raw_rows, measurement_units, unique_constructs, unique_motifs,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independent_biological_groups, split_groups, component_sizes, and group-adjusted N_eff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illustrative N_eff = (Σ_g w_g)^2 / Σ_g w_g^2; weight rule and sensitivity must be frozen</w:t>
            </w:r>
          </w:p>
        </w:tc>
      </w:tr>
    </w:tbl>
    <w:p>
      <w:pPr>
        <w:spacing w:after="2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648"/>
      </w:tblGrid>
      <w:tr>
        <w:tc>
          <w:tcPr>
            <w:tcW w:type="dxa" w:w="9648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9B1C1C"/>
                <w:sz w:val="19"/>
              </w:rPr>
              <w:t>巨型 connected component 规则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若 graph 出现覆盖大多数候选的巨型连通分量，不得随机拆开制造测试集。必须改为预定义的多轴 blocked generalization（例如 source/condition、scaffold 或 mutation architecture）或承认无法支持 outer generalization。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6.8 T0 与 T1 的 PASS 条件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080"/>
        <w:gridCol w:w="5832"/>
        <w:gridCol w:w="2736"/>
      </w:tblGrid>
      <w:tr>
        <w:trPr>
          <w:tblHeader w:val="true"/>
          <w:cantSplit/>
        </w:trPr>
        <w:tc>
          <w:tcPr>
            <w:tcW w:type="dxa" w:w="10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</w:t>
            </w:r>
          </w:p>
        </w:tc>
        <w:tc>
          <w:tcPr>
            <w:tcW w:type="dxa" w:w="58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PASS 必须同时满足</w:t>
            </w:r>
          </w:p>
        </w:tc>
        <w:tc>
          <w:tcPr>
            <w:tcW w:type="dxa" w:w="27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FAIL/BLOCKED 示例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T0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source/license/hash 完整；1,687/1,713/1,636 集合方程闭环；字段/单位/censor direction 可复现；raw→analysis attrition 可解释；可构造真实 outer holdout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关键 source 不可验证；分母无法解释；label lineage 不完整；无可解释 holdout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T1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CleaningLedger 100%覆盖 admitted rows；graph/split/freshness 冻结；有效 N/power 支持选定复杂度；无已知 exact/family/template leakage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giant component 被随机拆分；插值/删失静默处理；test exposure 未缓解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v1.1 的候选门槛（例如 paired motifs 80、independent groups 40、test groups 15）不在 v1.2 自动继承。T1 必须根据审计后的 group graph、效应尺度、censoring 和 matched baseline variance 做预注册 power rule；在查看模型结果前冻结。</w:t>
      </w:r>
    </w:p>
    <w:p>
      <w:pPr>
        <w:pStyle w:val="Heading1"/>
      </w:pPr>
      <w:bookmarkStart w:id="107" w:name="v12_section_08"/>
      <w:r>
        <w:rPr>
          <w:rFonts w:ascii="Arial" w:hAnsi="Arial" w:eastAsia="Arial Unicode MS" w:cs="Arial"/>
          <w:b/>
          <w:color w:val="2E74B5"/>
          <w:sz w:val="32"/>
        </w:rPr>
        <w:t>7. 模型复杂度阶梯与下游任务边界</w:t>
      </w:r>
      <w:bookmarkEnd w:id="107"/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模型复杂度由可准入 independent groups、operator calibration 和 identification tests 决定。v1.2 不从大型架构出发；每一层只有在更简单层已审计且新增复杂度带来冻结的 held-out 价值时才允许进入。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7.1 核心论文模型阶梯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792"/>
        <w:gridCol w:w="2448"/>
        <w:gridCol w:w="3888"/>
        <w:gridCol w:w="2520"/>
      </w:tblGrid>
      <w:tr>
        <w:trPr>
          <w:tblHeader w:val="true"/>
          <w:cantSplit/>
        </w:trPr>
        <w:tc>
          <w:tcPr>
            <w:tcW w:type="dxa" w:w="7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层级</w:t>
            </w:r>
          </w:p>
        </w:tc>
        <w:tc>
          <w:tcPr>
            <w:tcW w:type="dxa" w:w="24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必须处理</w:t>
            </w:r>
          </w:p>
        </w:tc>
        <w:tc>
          <w:tcPr>
            <w:tcW w:type="dxa" w:w="25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升级条件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L1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censoring/interpolation-aware 层级统计基线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censoring、heteroscedasticity、group dependence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T1 PASS；作为不可删除 baseline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L2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scaffold/context/replicate/group random effects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motif/construct/scaffold/study 层级与 covariance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group variance 可识别；held-out score 改善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L3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normalized physical/thermodynamic forward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Zs/Z0 归一化、单位、condition、operator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M0 synthetic recovery 与 misspecification tests PASS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L4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operator-robust identified interval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𝒰_s 外部依据、worst-case set、dominant uncertainty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coverage 与 width 可解释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L5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calibrated uncertainty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group-level calibration、coverage、proper score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校准不依赖外层 test 调参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L6</w:t>
            </w:r>
          </w:p>
        </w:tc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条件化小容量 sequence-only baseline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仅用冻结 tecto-derived training labels；exposure audit</w:t>
            </w:r>
          </w:p>
        </w:tc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 PASS 后单独授权；不反向证明机制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7.2 M0：合成与 operator-identification 测试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在已知 Φ*、已知/扰动 U_s、删失和 group covariance 的 synthetic fixtures 上恢复 coverage、bias 和 set width。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构造远距离 likelihood-equivalent 参数与 operator alias；证明算法能报告非点识别，而不是给伪精确 posterior。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对 units、frame、symmetry、target-kernel round trip 和 censor direction 建立 failure-injection tests。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对 operator range misspecification、interpolation shift、single-study dominance 和 giant-component split 进行 adversarial tests。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真实数据 fitting 前冻结 numerical tolerances、optimizer budgets、seed policy 和 failure labels。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7.3 明确删除的大型主线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不授权从头训练 RNA foundation model。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不授权以大型 multimodal model、current-DMS fusion 或生成式 shared-latent 模型作为核心论文路线。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frozen RNA LM 只能是 exposure-audited sequence baseline；不得称为架构创新。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参数量必须与 effective N、group 数和 baselines 匹配；模型名不构成科学贡献。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7.4 sequence-only 部署边界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3096"/>
        <w:gridCol w:w="2088"/>
        <w:gridCol w:w="2232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前置条件</w:t>
            </w:r>
          </w:p>
        </w:tc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允许输入</w:t>
            </w:r>
          </w:p>
        </w:tc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允许输出</w:t>
            </w:r>
          </w:p>
        </w:tc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禁止解释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T0/S0/T1/M0/T2/T3 全部 PASS；另行冻结 exposure/split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sequence、明确允许的 frozen embeddings；不得使用 test tecto、qMaP 或 current DMS</w:t>
            </w:r>
          </w:p>
        </w:tc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Φ* 的条件预测/排序与 calibrated uncertainty</w:t>
            </w:r>
          </w:p>
        </w:tc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不能把 sequence predictor 成功反推物理 forward 正确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7.5 下游任务边界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核心论文只保留 target-functional estimation 与 held-out ranking。结构预测、双井/多态模型、CASP/RNA-Puzzles、junction-rich candidate reranking 和 sequence deployment 移入条件性 annex；只有主线证据通过且另行冻结任务定义后才能执行。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880"/>
        <w:gridCol w:w="3168"/>
        <w:gridCol w:w="3600"/>
      </w:tblGrid>
      <w:tr>
        <w:trPr>
          <w:tblHeader w:val="true"/>
          <w:cantSplit/>
        </w:trPr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任务</w:t>
            </w:r>
          </w:p>
        </w:tc>
        <w:tc>
          <w:tcPr>
            <w:tcW w:type="dxa" w:w="31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核心地位</w:t>
            </w:r>
          </w:p>
        </w:tc>
        <w:tc>
          <w:tcPr>
            <w:tcW w:type="dxa" w:w="36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解锁条件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Φ* inference + interval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primary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T2/T3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held-out motif ranking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primary secondary readout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T1/M0/T2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sequence-only prediction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optional deployment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T3 后另行冻结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structure/CASP/RNA-Puzzles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conditional annex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task contract；不得作为核心成功条件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新湿实验</w:t>
            </w:r>
          </w:p>
        </w:tc>
        <w:tc>
          <w:tcPr>
            <w:tcW w:type="dxa" w:w="31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out of scope</w:t>
            </w:r>
          </w:p>
        </w:tc>
        <w:tc>
          <w:tcPr>
            <w:tcW w:type="dxa" w:w="36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必须新合同版本</w:t>
            </w:r>
          </w:p>
        </w:tc>
      </w:tr>
    </w:tbl>
    <w:p>
      <w:pPr>
        <w:spacing w:after="40"/>
      </w:pPr>
    </w:p>
    <w:p>
      <w:pPr>
        <w:pStyle w:val="Heading1"/>
      </w:pPr>
      <w:bookmarkStart w:id="108" w:name="v12_section_09"/>
      <w:r>
        <w:rPr>
          <w:rFonts w:ascii="Arial" w:hAnsi="Arial" w:eastAsia="Arial Unicode MS" w:cs="Arial"/>
          <w:b/>
          <w:color w:val="2E74B5"/>
          <w:sz w:val="32"/>
        </w:rPr>
        <w:t>8. 评测、统计、泄漏与不确定性合同</w:t>
      </w:r>
      <w:bookmarkEnd w:id="108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8.1 核心论文只保留五个 primary choices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6696"/>
      </w:tblGrid>
      <w:tr>
        <w:trPr>
          <w:tblHeader w:val="true"/>
          <w:cantSplit/>
        </w:trPr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项目</w:t>
            </w:r>
          </w:p>
        </w:tc>
        <w:tc>
          <w:tcPr>
            <w:tcW w:type="dxa" w:w="66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默认/冻结规则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estimand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第 2.2 节唯一 Φ*x(K*,c*)；S0 冻结一个 K* 与 c*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generalization split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MOTIF_FAMILY_OUTER_HOLDOUT_WITH_COMPONENT_CLOSURE；construct/scaffold/study/symmetry/PDB ancestry 约束闭包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operator-robustness criterion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worst-case admitted 𝒰 下：group coverage 下界 ≥ frozen coverage_target，且 frozen outer-group width statistic / minimum-meaningful-effect ≤ max_width_to_MME_ratio（或 width ≤ max_primary_width）；数值阈值与 aggregation unit 在 outcome 前冻结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held-out metric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outer-group averaged censored negative log predictive density（cNLPD；越低越好）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transfer/generalization test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qMaPseq Q5 locked transfer test；结果不得反向调 tecto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若 T1 数据审计证明上述默认 split 或 metric 在数学上不可用，必须在查看模型结果前通过版本化 change record 修改，并给出 power/identifiability 依据；不得结果导向地更换 primary。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8.2 nested grouped CV 与 blocked stress tests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outer split 以 motif family 为主，并对 construct/scaffold/study/symmetry/PDB/template ancestry 连通约束取闭包。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inner CV 只在 outer-train 内做 model/hyperparameter/calibration selection；outer-test 全程密封。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secondary stress tests：construct/scaffold/study holdout、source/condition holdout、PDB/template ancestry holdout、symmetry-equivalent group holdout。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若各 holdout 不是独立系统，必须标为 axis-specific generalization，不得累计成多个外部验证。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8.3 明令禁止的 split 与 N 口径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672"/>
        <w:gridCol w:w="5976"/>
      </w:tblGrid>
      <w:tr>
        <w:trPr>
          <w:tblHeader w:val="true"/>
          <w:cantSplit/>
        </w:trPr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禁止项</w:t>
            </w:r>
          </w:p>
        </w:tc>
        <w:tc>
          <w:tcPr>
            <w:tcW w:type="dxa" w:w="59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random row split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同 motif/construct/scaffold/study 相关记录泄漏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nucleotide-level split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同一分子和实验条件泄漏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replicate split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同一 biological/construct unit 泄漏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同 construct 的 conditions 分 fold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titration/condition rows 不是独立样本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把 reads、titration points、fingerprint dimensions 当 N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测量深度或相关维度不等于独立信息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giant component 随机切割</w:t>
            </w:r>
          </w:p>
        </w:tc>
        <w:tc>
          <w:tcPr>
            <w:tcW w:type="dxa" w:w="59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制造不可解释的测试独立性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8.4 统计与不确定性报告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group-level bootstrap；重采样单位是冻结 outer group，不是 row、nucleotide 或 read。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censored proper score；同时报告完整/删失 strata，不做 complete-case headline。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interval coverage、width、calibration curve、AURC/coverage-risk、held-out ranking 和 group-level effect distribution。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matched simple baselines 使用同输入、同 split、同 censoring、同 calibration budget 和相近 capacity。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报告 point estimate、uncertainty interval、operator worst case、study/family bootstrap 和 sensitivity，而非只报均值±随机种子标准差。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8.5 必跑 baselines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816"/>
        <w:gridCol w:w="5832"/>
      </w:tblGrid>
      <w:tr>
        <w:trPr>
          <w:tblHeader w:val="true"/>
          <w:cantSplit/>
        </w:trPr>
        <w:tc>
          <w:tcPr>
            <w:tcW w:type="dxa" w:w="381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Baseline</w:t>
            </w:r>
          </w:p>
        </w:tc>
        <w:tc>
          <w:tcPr>
            <w:tcW w:type="dxa" w:w="58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intercept / group mean / scaffold mean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确认模型是否超越最简单可用先验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censor-aware hierarchical regression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核心统计 baseline；控制 group/context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nearest-family / simple sequence distance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检测同源与 family shortcut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normalized physical forward without robust set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量化 operator robustness 的真实增量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frozen RNA LM linear/small head</w:t>
            </w:r>
          </w:p>
        </w:tc>
        <w:tc>
          <w:tcPr>
            <w:tcW w:type="dxa" w:w="58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只作 exposure-audited sequence baseline；非创新 claim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8.6 必跑 ablations 与 negative controls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176"/>
        <w:gridCol w:w="5472"/>
      </w:tblGrid>
      <w:tr>
        <w:trPr>
          <w:tblHeader w:val="true"/>
          <w:cantSplit/>
        </w:trPr>
        <w:tc>
          <w:tcPr>
            <w:tcW w:type="dxa" w:w="41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Ablation/control</w:t>
            </w:r>
          </w:p>
        </w:tc>
        <w:tc>
          <w:tcPr>
            <w:tcW w:type="dxa" w:w="54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检查的问题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 range/source/calibration ablation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结论是否只由某个未经校准 U_s 驱动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measured-only / interpolation-aware / include-exclude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插值是否制造效果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pretraining exact/near-homolog exposure ablation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frozen LM 是否记忆测试 family/template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family/study label permutation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split 或 group shortcut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symmetry/frame perturbation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canonicalization 与 group action 是否正确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 transport/mapping ablation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迁移结果是否依赖单一 mapping 或 complete cases</w:t>
            </w:r>
          </w:p>
        </w:tc>
      </w:tr>
      <w:tr>
        <w:trPr>
          <w:cantSplit/>
        </w:trPr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 label permutation / negative nucleotides / condition controls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chemical-mapping signal是否特异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8.7 ExposureRegistry 的独立轴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source-level audit、exact sequence overlap、near-homolog/family overlap、PDB/template ancestry 和人工查看暴露是不同轴；任一轴完成不能代表其他轴无泄漏。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训练/预训练 corpus accession 与 snapshot。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exact sequence hash overlap；reverse/complement/canonical symmetry 后再查。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family/Rfam/motif cluster 与 sequence-identity bands。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PDB/template/structure-derived feature ancestry。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test labels 是否用于 debugging、error analysis、feature choice 或人工标签检查。</w:t>
      </w:r>
    </w:p>
    <w:p>
      <w:pPr>
        <w:pStyle w:val="Heading1"/>
      </w:pPr>
      <w:bookmarkStart w:id="109" w:name="v12_section_10"/>
      <w:r>
        <w:rPr>
          <w:rFonts w:ascii="Arial" w:hAnsi="Arial" w:eastAsia="Arial Unicode MS" w:cs="Arial"/>
          <w:b/>
          <w:color w:val="2E74B5"/>
          <w:sz w:val="32"/>
        </w:rPr>
        <w:t>9. qMaPseq 强论文必做第二系统 Gate</w:t>
      </w:r>
      <w:bookmarkEnd w:id="109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648"/>
      </w:tblGrid>
      <w:tr>
        <w:tc>
          <w:tcPr>
            <w:tcW w:type="dxa" w:w="9648"/>
            <w:shd w:fill="EEF5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2E74B5"/>
                <w:sz w:val="19"/>
              </w:rPr>
              <w:t>QMAPSEQ_ROLE = MANDATORY_COMPLETION_GATE_FOR_STRONG_MANUSCRIPT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qMaPseq 必须完成第二系统 integrity、registry、attrition、replay、selection freeze 和 locked transfer；不要求得到阳性。它不阻塞 tecto T0–T3，也不是 junction preorganization 的同标签独立复现。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9.1 原论文事实与主张边界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原论文事实</w:t>
            </w:r>
          </w:p>
        </w:tc>
        <w:tc>
          <w:tcPr>
            <w:tcW w:type="dxa" w:w="48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v1.2 解读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98 个经过筛选的 TL/TLR variants；16 个 Mg²⁺浓度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真实统计单位是 variant；titration rows/replicates 同 fold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84 个可拟合 [Mg²⁺]1/2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complete cases 不是完整无偏验证集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11 个 [Mg²⁺]1/2 &gt; 40 mM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以 midpoint 为变量的右删失；必须进入 censored likelihood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2 个 closing-pair abnormal reactivity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UCUAAA_CAUGA、CCUACA_UACGG；structural-QC stratum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 个 alternate/unknown profile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CUUAAC_UAUGG；structural-QC stratum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ln([Mg²⁺]1/2) vs RNA-MaP ΔG: R²≈0.64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相关/transport evidence；不是同一 estimand 的 replication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7.5 mM GAAA-DMS summary vs RNA-MaP ΔG: R²≈0.68</w:t>
            </w:r>
          </w:p>
        </w:tc>
        <w:tc>
          <w:tcPr>
            <w:tcW w:type="dxa" w:w="48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单条件相关；不是 DMS 普遍等价 thermodynamic ΔG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9.2 Q0 — Integrity and license freeze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下列公开入口是 Q0 的验证目标，不得在 Gate 前预写成“已闭环”。实际执行必须记录下载时间、最终 URL、版本、文件尺寸、上游 checksum 与本地 SHA-256。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656"/>
        <w:gridCol w:w="3672"/>
        <w:gridCol w:w="4320"/>
      </w:tblGrid>
      <w:tr>
        <w:trPr>
          <w:tblHeader w:val="true"/>
          <w:cantSplit/>
        </w:trPr>
        <w:tc>
          <w:tcPr>
            <w:tcW w:type="dxa" w:w="16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Source</w:t>
            </w:r>
          </w:p>
        </w:tc>
        <w:tc>
          <w:tcPr>
            <w:tcW w:type="dxa" w:w="36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冻结目标</w:t>
            </w:r>
          </w:p>
        </w:tc>
        <w:tc>
          <w:tcPr>
            <w:tcW w:type="dxa" w:w="43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当前一手元数据提示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SRA/BioProject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PRJNA1086549；run manifest、文件格式、sizes、checksums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论文称 unprocessed FASTA；NCBI 登记 raw sequence reads；以实际 SRA manifest 为准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Figshare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10.6084/m9.figshare.25331758.v2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data.zip；502,061,658 bytes；CC BY 4.0；upstream MD5 7a080dc74bb3433e57fcdd885b5b7a56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Zenodo code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10.5281/zenodo.11672684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2024_qmap_paper-main.zip；2,509,162 bytes；record license CC BY 4.0；MD5 48da131a78f5027d4b1f31a58c08007b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GitHub</w:t>
            </w:r>
          </w:p>
        </w:tc>
        <w:tc>
          <w:tcPr>
            <w:tcW w:type="dxa" w:w="36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YesselmanLabPublications/2024_qmap_paper 的固定 commit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不得用浮动 HEAD；单独核对 checkout 内 license；Zenodo license 不自动覆盖未来 HEAD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使用 Figshare 发布的 exact construct/barcode catalog；不得把重新生成的 helix/barcode 当真相源。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官方 README 警告 generator 会随机化 helix 并覆盖为不同序列；任何 generator output 只能做测试 fixture。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任一核心 source、license、version 或 checksum 无法验证，则终态 `QMAP_NOT_ADMITTED`。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9.3 Q1 — 98-Variant 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7560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Registry 维度</w:t>
            </w:r>
          </w:p>
        </w:tc>
        <w:tc>
          <w:tcPr>
            <w:tcW w:type="dxa" w:w="75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必填字段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canonical identity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canonical_variant_id、sequence、mutation positions/class、sequence distance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cross-source names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bonilla_source_name、qmap_source_name、orientation_transform、TL/TLR side、5′→3′ sequence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construct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exact construct、helix、barcode、catalog row、source row hash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experiment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run/set、16 Mg²⁺ conditions、replicate、controls、batch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artifacts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raw/processed paths、size、SHA-256、producer code commit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references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Bonilla/RNA-MaP reference ΔG、source row/evidence、uncertainty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status</w:t>
            </w:r>
          </w:p>
        </w:tc>
        <w:tc>
          <w:tcPr>
            <w:tcW w:type="dxa" w:w="75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measured/fitted/censored/structural-QC/condition-excluded/analysis-excluded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所有进入主分析的行必须 100% 可追溯；无法映射的行不得靠相关性、文件名、字符串相似或图形对齐推断。Bonilla 名称在 qMaP 项目中存在方向翻转，例如 `CAUGG_CCUAAA → CCUAAA_CAUGG`，必须显式登记 orientation transform。</w:t>
      </w:r>
    </w:p>
    <w:p>
      <w:pPr>
        <w:pStyle w:val="Heading3"/>
      </w:pPr>
      <w:r>
        <w:rPr>
          <w:rFonts w:ascii="Arial" w:hAnsi="Arial" w:eastAsia="Arial Unicode MS" w:cs="Arial"/>
          <w:b/>
          <w:color w:val="1F4D78"/>
          <w:sz w:val="23"/>
        </w:rPr>
        <w:t>9.3.1 Cross-source denominator reconstruction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224"/>
        <w:gridCol w:w="4464"/>
        <w:gridCol w:w="3960"/>
      </w:tblGrid>
      <w:tr>
        <w:trPr>
          <w:tblHeader w:val="true"/>
          <w:cantSplit/>
        </w:trPr>
        <w:tc>
          <w:tcPr>
            <w:tcW w:type="dxa" w:w="122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分母</w:t>
            </w:r>
          </w:p>
        </w:tc>
        <w:tc>
          <w:tcPr>
            <w:tcW w:type="dxa" w:w="44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来源含义</w:t>
            </w:r>
          </w:p>
        </w:tc>
        <w:tc>
          <w:tcPr>
            <w:tcW w:type="dxa" w:w="39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Q1 必须证明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1,592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methods 所称 Bonilla original construct universe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source/design universe 的 canonical IDs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1,493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Bonilla 2021 论文 reported analyzed TLR sequences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analysis universe 与 1,592 的差集/原因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277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selection 链中的 class-A / WT-like thermodynamic fingerprint 子集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筛选规则和 277 IDs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98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进一步按 A/C 和 flank pairing 等规则形成的 qMaP proof-of-concept set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98 IDs、每步 attrition、无漏项/重复</w:t>
            </w:r>
          </w:p>
        </w:tc>
      </w:tr>
    </w:tbl>
    <w:p>
      <w:pPr>
        <w:spacing w:after="4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分母不可合并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1,592 与 1,493 很可能对应设计/source universe 与 analyzed universe；在 Q1 重建前不得写成同一个 N。98 也不是任意 TLR family 的代表性样本。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9.4 Q2 — Attrition and censoring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3528"/>
        <w:gridCol w:w="3888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类别</w:t>
            </w:r>
          </w:p>
        </w:tc>
        <w:tc>
          <w:tcPr>
            <w:tcW w:type="dxa" w:w="352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冻结数量/ID</w:t>
            </w:r>
          </w:p>
        </w:tc>
        <w:tc>
          <w:tcPr>
            <w:tcW w:type="dxa" w:w="38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fitted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84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进入 endpoint analysis；仍需报告 selection 和 group structure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right-censored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11；[Mg²⁺]1/2 &gt; 40 mM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进入 censored likelihood；不得删除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closing-pair structural-QC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2：UCUAAA_CAUGA；CCUACA_UACGG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保留原因与 raw curves；进入 sensitivity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alternate/unknown structural-QC</w:t>
            </w:r>
          </w:p>
        </w:tc>
        <w:tc>
          <w:tcPr>
            <w:tcW w:type="dxa" w:w="352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1：CUUAAC_UAUGG</w:t>
            </w:r>
          </w:p>
        </w:tc>
        <w:tc>
          <w:tcPr>
            <w:tcW w:type="dxa" w:w="38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保留原因与 raw curves；进入 sensitivity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 w:eastAsia="Arial Unicode MS" w:cs="Arial"/>
          <w:b/>
          <w:color w:val="1F4D78"/>
          <w:sz w:val="23"/>
        </w:rPr>
        <w:t>9.4.1 Condition-level exception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No silent row deletion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QMAP_CONDITION_EXCEPTION_001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scope = first_25_construct_library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condition = 5_mM_Mg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source_reason = unexpectedly_high_reactivity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required = preserve raw; reproduce exclusion; include/exclude sensitivity; list IDs + hashes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rial" w:hAnsi="Arial" w:eastAsia="Arial Unicode MS" w:cs="Arial"/>
          <w:b/>
          <w:color w:val="1F4D78"/>
          <w:sz w:val="23"/>
        </w:rPr>
        <w:t>9.4.2 Analysis-specific atypical cluster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原论文后续 clustering 又称 cluster 4 含 4 个 atypical-reactivity variants，并在先前分析中因 divergent behavior 被排除；正文未证明该 4-set 与前述 2+1 structural-QC 集完全相同。Q2 必须按 canonical ID 冻结：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Analysis-specific attrition set algebra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structural_qc_2_plus_1_ID_set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cluster_4_atypical_ID_set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intersection / only_in_structural_qc / only_in_cluster_4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analysis_stage_of_each_exclusion</w:t>
            </w:r>
          </w:p>
        </w:tc>
      </w:tr>
    </w:tbl>
    <w:p>
      <w:pPr>
        <w:spacing w:after="2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Q2 PASS 必须覆盖 construct-level、condition-level 和 analysis-level 三层 attrition；仅复现 84/11/2/1 总数不构成 PASS。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9.5 Q3 — Endpoint replay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从公开 raw/processed artifacts 和归档代码重建每个 variant 的 DMS titration curve。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重建 [Mg²⁺]1/2、uncertainty、fit diagnostics、DMS summary、reference ΔG mapping 与 failure/censoring reason。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对首个 25-construct library 的 5 mM 点执行原始 exclusion replay 与 include/exclude sensitivity。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按 public table precision、rounding、software/version 在运行前冻结数值 tolerance；逐 variant 判定。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仅复现论文 R²、图形或整体分布不构成 Q3 PASS。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Q3 输出</w:t>
            </w:r>
          </w:p>
        </w:tc>
        <w:tc>
          <w:tcPr>
            <w:tcW w:type="dxa" w:w="67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最低验收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variant_endpoint_table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98 行 canonical registry；每行 fit/censor/QC/failure 终态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curve_artifacts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16-point 或明确 condition exception；raw→processed hash lineage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comparison_report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逐值误差、tolerance、rounding/version 解释；不得只报 correlation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attrition_report</w:t>
            </w:r>
          </w:p>
        </w:tc>
        <w:tc>
          <w:tcPr>
            <w:tcW w:type="dxa" w:w="67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84/11/2/1 + 5 mM exception + 4-cluster 集合交并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9.6 Q4 — Selection, split and analysis freeze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明确 98 variants 来自已知 WT-like binding-mode/class-A 子空间，不能外推到任意 TLR family。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比较 fitted、censored、structural-failure、condition-excluded 与 analysis-excluded variants 的 mutation class、sequence distance、reference ΔG 和 construct features。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按 mutation/edit graph 构造 outer groups；同一 variant 的所有 titration rows、conditions、replicates 必须同 fold。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冻结 split、baseline、primary metric、minimum meaningful effect、power rule、negative controls 和 multiplicity policy。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在查看 locked transfer outcome 前完成 freeze；Q5 结果不得修改 tecto。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9.7 Q5 — Locked transfer test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6696"/>
      </w:tblGrid>
      <w:tr>
        <w:trPr>
          <w:tblHeader w:val="true"/>
          <w:cantSplit/>
        </w:trPr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比较对象</w:t>
            </w:r>
          </w:p>
        </w:tc>
        <w:tc>
          <w:tcPr>
            <w:tcW w:type="dxa" w:w="66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intercept/mean baseline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仅使用训练组分布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论文公开单变量关系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ln([Mg²⁺]1/2) 与 reference ΔG；按 outer groups 重评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sequence/mutation baseline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小容量；mutation class/distance/sequence；同 split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locked partial-ID/calibration method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不查看 Q5 test 调参；输出 interval、coverage、width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Q5 主报告必须同时包含：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held-out proper score；reference ΔG ranking；interval coverage；interval width；calibration；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相对最强简单 baseline 的预注册增益及最小有意义效应；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mutation-class/group bootstrap；label permutation；condition/negative-nucleotide controls；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84 complete-case、all-98 censor-aware、structural-QC 与 condition-exception sensitivity。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9.8 qMaPseq 终态与完成定义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4248"/>
        <w:gridCol w:w="2304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终态</w:t>
            </w:r>
          </w:p>
        </w:tc>
        <w:tc>
          <w:tcPr>
            <w:tcW w:type="dxa" w:w="42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含义</w:t>
            </w:r>
          </w:p>
        </w:tc>
        <w:tc>
          <w:tcPr>
            <w:tcW w:type="dxa" w:w="230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强论文路线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QMAP_TRANSFER_SUPPORTED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locked test 支持预注册的受限迁移增益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可开放受限跨 measurement-system 主张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QMAP_TRANSFER_NOT_SUPPORTED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分析完整但未支持增益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完成；可作为预注册阴性/边界证据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QMAP_INCONCLUSIVE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分析完整但 power/uncertainty 不足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完成；只允许不确定边界叙述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QMAP_NOT_ADMITTED</w:t>
            </w:r>
          </w:p>
        </w:tc>
        <w:tc>
          <w:tcPr>
            <w:tcW w:type="dxa" w:w="42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核心 source/registry/replay 不可验证</w:t>
            </w:r>
          </w:p>
        </w:tc>
        <w:tc>
          <w:tcPr>
            <w:tcW w:type="dxa" w:w="23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关闭强跨系统论文路线；tecto 主线仍可继续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这些值只写入 qmap_terminal_disposition。Q5 本身仍使用 Gate 生命周期状态：前三个完成性终态对应 Q5=PASS；QMAP_NOT_ADMITTED 对应 Q5=BLOCKED 或 NOT_STARTED，并须有 Q0–Q3 integrity/registry/attrition/replay admission failure 证据。未裁定时必须写 NOT_ADJUDICATED，不得把 NOT_STARTED 冒充终态；若到投稿裁定时 Q4/Q5 仍未完成或失败，NOT_ADJUDICATED 必须触发强跨系统路线 fail closed，而不能被解释为 qMaP 分析完成。</w:t>
      </w:r>
    </w:p>
    <w:p>
      <w:pPr>
        <w:pStyle w:val="Heading1"/>
      </w:pPr>
      <w:bookmarkStart w:id="110" w:name="v12_section_11"/>
      <w:r>
        <w:rPr>
          <w:rFonts w:ascii="Arial" w:hAnsi="Arial" w:eastAsia="Arial Unicode MS" w:cs="Arial"/>
          <w:b/>
          <w:color w:val="2E74B5"/>
          <w:sz w:val="32"/>
        </w:rPr>
        <w:t>10. 预训练数据、外部资源与竞争方法</w:t>
      </w:r>
      <w:bookmarkEnd w:id="110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10.1 RNA-MaP/tectoRNA platform cluster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3240"/>
        <w:gridCol w:w="3096"/>
        <w:gridCol w:w="1512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研究</w:t>
            </w:r>
          </w:p>
        </w:tc>
        <w:tc>
          <w:tcPr>
            <w:tcW w:type="dxa" w:w="324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平台/对象</w:t>
            </w:r>
          </w:p>
        </w:tc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允许用途</w:t>
            </w:r>
          </w:p>
        </w:tc>
        <w:tc>
          <w:tcPr>
            <w:tcW w:type="dxa" w:w="15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独立性边界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Bonilla 2021</w:t>
            </w:r>
          </w:p>
        </w:tc>
        <w:tc>
          <w:tcPr>
            <w:tcW w:type="dxa" w:w="32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RNA-MaP；1,493 analyzed TLRs；tectoRNA scaffold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TLR/mutation/scaffold blocked holdout；qMaP reference lineage</w:t>
            </w:r>
          </w:p>
        </w:tc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不是 qMaP 独立 reference 之外的第二验证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Shin 2023</w:t>
            </w:r>
          </w:p>
        </w:tc>
        <w:tc>
          <w:tcPr>
            <w:tcW w:type="dxa" w:w="32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RNA-MaP；11ntR single/double mutant sublibrary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mutation architecture / energetic coupling within-platform stress test</w:t>
            </w:r>
          </w:p>
        </w:tc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Bonilla sublibrary；非独立 label lineage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Yesselman 2019</w:t>
            </w:r>
          </w:p>
        </w:tc>
        <w:tc>
          <w:tcPr>
            <w:tcW w:type="dxa" w:w="32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RNA-MaP；tectoRNA heterodimer；helix sequence/length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helix/scaffold/template blocked holdout；operator prior</w:t>
            </w:r>
          </w:p>
        </w:tc>
        <w:tc>
          <w:tcPr>
            <w:tcW w:type="dxa" w:w="15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同平台/近 scaffold 谱系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三者必须登记为一个 `RNA-MaP/tectoRNA platform cluster`：可提供 within-platform 的 scaffold、helix、TLR、ionic-condition 和 mutation-architecture holdout；不得把三篇论文标题计作三套独立外部验证。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10.2 PRIME-P4/P6 2026：竞争矩阵与低 N falsification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4752"/>
        <w:gridCol w:w="4896"/>
      </w:tblGrid>
      <w:tr>
        <w:trPr>
          <w:tblHeader w:val="true"/>
          <w:cantSplit/>
        </w:trPr>
        <w:tc>
          <w:tcPr>
            <w:tcW w:type="dxa" w:w="47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事实</w:t>
            </w:r>
          </w:p>
        </w:tc>
        <w:tc>
          <w:tcPr>
            <w:tcW w:type="dxa" w:w="48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合同边界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2026 bioRxiv v1 preprint；未同行评审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必须标 PREPRINT；不能按既定 SOTA 终局对待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一个 Tetrahymena P4–P6 construct；0/5 mM Mg²⁺；每条件一个 full time course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不是高 N second-system benchmark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49 A + 21/35 C 可拟合；14 C 为 &gt;3 kcal/mol lower bounds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位点是同一 RNA 上相关 endpoints，不是 70 independent N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PRIME/nerd + Zenodo 18398129（论文声明版本）</w:t>
            </w:r>
          </w:p>
        </w:tc>
        <w:tc>
          <w:tcPr>
            <w:tcW w:type="dxa" w:w="48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若执行 annex，必须显式冻结 version/hash；不得让 concept DOI 静默漂移</w:t>
            </w:r>
          </w:p>
        </w:tc>
      </w:tr>
    </w:tbl>
    <w:p>
      <w:pPr>
        <w:spacing w:after="40"/>
      </w:pP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PRIME 必须进入创新性和方法竞争矩阵，可作为 operator assumptions、site-level energetics 或 Mg²⁺ coupling 的低 N 正交 falsification；不替代 qMaPseq，也不替代 tecto T0，更不构成 junction-bearing independent operator。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10.3 预训练/先验资源的允许角色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088"/>
        <w:gridCol w:w="4608"/>
        <w:gridCol w:w="2952"/>
      </w:tblGrid>
      <w:tr>
        <w:trPr>
          <w:tblHeader w:val="true"/>
          <w:cantSplit/>
        </w:trPr>
        <w:tc>
          <w:tcPr>
            <w:tcW w:type="dxa" w:w="208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资源</w:t>
            </w:r>
          </w:p>
        </w:tc>
        <w:tc>
          <w:tcPr>
            <w:tcW w:type="dxa" w:w="460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允许角色</w:t>
            </w:r>
          </w:p>
        </w:tc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禁止角色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Rfam / RNAcentral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sequence corpus、family labels、canonicalization、exposure audit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target thermodynamic labels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RNA3DB / PDB / Motif Atlas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geometry/template ancestry、frame checks、operator prior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独立 thermodynamic validation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RMDB / Ribonanza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chemical-mapping noise、operator prior、pretraining baseline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替代 target-specific second-system evidence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frozen RNA LM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小容量 exposure-audited sequence baseline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架构创新或无泄漏证明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smFRET / SAXS / low-throughput assays</w:t>
            </w:r>
          </w:p>
        </w:tc>
        <w:tc>
          <w:tcPr>
            <w:tcW w:type="dxa" w:w="460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候选正交 falsification 或 future version 设计</w:t>
            </w:r>
          </w:p>
        </w:tc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v1.2 根 Gate；本版本不含新湿实验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10.4 预训练数据穷尽原则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“可穷尽利用”不等于把所有公开数据混成 labels。v1.2 要求建立 capability matrix：每个 source 只进入其可支持的 axis，并记录版本、license、unit、operator、family/template exposure 和与 outer test 的重叠。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656"/>
        <w:gridCol w:w="5112"/>
        <w:gridCol w:w="2880"/>
      </w:tblGrid>
      <w:tr>
        <w:trPr>
          <w:tblHeader w:val="true"/>
          <w:cantSplit/>
        </w:trPr>
        <w:tc>
          <w:tcPr>
            <w:tcW w:type="dxa" w:w="16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Axis</w:t>
            </w:r>
          </w:p>
        </w:tc>
        <w:tc>
          <w:tcPr>
            <w:tcW w:type="dxa" w:w="51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可穷尽检索的内容</w:t>
            </w:r>
          </w:p>
        </w:tc>
        <w:tc>
          <w:tcPr>
            <w:tcW w:type="dxa" w:w="288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sequence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RNAcentral/Rfam/论文 supplementary/catalog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 sequence registry + exact/near-homolog audit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geometry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PDB/RNA3DB/Motif Atlas/论文 structures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frame/template ancestry registry；不生成 thermodynamic label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chemical mapping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RMDB/Ribonanza/qMaP/PRIME and cited datasets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operator/noise priors；source-specific endpoints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thermodynamics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Denny/RNA-MaP/qMaP references and lawful public records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platform-cluster-aware endpoint registry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pretrained models</w:t>
            </w:r>
          </w:p>
        </w:tc>
        <w:tc>
          <w:tcPr>
            <w:tcW w:type="dxa" w:w="51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model cards/training corpora where disclosed</w:t>
            </w:r>
          </w:p>
        </w:tc>
        <w:tc>
          <w:tcPr>
            <w:tcW w:type="dxa" w:w="288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ExposureRegistry + NOT_AVAILABLE_NOT_ASSERTED gaps</w:t>
            </w:r>
          </w:p>
        </w:tc>
      </w:tr>
    </w:tbl>
    <w:p>
      <w:pPr>
        <w:spacing w:after="40"/>
      </w:pPr>
    </w:p>
    <w:p>
      <w:pPr>
        <w:pStyle w:val="Heading1"/>
      </w:pPr>
      <w:bookmarkStart w:id="111" w:name="v12_section_12"/>
      <w:r>
        <w:rPr>
          <w:rFonts w:ascii="Arial" w:hAnsi="Arial" w:eastAsia="Arial Unicode MS" w:cs="Arial"/>
          <w:b/>
          <w:color w:val="2E74B5"/>
          <w:sz w:val="32"/>
        </w:rPr>
        <w:t>11. 论文主张矩阵、发表路线与停止规则</w:t>
      </w:r>
      <w:bookmarkEnd w:id="111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11.1 结果 × 允许主张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12"/>
        <w:gridCol w:w="3960"/>
        <w:gridCol w:w="2376"/>
      </w:tblGrid>
      <w:tr>
        <w:trPr>
          <w:tblHeader w:val="true"/>
          <w:cantSplit/>
        </w:trPr>
        <w:tc>
          <w:tcPr>
            <w:tcW w:type="dxa" w:w="331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结果组合</w:t>
            </w:r>
          </w:p>
        </w:tc>
        <w:tc>
          <w:tcPr>
            <w:tcW w:type="dxa" w:w="39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允许主张</w:t>
            </w:r>
          </w:p>
        </w:tc>
        <w:tc>
          <w:tcPr>
            <w:tcW w:type="dxa" w:w="23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标题/摘要边界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PASS + QMAP_TRANSFER_SUPPORTED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方法在另一个公开 TL/TLR–Mg²⁺ measurement system 上通过预注册迁移测试；qMaP 条件下 chemical mapping 含 held-out thermodynamic signal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可用受限 cross-measurement-system/generalization；不得称 junction 同标签复现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PASS + QMAP_TRANSFER_NOT_SUPPORTED / QMAP_INCONCLUSIVE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tecto-specific robust target functional；qMaP 提供预注册边界、阴性或不确定证据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主标题以 tecto-specific/partial-ID 为核心；不写广义 chemical-mapping validation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PASS + QMAP_NOT_ADMITTED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tecto-specific reanalysis、benchmark 或 partial-ID case study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不得写 strong cross-system；必须披露 qMaP admission failure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Q4/Q5 未完成或失败 + NOT_ADJUDICATED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强跨系统路线 fail closed；Tecto PASS 时最多为 tecto-specific，且披露 mandatory qMaP gate 未完成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 PASS → TECTO_SPECIFIC；Tecto FAIL → STOP_MECHANISM_ROUTE；不得写 qMaP completed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Tecto FAIL + QMAP_TRANSFER_SUPPORTED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measurement/identifiability comparative result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不得保留 junction-preorganization 主标题或暗示 tecto mechanism 成功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两支均无可解释结果</w:t>
            </w:r>
          </w:p>
        </w:tc>
        <w:tc>
          <w:tcPr>
            <w:tcW w:type="dxa" w:w="39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停止 mechanism-paper 路线；数据审计稿另行评估</w:t>
            </w:r>
          </w:p>
        </w:tc>
        <w:tc>
          <w:tcPr>
            <w:tcW w:type="dxa" w:w="23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不默认可发表；需新合同裁定 audit paper 是否有独立价值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11.2 永久禁止的论文主张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“当前 7,500-construct DMS 验证了 tectoRNA”。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“DMS 普遍等价于 thermodynamic ΔG”。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“qMaPseq 独立复现了 junction preorganization”。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“Bonilla、Shin、Yesselman 是三套独立外部验证”。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“方法已经证明跨所有 two-way junction、TLR family 或 RNA system 泛化”。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“一个大型/多模态/foundation 架构本身构成科学创新”。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“负结果本身保证可发表”或“合同完成保证期刊接收”。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9B1C1C"/>
          <w:sz w:val="20"/>
        </w:rPr>
        <w:t>在 point identification 失败时只报一个无限定的预组织自由能点值。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11.3 主张标签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448"/>
        <w:gridCol w:w="4464"/>
        <w:gridCol w:w="2736"/>
      </w:tblGrid>
      <w:tr>
        <w:trPr>
          <w:tblHeader w:val="true"/>
          <w:cantSplit/>
        </w:trPr>
        <w:tc>
          <w:tcPr>
            <w:tcW w:type="dxa" w:w="24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标签</w:t>
            </w:r>
          </w:p>
        </w:tc>
        <w:tc>
          <w:tcPr>
            <w:tcW w:type="dxa" w:w="44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可以使用的条件</w:t>
            </w:r>
          </w:p>
        </w:tc>
        <w:tc>
          <w:tcPr>
            <w:tcW w:type="dxa" w:w="27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TARGET_SPECIFIC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K*/c*/system/operator 边界明确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target-specific preorganization functional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OPERATOR_CONDITIONAL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只在某一已校准 operator 下成立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conditional on frozen U_s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OPERATOR_ROBUST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对 admitted 𝒰 worst case 稳定并校准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operator-robust interval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PARTIALLY_IDENTIFIED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点识别失败但 set/interval 有覆盖与有限宽度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identified set for Φ*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WITHIN_PLATFORM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同一 RNA-MaP/tectoRNA platform cluster 内 holdout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within-platform blocked generalization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CROSS_MEASUREMENT_SYSTEM</w:t>
            </w:r>
          </w:p>
        </w:tc>
        <w:tc>
          <w:tcPr>
            <w:tcW w:type="dxa" w:w="44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Q0–Q5 完成且 QMAP_TRANSFER_SUPPORTED</w:t>
            </w:r>
          </w:p>
        </w:tc>
        <w:tc>
          <w:tcPr>
            <w:tcW w:type="dxa" w:w="27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locked transfer to qMaPseq TL/TLR–Mg²⁺ system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11.4 可发表性现实边界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本合同只提高可审计性与 claim 纪律，不能承诺发表。潜在论文价值依赖于：tecto 数据是否形成真实 holdout；Φ* 是否得到非平凡、校准且 operator-robust 的 identified interval；结果是否超越 matched simple baselines；qMaP locked test 是否提供可解释的支持或边界；以及与 PRIME 等竞争方法相比是否仍有清晰差异。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520"/>
        <w:gridCol w:w="4536"/>
        <w:gridCol w:w="2592"/>
      </w:tblGrid>
      <w:tr>
        <w:trPr>
          <w:tblHeader w:val="true"/>
          <w:cantSplit/>
        </w:trPr>
        <w:tc>
          <w:tcPr>
            <w:tcW w:type="dxa" w:w="25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路线</w:t>
            </w:r>
          </w:p>
        </w:tc>
        <w:tc>
          <w:tcPr>
            <w:tcW w:type="dxa" w:w="45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最低证据</w:t>
            </w:r>
          </w:p>
        </w:tc>
        <w:tc>
          <w:tcPr>
            <w:tcW w:type="dxa" w:w="25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风险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强方法/跨系统路线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Tecto PASS + QMAP_TRANSFER_SUPPORTED + 明确方法差异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qMaP selected population、平台关联和 small effective N 限制主张强度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tecto-specific partial-ID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Tecto PASS；nontrivial interval、calibration、blocked holdout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若 interval 太宽或只复现简单 baseline，贡献不足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阴性/边界机制稿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预注册 qMaP negative/inconclusive；清楚解释可识别性边界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负结果需要普遍方法价值，不自动可发表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数据审计稿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可复现、对社区有独立价值的 dataset/lineage failure analysis</w:t>
            </w:r>
          </w:p>
        </w:tc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项目内部清洗问题未必具备外部新颖性</w:t>
            </w:r>
          </w:p>
        </w:tc>
      </w:tr>
    </w:tbl>
    <w:p>
      <w:pPr>
        <w:spacing w:after="40"/>
      </w:pPr>
    </w:p>
    <w:p>
      <w:pPr>
        <w:pStyle w:val="Heading1"/>
      </w:pPr>
      <w:bookmarkStart w:id="112" w:name="v12_section_13"/>
      <w:r>
        <w:rPr>
          <w:rFonts w:ascii="Arial" w:hAnsi="Arial" w:eastAsia="Arial Unicode MS" w:cs="Arial"/>
          <w:b/>
          <w:color w:val="2E74B5"/>
          <w:sz w:val="32"/>
        </w:rPr>
        <w:t>12. 运行治理、manifest、可复现与变更控制</w:t>
      </w:r>
      <w:bookmarkEnd w:id="112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12.1 每个正式 run 的最小绑定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7848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层</w:t>
            </w:r>
          </w:p>
        </w:tc>
        <w:tc>
          <w:tcPr>
            <w:tcW w:type="dxa" w:w="78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必须绑定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contract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absolute path、version、SHA-256、签署/冻结时间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repo、commit、worktree status、entry point、source-origin audit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data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accession/version、download timestamp、license、size、SHA-256、input manifest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spec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EstimandSpec、OperatorUncertaintySpec、SymmetryFrameSpec、transport spec、split hash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runtime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run/parent ID、config、seed、environment、hardware/GPU evidence if used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artifacts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path、size、hash、schema、producer、freshness lineage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decision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gate status、reason、known limitations、finalizer、sentinel、terminal time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12.2 CanonicalStateManifest 决策规则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每个 run 只有一个 current canonical manifest；derived summaries 必须声明 parent manifest hash。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finalizer 必须检查 source/input freshness、required artifact completeness、checksums、Gate invariants 和 sentinel。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未 terminal、finalizer 缺失、checksum mismatch 或 stale derived manifest 时，一律不允许 PASS。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旧 status/report 与 canonical manifest 不一致时，旧文件自动 `STALE_NOT_AUTHORITATIVE`；不得修改旧文件来消除矛盾。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工程测试、smoke、proxy、replay、development evidence、formal Gate 和 scientific claim 必须使用不同 status namespace。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12.3 失败与恢复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232"/>
        <w:gridCol w:w="4320"/>
        <w:gridCol w:w="3096"/>
      </w:tblGrid>
      <w:tr>
        <w:trPr>
          <w:tblHeader w:val="true"/>
          <w:cantSplit/>
        </w:trPr>
        <w:tc>
          <w:tcPr>
            <w:tcW w:type="dxa" w:w="223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事件</w:t>
            </w:r>
          </w:p>
        </w:tc>
        <w:tc>
          <w:tcPr>
            <w:tcW w:type="dxa" w:w="432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必须动作</w:t>
            </w:r>
          </w:p>
        </w:tc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禁止动作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source/hash 不一致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终止本 Gate；保留 evidence；新 acquisition/run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覆盖旧文件后继续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schema/row mapping 失败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写逐行 failure ledger；评估 admission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丢弃无法映射行后宣称 100%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模型/optimizer 失败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保留 stderr/config/checkpoint；parent-linked rerun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复用失败 run root 冒充新 run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Gate FAIL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记录 fail reason 和下游 BLOCKED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降低阈值、跳 Gate 或把负结果改 PASS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外部 prerequisite 不可得</w:t>
            </w:r>
          </w:p>
        </w:tc>
        <w:tc>
          <w:tcPr>
            <w:tcW w:type="dxa" w:w="43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按合同终态关闭分支</w:t>
            </w:r>
          </w:p>
        </w:tc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无限轮询或依赖未承诺作者回复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12.4 变更控制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952"/>
        <w:gridCol w:w="2160"/>
        <w:gridCol w:w="4536"/>
      </w:tblGrid>
      <w:tr>
        <w:trPr>
          <w:tblHeader w:val="true"/>
          <w:cantSplit/>
        </w:trPr>
        <w:tc>
          <w:tcPr>
            <w:tcW w:type="dxa" w:w="29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变更类型</w:t>
            </w:r>
          </w:p>
        </w:tc>
        <w:tc>
          <w:tcPr>
            <w:tcW w:type="dxa" w:w="216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是否需新合同版本</w:t>
            </w:r>
          </w:p>
        </w:tc>
        <w:tc>
          <w:tcPr>
            <w:tcW w:type="dxa" w:w="453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最低记录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estimand/K*/c*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原因、旧/新 spec hash、影响 Gate、是否看过 outcome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primary split/metric/operator criterion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是或正式 amendment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power/identifiability 依据、sealed-outcome attestation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新增数据系统/湿实验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source/operator/estimand/transport/ethics/license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bug fix 不改科学定义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不一定；必须新 run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parent ID、patch commit、failure evidence、新 hashes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意外获得 current-DMS crosswalk</w:t>
            </w:r>
          </w:p>
        </w:tc>
        <w:tc>
          <w:tcPr>
            <w:tcW w:type="dxa" w:w="216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是；不得在 v1.2 内恢复</w:t>
            </w:r>
          </w:p>
        </w:tc>
        <w:tc>
          <w:tcPr>
            <w:tcW w:type="dxa" w:w="45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新版本、新 acquisition、新 run；旧状态保持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12.5 计算与 GPU 证据边界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若后续 Gate 使用 GPU，正式 CUDA 证据必须包含 GPU UUID、真实 model/input、forward/backward/optimizer step、dtype/device、fallback count 和 artifact hash。`nvidia-smi`、健康快照、dry run 或 CPU fallback 不能替代。v1.2 当前未授权任何训练或 GPU Gate。</w:t>
      </w:r>
    </w:p>
    <w:p>
      <w:pPr>
        <w:pStyle w:val="Heading1"/>
      </w:pPr>
      <w:bookmarkStart w:id="113" w:name="v12_section_14"/>
      <w:r>
        <w:rPr>
          <w:rFonts w:ascii="Arial" w:hAnsi="Arial" w:eastAsia="Arial Unicode MS" w:cs="Arial"/>
          <w:b/>
          <w:color w:val="2E74B5"/>
          <w:sz w:val="32"/>
        </w:rPr>
        <w:t>13. Gate 产物、交付物与验收测试</w:t>
      </w:r>
      <w:bookmarkEnd w:id="113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13.1 tecto 分支最低产物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792"/>
        <w:gridCol w:w="5472"/>
        <w:gridCol w:w="3384"/>
      </w:tblGrid>
      <w:tr>
        <w:trPr>
          <w:tblHeader w:val="true"/>
          <w:cantSplit/>
        </w:trPr>
        <w:tc>
          <w:tcPr>
            <w:tcW w:type="dxa" w:w="7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Gate</w:t>
            </w:r>
          </w:p>
        </w:tc>
        <w:tc>
          <w:tcPr>
            <w:tcW w:type="dxa" w:w="54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最低产物</w:t>
            </w:r>
          </w:p>
        </w:tc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正式验收重点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source manifest；license；1,687/1,713/1,636 set algebra；raw→analysis attrition；preliminary graph/holdout feasibility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provenance、units、censor direction、no silent exclusions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S0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EstimandSpec；OperatorUncertaintySpec；SymmetryFrameSpec；primary choices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唯一性、外部依据、round trip、outcome-blind freeze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T1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CleaningLedger；graph；effective-N report；split manifest；ExposureRegistry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outer holdout、component closure、power、leakage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M0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synthetic fixtures；recovery/coverage；alias/misspecification/failure-injection tests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算法能报告 non-ID；tolerances 预冻结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T2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tecto-only baseline/model results；matched comparisons；calibration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sealed outer test、cNLPD、group uncertainty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T3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Φ* identified intervals；coverage/width；ranking；operator sensitivity；claim adjudication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target-specific、operator-robust/conditional 标签正确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13.2 qMaPseq 分支最低产物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792"/>
        <w:gridCol w:w="5472"/>
        <w:gridCol w:w="3384"/>
      </w:tblGrid>
      <w:tr>
        <w:trPr>
          <w:tblHeader w:val="true"/>
          <w:cantSplit/>
        </w:trPr>
        <w:tc>
          <w:tcPr>
            <w:tcW w:type="dxa" w:w="7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Gate</w:t>
            </w:r>
          </w:p>
        </w:tc>
        <w:tc>
          <w:tcPr>
            <w:tcW w:type="dxa" w:w="547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最低产物</w:t>
            </w:r>
          </w:p>
        </w:tc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正式验收重点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Q0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SRA/Figshare/Zenodo/GitHub fixed-source manifest；licenses；sizes；hashes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no floating HEAD；core source 可验证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Q1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98 registry；1,592/1,493/277/98 set algebra；orientation/name mapping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100% traceability；exact catalog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Q2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84/11/2/1 ledger；5 mM condition exception；4-cluster set intersection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censoring、structural-QC、analysis attrition 分层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Q3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98 endpoint table；curves；uncertainty；replay tolerance report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逐值重建；不是只复现 R²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Q4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selection analysis；mutation/edit graph split；frozen metrics/baselines/power/controls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outcome-blind；不反向调 tecto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Q5</w:t>
            </w:r>
          </w:p>
        </w:tc>
        <w:tc>
          <w:tcPr>
            <w:tcW w:type="dxa" w:w="54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locked transfer results；all sensitivity/controls；terminal state；claim record</w:t>
            </w:r>
          </w:p>
        </w:tc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complete≠positive；terminal enum 合法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13.3 本次合同文档交付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6552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交付物</w:t>
            </w:r>
          </w:p>
        </w:tc>
        <w:tc>
          <w:tcPr>
            <w:tcW w:type="dxa" w:w="65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1.2.docx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完整、clean、可编辑；不覆盖原始 1.1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1.1_to_1.2_redline.docx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完整 v1.2 + 决策级 old/new 对照与 [新增]/[改写]/[关闭]/[迁移] 标记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v1.2_decision_and_claim_log.md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变更决策、claim matrix 摘要、source verification、QA 与 SHA-256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13.4 DOCX 内容与版式验收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完整结构抽取；Heading 层级、目录、页眉页脚、PAGE/NUMPAGES fields、表格 geometry 和 ZIP integrity。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逐页渲染 clean 与 redline；中文字体、公式、表格、引用、断页、溢出、重叠、孤行/孤标题均无错误。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8 个状态字面量在封面、执行摘要、最终决策和 machine-readable specification 一致。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 Gate、DAG 依赖、qMaP terminal states 和 claim matrix 前后一致；current-DMS 关闭不阻塞 T0–T3。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所有数据规模区分 reads、rows、measurement units、constructs、motifs、independent groups、effective N 和 admitted labels。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 98→84/11/2/1、5 mM condition exception 和 4-cluster analysis attrition 均覆盖；不得把 84 complete cases冒充完整验证。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Bonilla/Shin/Yesselman 标记为同一 platform cluster；PRIME 标 PREPRINT 且 independent N 边界正确。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新增文献 DOI、年份、题名、数据/代码入口经一手来源核对。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原始 1.1、clean 1.2、redline 和 decision log 分别生成 SHA-256；原始 1.1 hash 保持不变。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13.5 文本清扫规则</w:t>
      </w:r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clean 1.2 不得保留任何仍具 operational authority 的 `Conditional GO after Phase 0.5`、current-DMS Fisher/Schur success formula、current-DMS joint model、DMS-driven threshold/split、sequence+DMS deployment 或过度发表承诺。redline 中出现旧词只能位于明确标注为“删除/关闭/历史”的上下文。</w:t>
      </w:r>
    </w:p>
    <w:p>
      <w:pPr>
        <w:pStyle w:val="Heading1"/>
      </w:pPr>
      <w:bookmarkStart w:id="114" w:name="v12_section_15"/>
      <w:r>
        <w:rPr>
          <w:rFonts w:ascii="Arial" w:hAnsi="Arial" w:eastAsia="Arial Unicode MS" w:cs="Arial"/>
          <w:b/>
          <w:color w:val="2E74B5"/>
          <w:sz w:val="32"/>
        </w:rPr>
        <w:t>14. 最终决策与下一步授权</w:t>
      </w:r>
      <w:bookmarkEnd w:id="114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Final decision: CONDITIONAL CANDIDATE / NO UNLOCK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项目仍值得继续，因为真正的问题不是“能否拼两套大数据训练模型”，而是：在 Denny tectoRNA 数据、删失、相关 fingerprint 和 uncertain operators 下，一个 target-specific preorganization functional 是否能被诚实地识别；并且这一方法是否能在 qMaPseq 的受限 TL/TLR–Mg²⁺系统上经锁定测试迁移。当前没有任何科学解锁，也没有发表保证。</w:t>
            </w:r>
          </w:p>
        </w:tc>
      </w:tr>
    </w:tbl>
    <w:p>
      <w:pPr>
        <w:spacing w:after="20"/>
      </w:pP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384"/>
        <w:gridCol w:w="6264"/>
      </w:tblGrid>
      <w:tr>
        <w:trPr>
          <w:tblHeader w:val="true"/>
          <w:cantSplit/>
        </w:trPr>
        <w:tc>
          <w:tcPr>
            <w:tcW w:type="dxa" w:w="338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状态键</w:t>
            </w:r>
          </w:p>
        </w:tc>
        <w:tc>
          <w:tcPr>
            <w:tcW w:type="dxa" w:w="626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最终冻结值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CURRENT_OPERATIONAL_STATE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BLOCKED_AT_TECTO_DATA_ADMISSION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CURRENT_SCIENTIFIC_DISPOSITION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CONDITIONAL_CANDIDATE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CURRENT_DMS_CROSSWALK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ASSUMED_PERMANENTLY_UNAVAILABLE_V1_2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CURRENT_DMS_PRIMARY_LABELS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NOT_ADMITTED_FINAL_V1_2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CURRENT_DMS_REPLAY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ENGINEERING_EVIDENCE_ONLY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CURRENT_DMS_JOINT_TRANSPORT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CLOSED_NOT_AUTHORIZED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QMAPSEQ_ROLE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MANDATORY_COMPLETION_GATE_FOR_STRONG_MANUSCRIPT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SCIENTIFIC_UNLOCK</w:t>
            </w:r>
          </w:p>
        </w:tc>
        <w:tc>
          <w:tcPr>
            <w:tcW w:type="dxa" w:w="626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NO_UNLOCK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14.1 下一步唯一授权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1. </w:t>
      </w:r>
      <w:r>
        <w:rPr>
          <w:rFonts w:ascii="Arial" w:hAnsi="Arial" w:eastAsia="Arial Unicode MS" w:cs="Arial"/>
          <w:sz w:val="20"/>
        </w:rPr>
        <w:t>启动 tecto T0：只做 source/data admission、完整清洗设计、集合关系、graph 和 holdout feasibility；不得拟合真实标签主模型。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2. </w:t>
      </w:r>
      <w:r>
        <w:rPr>
          <w:rFonts w:ascii="Arial" w:hAnsi="Arial" w:eastAsia="Arial Unicode MS" w:cs="Arial"/>
          <w:sz w:val="20"/>
        </w:rPr>
        <w:t>并行启动 qMaP Q0–Q3：固定资源、构建 98 registry、重建多层 attrition 与 endpoint；Q4/Q5 必须等 outcome-blind freeze。</w:t>
      </w:r>
    </w:p>
    <w:p>
      <w:pPr>
        <w:spacing w:after="80"/>
        <w:ind w:left="403" w:hanging="403"/>
      </w:pPr>
      <w:r>
        <w:rPr>
          <w:rFonts w:ascii="Arial" w:hAnsi="Arial" w:eastAsia="Arial Unicode MS" w:cs="Arial"/>
          <w:b/>
          <w:color w:val="2E74B5"/>
          <w:sz w:val="20"/>
        </w:rPr>
        <w:t xml:space="preserve">3. </w:t>
      </w:r>
      <w:r>
        <w:rPr>
          <w:rFonts w:ascii="Arial" w:hAnsi="Arial" w:eastAsia="Arial Unicode MS" w:cs="Arial"/>
          <w:sz w:val="20"/>
        </w:rPr>
        <w:t>完成 T0/Q0–Q3 后生成 CanonicalStateManifest 与审计报告，再按本合同 Gate 裁定；不得把进度报告写成 PASS。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14.2 明确不授权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 current-DMS crosswalk 恢复、joint transport 或任何正式 science use。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不授权大型多模态/foundation model、sequence deployment、structure downstream 或新湿实验。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不授权远端合同同步、repo 修改、commit、push、训练或投稿。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不授权基于数据规模表面数字、相关系数或工程 replay 宣称 scientific unlock。</w:t>
      </w:r>
    </w:p>
    <w:p>
      <w:pPr>
        <w:pStyle w:val="Heading1"/>
      </w:pPr>
      <w:bookmarkStart w:id="115" w:name="v12_section_16"/>
      <w:r>
        <w:rPr>
          <w:rFonts w:ascii="Arial" w:hAnsi="Arial" w:eastAsia="Arial Unicode MS" w:cs="Arial"/>
          <w:b/>
          <w:color w:val="2E74B5"/>
          <w:sz w:val="32"/>
        </w:rPr>
        <w:t>参考文献</w:t>
      </w:r>
      <w:bookmarkEnd w:id="115"/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[R1] Denny, S. K. et al. High-Throughput Investigation of Diverse Junction Elements in RNA Tertiary Folding. Cell 174(2), 377–390.e20 (2018). DOI: 10.1016/j.cell.2018.05.038. </w:t>
      </w:r>
      <w:hyperlink r:id="rId10">
        <w:r>
          <w:rPr>
            <w:rFonts w:ascii="Arial" w:hAnsi="Arial" w:eastAsia="Arial Unicode MS" w:cs="Arial"/>
            <w:color w:val="2E74B5"/>
            <w:sz w:val="18"/>
            <w:u w:val="single"/>
          </w:rPr>
          <w:t>https://doi.org/10.1016/j.cell.2018.05.038</w:t>
        </w:r>
      </w:hyperlink>
      <w:r>
        <w:rPr>
          <w:rFonts w:ascii="Arial" w:hAnsi="Arial" w:eastAsia="Arial Unicode MS" w:cs="Arial"/>
          <w:sz w:val="18"/>
        </w:rPr>
        <w:t xml:space="preserve"> ; PMC6053692: </w:t>
      </w:r>
      <w:hyperlink r:id="rId11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https://pmc.ncbi.nlm.nih.gov/articles/PMC6053692/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[R2] Lange, B., Gil, R. G., Anderson, G. S. &amp; Yesselman, J. D. High-throughput determination of RNA tertiary contact thermodynamics by quantitative DMS chemical mapping. Nucleic Acids Research 52(16), 9953–9965 (2024). DOI: 10.1093/nar/gkae633. </w:t>
      </w:r>
      <w:hyperlink r:id="rId22">
        <w:r>
          <w:rPr>
            <w:rFonts w:ascii="Arial" w:hAnsi="Arial" w:eastAsia="Arial Unicode MS" w:cs="Arial"/>
            <w:color w:val="2E74B5"/>
            <w:sz w:val="18"/>
            <w:u w:val="single"/>
          </w:rPr>
          <w:t>https://academic.oup.com/nar/article/52/16/9953/7724680</w:t>
        </w:r>
      </w:hyperlink>
      <w:r>
        <w:rPr>
          <w:rFonts w:ascii="Arial" w:hAnsi="Arial" w:eastAsia="Arial Unicode MS" w:cs="Arial"/>
          <w:sz w:val="18"/>
        </w:rPr>
        <w:t xml:space="preserve"> ; PMC11381326: </w:t>
      </w:r>
      <w:hyperlink r:id="rId43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https://pmc.ncbi.nlm.nih.gov/articles/PMC11381326/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[R3] Bonilla, S. L. et al. High-throughput dissection of the thermodynamic and conformational properties of a ubiquitous class of RNA tertiary contact motifs. PNAS 118(33), e2109085118 (2021). DOI: 10.1073/pnas.2109085118. </w:t>
      </w:r>
      <w:hyperlink r:id="rId19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https://pmc.ncbi.nlm.nih.gov/articles/PMC8379967/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[R4] Shin, J. H. et al. Dissecting the energetic architecture within an RNA tertiary structural motif via high-throughput thermodynamic measurements. PNAS 120(11), e2220485120 (2023). DOI: 10.1073/pnas.2220485120. </w:t>
      </w:r>
      <w:hyperlink r:id="rId44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https://pmc.ncbi.nlm.nih.gov/articles/PMC10243134/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[R5] Yesselman, J. D. et al. Sequence-dependent RNA helix conformational preferences predictably impact tertiary structure formation. PNAS 116(34), 16847–16855 (2019). DOI: 10.1073/pnas.1901530116. </w:t>
      </w:r>
      <w:hyperlink r:id="rId17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https://pmc.ncbi.nlm.nih.gov/articles/PMC6708322/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[R6] Choi, E. K. et al. Ubiquitous Low-Energy RNA Fluctuations and Energetic Coupling Measured by Chemical Probing. bioRxiv Version 1 preprint (posted 30 January 2026). DOI: 10.64898/2026.01.28.702231. NOT PEER REVIEWED. </w:t>
      </w:r>
      <w:hyperlink r:id="rId45">
        <w:r>
          <w:rPr>
            <w:rFonts w:ascii="Arial" w:hAnsi="Arial" w:eastAsia="Arial Unicode MS" w:cs="Arial"/>
            <w:color w:val="2E74B5"/>
            <w:sz w:val="18"/>
            <w:u w:val="single"/>
          </w:rPr>
          <w:t>https://pmc.ncbi.nlm.nih.gov/articles/PMC12873924/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[R7] Deenalattha, D. H. S. et al. Characterizing RNA 3D structural features from DMS reactivity. Nucleic Acids Research 54(14), gkag672 (2026). DOI: 10.1093/nar/gkag672. </w:t>
      </w:r>
      <w:hyperlink r:id="rId12">
        <w:r>
          <w:rPr>
            <w:rFonts w:ascii="Arial" w:hAnsi="Arial" w:eastAsia="Arial Unicode MS" w:cs="Arial"/>
            <w:color w:val="2E74B5"/>
            <w:sz w:val="18"/>
            <w:u w:val="single"/>
          </w:rPr>
          <w:t>https://doi.org/10.1093/nar/gkag672</w:t>
        </w:r>
      </w:hyperlink>
      <w:r>
        <w:rPr>
          <w:rFonts w:ascii="Arial" w:hAnsi="Arial" w:eastAsia="Arial Unicode MS" w:cs="Arial"/>
          <w:sz w:val="18"/>
        </w:rPr>
        <w:t xml:space="preserve"> . Historical current-DMS source only; not an admitted v1.2 label source.</w:t>
      </w:r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[D1] qMaPseq SRA/BioProject: PRJNA1086549. </w:t>
      </w:r>
      <w:hyperlink r:id="rId46">
        <w:r>
          <w:rPr>
            <w:rFonts w:ascii="Arial" w:hAnsi="Arial" w:eastAsia="Arial Unicode MS" w:cs="Arial"/>
            <w:color w:val="2E74B5"/>
            <w:sz w:val="18"/>
            <w:u w:val="single"/>
          </w:rPr>
          <w:t>https://www.ncbi.nlm.nih.gov/bioproject/PRJNA1086549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[D2] Yesselman, J. qdms-mapseq data. Figshare Dataset v2 (2024). DOI: 10.6084/m9.figshare.25331758.v2. </w:t>
      </w:r>
      <w:hyperlink r:id="rId47">
        <w:r>
          <w:rPr>
            <w:rFonts w:ascii="Arial" w:hAnsi="Arial" w:eastAsia="Arial Unicode MS" w:cs="Arial"/>
            <w:color w:val="2E74B5"/>
            <w:sz w:val="18"/>
            <w:u w:val="single"/>
          </w:rPr>
          <w:t>https://figshare.com/articles/dataset/data/25331758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[D3] Yesselman, J. qmap_paper_analysis. Zenodo Software (2024). DOI: 10.5281/zenodo.11672684. </w:t>
      </w:r>
      <w:hyperlink r:id="rId48">
        <w:r>
          <w:rPr>
            <w:rFonts w:ascii="Arial" w:hAnsi="Arial" w:eastAsia="Arial Unicode MS" w:cs="Arial"/>
            <w:color w:val="2E74B5"/>
            <w:sz w:val="18"/>
            <w:u w:val="single"/>
          </w:rPr>
          <w:t>https://zenodo.org/records/11672684</w:t>
        </w:r>
      </w:hyperlink>
      <w:r>
        <w:rPr>
          <w:rFonts w:ascii="Arial" w:hAnsi="Arial" w:eastAsia="Arial Unicode MS" w:cs="Arial"/>
          <w:sz w:val="18"/>
        </w:rPr>
        <w:t xml:space="preserve"> ; repository: </w:t>
      </w:r>
      <w:hyperlink r:id="rId49">
        <w:r>
          <w:rPr>
            <w:rFonts w:ascii="Arial" w:hAnsi="Arial" w:eastAsia="Arial Unicode MS" w:cs="Arial"/>
            <w:color w:val="2E74B5"/>
            <w:sz w:val="18"/>
            <w:u w:val="single"/>
          </w:rPr>
          <w:t>https://github.com/YesselmanLabPublications/2024_qmap_paper</w:t>
        </w:r>
      </w:hyperlink>
    </w:p>
    <w:p>
      <w:pPr>
        <w:spacing w:after="120"/>
        <w:ind w:hanging="403" w:left="403"/>
      </w:pPr>
      <w:r>
        <w:rPr>
          <w:rFonts w:ascii="Arial" w:hAnsi="Arial" w:eastAsia="Arial Unicode MS" w:cs="Arial"/>
          <w:sz w:val="18"/>
        </w:rPr>
        <w:t xml:space="preserve">[D4] PRIME declared source-data archive: </w:t>
      </w:r>
      <w:hyperlink r:id="rId50">
        <w:r>
          <w:rPr>
            <w:rFonts w:ascii="Arial" w:hAnsi="Arial" w:eastAsia="Arial Unicode MS" w:cs="Arial"/>
            <w:color w:val="2E74B5"/>
            <w:sz w:val="18"/>
            <w:u w:val="single"/>
          </w:rPr>
          <w:t>https://zenodo.org/records/18398129</w:t>
        </w:r>
      </w:hyperlink>
      <w:r>
        <w:rPr>
          <w:rFonts w:ascii="Arial" w:hAnsi="Arial" w:eastAsia="Arial Unicode MS" w:cs="Arial"/>
          <w:sz w:val="18"/>
        </w:rPr>
        <w:t xml:space="preserve"> ; core framework: </w:t>
      </w:r>
      <w:hyperlink r:id="rId51">
        <w:r>
          <w:rPr>
            <w:rFonts w:ascii="Arial" w:hAnsi="Arial" w:eastAsia="Arial Unicode MS" w:cs="Arial"/>
            <w:color w:val="2E74B5"/>
            <w:sz w:val="18"/>
            <w:u w:val="single"/>
          </w:rPr>
          <w:t>https://github.com/LucksLab/nerd</w:t>
        </w:r>
      </w:hyperlink>
      <w:r>
        <w:rPr>
          <w:rFonts w:ascii="Arial" w:hAnsi="Arial" w:eastAsia="Arial Unicode MS" w:cs="Arial"/>
          <w:sz w:val="18"/>
        </w:rPr>
        <w:t xml:space="preserve"> . Any annex execution must freeze an explicit record version and checksum.</w:t>
      </w: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参考文献核验说明</w:t>
      </w:r>
    </w:p>
    <w:p>
      <w:pPr>
        <w:keepNext w:val="0"/>
        <w:spacing w:after="120"/>
      </w:pPr>
      <w:r>
        <w:rPr>
          <w:rFonts w:ascii="Arial" w:hAnsi="Arial" w:eastAsia="Arial Unicode MS" w:cs="Arial"/>
          <w:i/>
          <w:color w:val="667085"/>
          <w:sz w:val="18"/>
        </w:rPr>
        <w:t>R1–R5 的题名、年份、期刊和 DOI 已用 Crossref/PMC/期刊一手元数据核对；R6 明确为 2026 preprint；qMaP 98→84/11/2/1、R²、SRA/Figshare/Zenodo 入口来自原论文与官方资源。任何后续执行仍须在 Gate 运行时重新固定版本和 checksum。</w:t>
      </w:r>
    </w:p>
    <w:p>
      <w:pPr>
        <w:pStyle w:val="Heading1"/>
      </w:pPr>
      <w:bookmarkStart w:id="116" w:name="v12_section_17"/>
      <w:r>
        <w:rPr>
          <w:rFonts w:ascii="Arial" w:hAnsi="Arial" w:eastAsia="Arial Unicode MS" w:cs="Arial"/>
          <w:b/>
          <w:color w:val="2E74B5"/>
          <w:sz w:val="32"/>
        </w:rPr>
        <w:t>附录 A｜Machine-readable status specification</w:t>
      </w:r>
      <w:bookmarkEnd w:id="116"/>
    </w:p>
    <w:p>
      <w:pPr>
        <w:keepNext w:val="0"/>
        <w:spacing w:after="120"/>
      </w:pPr>
      <w:r>
        <w:rPr>
          <w:rFonts w:ascii="Arial" w:hAnsi="Arial" w:eastAsia="Arial Unicode MS" w:cs="Arial"/>
          <w:i w:val="0"/>
          <w:color w:val="111111"/>
          <w:sz w:val="21"/>
        </w:rPr>
        <w:t>以下是 v1.2 当前状态的规范化实例。正式运行时，JSON 文件必须由 CanonicalStateManifest 引用并校验 hash；人类可读报告不得覆盖它。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Current status instance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{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"schema": "rna-junction-contract-status/v1.2",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"contract_version": "1.2",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"as_of": "2026-08-03",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"CURRENT_OPERATIONAL_STATE": "BLOCKED_AT_TECTO_DATA_ADMISSION",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"CURRENT_SCIENTIFIC_DISPOSITION": "CONDITIONAL_CANDIDATE",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"CURRENT_DMS_CROSSWALK": "ASSUMED_PERMANENTLY_UNAVAILABLE_V1_2",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"CURRENT_DMS_PRIMARY_LABELS": "NOT_ADMITTED_FINAL_V1_2",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"CURRENT_DMS_REPLAY": "ENGINEERING_EVIDENCE_ONLY",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"CURRENT_DMS_JOINT_TRANSPORT": "CLOSED_NOT_AUTHORIZED",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"QMAPSEQ_ROLE": "MANDATORY_COMPLETION_GATE_FOR_STRONG_MANUSCRIPT",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"SCIENTIFIC_UNLOCK": "NO_UNLOCK",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"tecto_branch": {"T0": "BLOCKED", "S0":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"T1": "NOT_STARTED", "M0":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"T2": "NOT_STARTED", "T3": "NOT_STARTED"},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"qmap_gates": {"Q0": "NOT_STARTED", "Q1":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"Q2": "NOT_STARTED", "Q3": "NOT_STARTED",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  "Q4": "NOT_STARTED", "Q5": "NOT_STARTED"},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"qmap_terminal_disposition": "NOT_ADJUDICATED",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"current_dms_gate_effect_on_tecto": "NONE",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"remote_sync_authorized": false,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 xml:space="preserve">  "training_authorized": false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A.1 Allowed enums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3096"/>
        <w:gridCol w:w="6552"/>
      </w:tblGrid>
      <w:tr>
        <w:trPr>
          <w:tblHeader w:val="true"/>
          <w:cantSplit/>
        </w:trPr>
        <w:tc>
          <w:tcPr>
            <w:tcW w:type="dxa" w:w="30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655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允许值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tecto gate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NOT_STARTED | BLOCKED | PASS | FAIL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qmap_gates.Q0–Q5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NOT_STARTED | BLOCKED | PASS | FAIL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qmap_terminal_disposition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NOT_ADJUDICATED | QMAP_TRANSFER_SUPPORTED | QMAP_TRANSFER_NOT_SUPPORTED | QMAP_INCONCLUSIVE | QMAP_NOT_ADMITTED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scientific unlock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NO_UNLOCK | TECTO_ONLY_UNLOCK | STRONG_MANUSCRIPT_CLAIM_UNLOCK；后两者需新 manifest 实际证据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7"/>
              </w:rPr>
              <w:t>artifact authority</w:t>
            </w:r>
          </w:p>
        </w:tc>
        <w:tc>
          <w:tcPr>
            <w:tcW w:type="dxa" w:w="655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7"/>
              </w:rPr>
              <w:t>AUTHORITATIVE | STALE_NOT_AUTHORITATIVE | ENGINEERING_EVIDENCE_ONLY | NOT_ADMITTED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A.2 Invariants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CURRENT_DMS_PRIMARY_LABELS == NOT_ADMITTED_FINAL_V1_2。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CURRENT_DMS_JOINT_TRANSPORT == CLOSED_NOT_AUTHORIZED。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current-DMS status 不能把 T0–T3 置为 BLOCKED。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任一 tecto Gate 非 PASS 时，其直接后代不得 PASS。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初始 qmap_terminal_disposition == NOT_ADJUDICATED；不得把 qmap_gates.Q5 的 NOT_STARTED/BLOCKED 当作终态。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qmap_terminal_disposition 属于 QMAP_TRANSFER_SUPPORTED / QMAP_TRANSFER_NOT_SUPPORTED / QMAP_INCONCLUSIVE，则 qmap_gates.Q5 == PASS；三者均算 qMaP 分析完成。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Q0–Q3 的 integrity/registry/attrition/replay 无法准入，则失败 Gate == FAIL、后续 Gate == BLOCKED、qmap_terminal_disposition == QMAP_NOT_ADMITTED；tecto 主线不受影响。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若投稿裁定时 qmap_gates.Q4 或 Q5 属于 FAIL / BLOCKED / NOT_STARTED 且 qmap_terminal_disposition == NOT_ADJUDICATED，则 STRONG_CROSS_SYSTEM 禁止；Tecto PASS 仅可映射 TECTO_SPECIFIC，Tecto FAIL 映射 STOP_MECHANISM_ROUTE。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SCIENTIFIC_UNLOCK 的任何非 NO_UNLOCK 值必须由新 canonical manifest、finalizer 和相应 Gate PASS 支持。</w:t>
      </w:r>
    </w:p>
    <w:p>
      <w:pPr>
        <w:pStyle w:val="Heading1"/>
      </w:pPr>
      <w:bookmarkStart w:id="117" w:name="v12_section_18"/>
      <w:r>
        <w:rPr>
          <w:rFonts w:ascii="Arial" w:hAnsi="Arial" w:eastAsia="Arial Unicode MS" w:cs="Arial"/>
          <w:b/>
          <w:color w:val="2E74B5"/>
          <w:sz w:val="32"/>
        </w:rPr>
        <w:t>附录 B｜CanonicalStateManifest 与 ledger schema</w:t>
      </w:r>
      <w:bookmarkEnd w:id="117"/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B.1 CanonicalStateManifest 最小 schema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4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648"/>
      </w:tblGrid>
      <w:tr>
        <w:tc>
          <w:tcPr>
            <w:tcW w:type="dxa" w:w="9648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enlo" w:hAnsi="Menlo" w:eastAsia="Arial Unicode MS" w:cs="Menlo"/>
                <w:b/>
                <w:color w:val="1F4D78"/>
                <w:sz w:val="17"/>
              </w:rPr>
              <w:t>CanonicalStateManifest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manifest_schema_version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contract: {path, version, sha256}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source: {repo, commit, dirty_state, entrypoint_hashes}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run: {run_id, parent_run_id, owner, created_at_utc, finalized_at_utc}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inputs: [{accession, version, path, size, sha256, license}]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specs: {estimand_sha256, operator_sha256, symmetry_sha256, transport_sha256}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split: {manifest_path, sha256, outer_group_rule, sealed_test}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artifacts: [{path, size, sha256, schema, producer, parent_hash}]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gate: {id, decision, reason, evidence_paths, finalizer}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sentinel: {terminal, completed, no_fallback_violation}</w:t>
              <w:br/>
            </w:r>
            <w:r>
              <w:rPr>
                <w:rFonts w:ascii="Menlo" w:hAnsi="Menlo" w:eastAsia="Arial Unicode MS" w:cs="Menlo"/>
                <w:color w:val="111111"/>
                <w:sz w:val="16"/>
              </w:rPr>
              <w:t>limitations: []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B.2 CleaningLedger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944"/>
        <w:gridCol w:w="7704"/>
      </w:tblGrid>
      <w:tr>
        <w:trPr>
          <w:tblHeader w:val="true"/>
          <w:cantSplit/>
        </w:trPr>
        <w:tc>
          <w:tcPr>
            <w:tcW w:type="dxa" w:w="194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字段组</w:t>
            </w:r>
          </w:p>
        </w:tc>
        <w:tc>
          <w:tcPr>
            <w:tcW w:type="dxa" w:w="770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source_id、accession/version、file/path、row locator、source_sha256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identity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canonical_id、raw_id、sequence、motif/family、construct、scaffold、study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condition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temperature、ions、Mg²⁺、flow piece/probe、batch、replicate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measurement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endpoint、value、unit、measured/interpolated/censored、interval、uncertainty/covariance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cleaning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schema_valid、canonicalization transform、QC flags、exclusion rule/reason、reviewer/time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lineage</w:t>
            </w:r>
          </w:p>
        </w:tc>
        <w:tc>
          <w:tcPr>
            <w:tcW w:type="dxa" w:w="77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parent row hashes、derived artifact/hash、freshness status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B.3 ExposureRegistry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800"/>
        <w:gridCol w:w="7848"/>
      </w:tblGrid>
      <w:tr>
        <w:trPr>
          <w:tblHeader w:val="true"/>
          <w:cantSplit/>
        </w:trPr>
        <w:tc>
          <w:tcPr>
            <w:tcW w:type="dxa" w:w="1800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轴</w:t>
            </w:r>
          </w:p>
        </w:tc>
        <w:tc>
          <w:tcPr>
            <w:tcW w:type="dxa" w:w="784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source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corpus/accession/version/license；是否进入 pretraining/train/validation/test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exact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canonical sequence hash overlap；reverse/symmetry-normalized overlap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homology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family/Rfam/motif cluster；identity/coverage threshold；near-homolog status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template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PDB/RNA3DB/Motif Atlas ancestry；structure-derived features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human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是否查看 sealed labels、error analysis、manual relabel、feature choice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mitigation</w:t>
            </w:r>
          </w:p>
        </w:tc>
        <w:tc>
          <w:tcPr>
            <w:tcW w:type="dxa" w:w="784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exclude/repartition/report-only；residual unknowns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 Unicode MS" w:cs="Arial"/>
          <w:b/>
          <w:color w:val="2E74B5"/>
          <w:sz w:val="26"/>
        </w:rPr>
        <w:t>B.4 UncertaintySetRegistry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2592"/>
        <w:gridCol w:w="7056"/>
      </w:tblGrid>
      <w:tr>
        <w:trPr>
          <w:tblHeader w:val="true"/>
          <w:cantSplit/>
        </w:trPr>
        <w:tc>
          <w:tcPr>
            <w:tcW w:type="dxa" w:w="2592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705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set_id/version/hash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唯一标识与不可变版本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operator/transport scope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适用 probe、condition、construct/scaffold、measurement system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parameters/units/range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每个 range 的物理单位与边界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external basis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论文、structure、calibration material、assumption tier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holdout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不参与拟合的 operator/calibration source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sensitivity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coverage、width、claim stability、dominant endpoint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6"/>
              </w:rPr>
              <w:t>decision</w:t>
            </w:r>
          </w:p>
        </w:tc>
        <w:tc>
          <w:tcPr>
            <w:tcW w:type="dxa" w:w="705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6"/>
              </w:rPr>
              <w:t>ADMITTED / REJECTED / CONDITIONAL；reviewer/finalizer</w:t>
            </w:r>
          </w:p>
        </w:tc>
      </w:tr>
    </w:tbl>
    <w:p>
      <w:pPr>
        <w:spacing w:after="40"/>
      </w:pPr>
    </w:p>
    <w:p>
      <w:pPr>
        <w:pStyle w:val="Heading1"/>
      </w:pPr>
      <w:bookmarkStart w:id="118" w:name="v12_section_19"/>
      <w:r>
        <w:rPr>
          <w:rFonts w:ascii="Arial" w:hAnsi="Arial" w:eastAsia="Arial Unicode MS" w:cs="Arial"/>
          <w:b/>
          <w:color w:val="2E74B5"/>
          <w:sz w:val="32"/>
        </w:rPr>
        <w:t>附录 C｜T0–T3 / Q0–Q5 Gate checklist</w:t>
      </w:r>
      <w:bookmarkEnd w:id="118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691"/>
        <w:gridCol w:w="6696"/>
        <w:gridCol w:w="2261"/>
      </w:tblGrid>
      <w:tr>
        <w:trPr>
          <w:tblHeader w:val="true"/>
          <w:cantSplit/>
        </w:trPr>
        <w:tc>
          <w:tcPr>
            <w:tcW w:type="dxa" w:w="691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Gate</w:t>
            </w:r>
          </w:p>
        </w:tc>
        <w:tc>
          <w:tcPr>
            <w:tcW w:type="dxa" w:w="669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所有项目均须 YES</w:t>
            </w:r>
          </w:p>
        </w:tc>
        <w:tc>
          <w:tcPr>
            <w:tcW w:type="dxa" w:w="2261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任一 NO 的默认终态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source/license/hash；1687/1713/1636 set algebra；units/censoring；attrition；outer-holdout feasibility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 或 BLOCKED_AT_TECTO_DATA_ADMISSION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S0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one Φ*/K*/c*；operator basis/calibration；symmetry round trip；coverage_target + robustness rule frozen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FAIL；T1/M0/T2/T3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T1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CleaningLedger coverage；graph/component closure；effective N/power；split/exposure；max width/width-to-MME + aggregation frozen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FAIL；M0/T2/T3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M0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synthetic recovery；coverage；alias detection；misspecification/failure injection；tolerances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FAIL；T2/T3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T2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tecto-only inference；matched baselines；sealed test；cNLPD/calibration；no outcome adaptation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FAIL；T3 BLOCKED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T3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Φ* set/interval；coverage_target；frozen width threshold；worst-operator sensitivity；ranking；claim label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criterion 超限即 FAIL；no operator-robust claim unlock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Q0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SRA/Figshare v2/Zenodo/fixed Git commit；license；sizes；hashes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Q0=FAIL；Q1–Q5=BLOCKED；disposition=QMAP_NOT_ADMITTED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Q1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98 registry；1592/1493/277/98 denominators；name/orientation mapping；exact catalog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Q1=FAIL；Q2–Q5=BLOCKED；disposition=QMAP_NOT_ADMITTED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Q2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84/11/2/1；5 mM exception；4-cluster intersection；all reasons/IDs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Q2=FAIL；Q3–Q5=BLOCKED；disposition=QMAP_NOT_ADMITTED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Q3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98 endpoint replay；curves/uncertainty/reasons；frozen per-value tolerance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Q3=FAIL；Q4/Q5=BLOCKED；disposition=QMAP_NOT_ADMITTED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Q4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selection audit；mutation graph split；primary choices/power/controls frozen；no tecto feedback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Q4=FAIL；Q5=BLOCKED；disposition=NOT_ADJUDICATED；强跨系统关闭</w:t>
            </w:r>
          </w:p>
        </w:tc>
      </w:tr>
      <w:tr>
        <w:tc>
          <w:tcPr>
            <w:tcW w:type="dxa" w:w="6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4"/>
              </w:rPr>
              <w:t>Q5</w:t>
            </w:r>
          </w:p>
        </w:tc>
        <w:tc>
          <w:tcPr>
            <w:tcW w:type="dxa" w:w="669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locked baselines/method；proper score/ranking/coverage/width/calibration；controls/sensitivity；PASS 后 disposition=QMAP_TRANSFER_SUPPORTED / QMAP_TRANSFER_NOT_SUPPORTED / QMAP_INCONCLUSIVE</w:t>
            </w:r>
          </w:p>
        </w:tc>
        <w:tc>
          <w:tcPr>
            <w:tcW w:type="dxa" w:w="226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4"/>
              </w:rPr>
              <w:t>Q5=FAIL；disposition=NOT_ADJUDICATED；强跨系统关闭</w:t>
            </w:r>
          </w:p>
        </w:tc>
      </w:tr>
    </w:tbl>
    <w:p>
      <w:pPr>
        <w:spacing w:after="40"/>
      </w:pPr>
    </w:p>
    <w:p>
      <w:pPr>
        <w:pStyle w:val="Heading1"/>
      </w:pPr>
      <w:bookmarkStart w:id="119" w:name="v12_section_20"/>
      <w:r>
        <w:rPr>
          <w:rFonts w:ascii="Arial" w:hAnsi="Arial" w:eastAsia="Arial Unicode MS" w:cs="Arial"/>
          <w:b/>
          <w:color w:val="2E74B5"/>
          <w:sz w:val="32"/>
        </w:rPr>
        <w:t>附录 D｜v1.1 B0–B12 到 v1.2 的迁移映射</w:t>
      </w:r>
      <w:bookmarkEnd w:id="119"/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10" w:type="dxa"/>
        <w:tblBorders>
          <w:top w:val="single" w:sz="5" w:space="0" w:color="7C8798"/>
          <w:left w:val="single" w:sz="5" w:space="0" w:color="7C8798"/>
          <w:bottom w:val="single" w:sz="5" w:space="0" w:color="7C8798"/>
          <w:right w:val="single" w:sz="5" w:space="0" w:color="7C8798"/>
          <w:insideH w:val="single" w:sz="5" w:space="0" w:color="7C8798"/>
          <w:insideV w:val="single" w:sz="5" w:space="0" w:color="7C8798"/>
        </w:tblBorders>
      </w:tblPr>
      <w:tblGrid>
        <w:gridCol w:w="1368"/>
        <w:gridCol w:w="4104"/>
        <w:gridCol w:w="4176"/>
      </w:tblGrid>
      <w:tr>
        <w:trPr>
          <w:tblHeader w:val="true"/>
          <w:cantSplit/>
        </w:trPr>
        <w:tc>
          <w:tcPr>
            <w:tcW w:type="dxa" w:w="1368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v1.1</w:t>
            </w:r>
          </w:p>
        </w:tc>
        <w:tc>
          <w:tcPr>
            <w:tcW w:type="dxa" w:w="4104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v1.2 去向</w:t>
            </w:r>
          </w:p>
        </w:tc>
        <w:tc>
          <w:tcPr>
            <w:tcW w:type="dxa" w:w="4176"/>
            <w:shd w:fill="D9E8F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状态/边界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B0 数据复现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T0/T1 data admission + cleaning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 tecto；current-DMS 不再是 Gate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B0.5 四规格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S0 + M0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拆分 estimand/operator/symmetry 与合成识别测试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 tecto baseline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 L1/L2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保留；censor/group aware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B2 normalized forward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 L3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保留；必须 M0 PASS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B3 operator ensemble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T2/T3 L4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保留并强化外部依据/校准/holdout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B4 robust functional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唯一 Φ*；interval/identified set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B5 global alias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M0/T2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保留；局部 Fisher 只作诊断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B6 DMS observation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关闭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current-DMS formal labels 不准入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B7 DMS increment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关闭；qMaP Q5 取代为不同 endpoint 的 transfer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不得声称同一 estimand 增量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B8 uncertainty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T2/T3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 calibration/coverage/width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B9 multi-state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 annex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不作为核心成功条件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B10 target validation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 held-out ranking/functional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保留一个 primary target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B11 sequence deployment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T3 后 optional sequence-only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删除 +DMS-at-test；frozen LM 仅 baseline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/>
                <w:color w:val="1F4D78"/>
                <w:sz w:val="15"/>
              </w:rPr>
              <w:t>B12 downstream structure</w:t>
            </w:r>
          </w:p>
        </w:tc>
        <w:tc>
          <w:tcPr>
            <w:tcW w:type="dxa" w:w="410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conditional annex</w:t>
            </w:r>
          </w:p>
        </w:tc>
        <w:tc>
          <w:tcPr>
            <w:tcW w:type="dxa" w:w="417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Arial Unicode MS" w:cs="Arial"/>
                <w:b w:val="0"/>
                <w:color w:val="111111"/>
                <w:sz w:val="15"/>
              </w:rPr>
              <w:t>需另行 task freeze；非核心 Gate</w:t>
            </w:r>
          </w:p>
        </w:tc>
      </w:tr>
    </w:tbl>
    <w:p>
      <w:pPr>
        <w:spacing w:after="40"/>
      </w:pPr>
    </w:p>
    <w:p>
      <w:pPr>
        <w:pStyle w:val="Heading1"/>
      </w:pPr>
      <w:bookmarkStart w:id="120" w:name="v12_section_21"/>
      <w:r>
        <w:rPr>
          <w:rFonts w:ascii="Arial" w:hAnsi="Arial" w:eastAsia="Arial Unicode MS" w:cs="Arial"/>
          <w:b/>
          <w:color w:val="2E74B5"/>
          <w:sz w:val="32"/>
        </w:rPr>
        <w:t>附录 E｜敌对审稿问题与 claim boundary</w:t>
      </w:r>
      <w:bookmarkEnd w:id="120"/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1,687、1,713、1,636 分别是哪一层数据？每个差集的 ID 和原因在哪里？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−7.1 kcal/mol 是哪一方向的删失？raw field、符号变换和 likelihood 如何 round-trip？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flow pieces、replicates、conditions 和 fingerprint dimensions 为何不是独立 N？effective N 如何计算？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motif–construct–scaffold–study graph 是否存在巨型 component？outer test 真正独立在哪里？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K* 与 target condition 为什么在 outcome 前冻结？换 K* 后主结论是否反转？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每个 operator range 的外部依据、单位、calibration material 和 holdout 是什么？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为何只给 point estimate，而不是 operator-robust identified set、coverage 和 width？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frozen RNA LM 是否在 pretraining 中见过 test exact sequence、family 或 PDB/template？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current DMS 缺少 crosswalk，为什么没有任何 hidden use 于 feature、split、threshold 或 error analysis？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 98 是如何从 1,592/1,493/277 形成？selected、censored 和 structural-failure 是否系统不同？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qMaP 的 84 complete cases 为何不是无偏 validation set？11 censored 与 3 structural-QC 如何进入分析？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首个 25-construct library 的 5 mM 点与 4-variant atypical cluster 如何进入 attrition ledger？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Bonilla names 与 qMaP names 方向翻转如何证明 mapping，而不是靠文件名/相关性猜测？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Bonilla/Shin/Yesselman 为何只算一个 platform cluster？独立系统到底在哪里？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PRIME 的 49 A + 21 C 为什么不是 70 个独立样本？它对本方法真正 falsify 什么？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qMaP negative/inconclusive 或 not admitted，论文标题、摘要和主张如何自动降级？</w:t>
      </w:r>
    </w:p>
    <w:p>
      <w:pPr>
        <w:pStyle w:val="ListBullet"/>
        <w:spacing w:after="80"/>
        <w:ind w:left="317" w:hanging="230"/>
      </w:pPr>
      <w:r>
        <w:rPr>
          <w:rFonts w:ascii="Arial" w:hAnsi="Arial" w:eastAsia="Arial Unicode MS" w:cs="Arial"/>
          <w:color w:val="111111"/>
          <w:sz w:val="20"/>
        </w:rPr>
        <w:t>若 Φ* interval 太宽、只打平简单 baseline 或无真实 outer holdout，是否会按 stop rule 停止？</w:t>
      </w:r>
    </w:p>
    <w:tbl>
      <w:tblPr>
        <w:tblStyle w:val="TableGrid"/>
        <w:tblW w:type="dxa" w:w="9648"/>
        <w:tblLayout w:type="fixed"/>
        <w:tblLook w:firstColumn="1" w:firstRow="1" w:lastColumn="0" w:lastRow="0" w:noHBand="0" w:noVBand="1" w:val="04A0"/>
        <w:jc w:val="center"/>
        <w:tblInd w:w="15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648"/>
      </w:tblGrid>
      <w:tr>
        <w:tc>
          <w:tcPr>
            <w:tcW w:type="dxa" w:w="9648"/>
            <w:shd w:fill="FFF6D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Arial Unicode MS" w:cs="Arial"/>
                <w:b/>
                <w:color w:val="7A5A00"/>
                <w:sz w:val="19"/>
              </w:rPr>
              <w:t>审稿自检通过标准</w:t>
              <w:br/>
            </w:r>
            <w:r>
              <w:rPr>
                <w:rFonts w:ascii="Arial" w:hAnsi="Arial" w:eastAsia="Arial Unicode MS" w:cs="Arial"/>
                <w:color w:val="111111"/>
                <w:sz w:val="18"/>
              </w:rPr>
              <w:t>每个问题都必须能指向 frozen spec、canonical manifest、ledger、checksum-verified artifact 和 outcome-blind decision record；仅用叙述性回答不构成通过。</w:t>
            </w:r>
          </w:p>
        </w:tc>
      </w:tr>
    </w:tbl>
    <w:p>
      <w:pPr>
        <w:spacing w:after="20"/>
      </w:pPr>
    </w:p>
    <w:sectPr>
      <w:headerReference w:type="default" r:id="rId38"/>
      <w:footerReference w:type="default" r:id="rId39"/>
      <w:footerReference w:type="first" r:id="rId40"/>
      <w:headerReference w:type="first" r:id="rId42"/>
      <w:pgSz w:w="12240" w:h="15840"/>
      <w:pgMar w:top="1296" w:right="1296" w:bottom="1224" w:left="1296" w:header="708" w:footer="708" w:gutter="0"/>
      <w:cols w:space="720"/>
      <w:titlePg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Arial Unicode MS">
    <ns0:family ns0:val="swiss"/>
    <ns0:pitch ns0:val="variable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648"/>
      <w:jc w:val="center"/>
      <w:tblLayout w:type="fixed"/>
      <w:tblLook w:firstColumn="1" w:firstRow="1" w:lastColumn="0" w:lastRow="0" w:noHBand="0" w:noVBand="1" w:val="04A0"/>
      <w:tblInd w:w="11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776"/>
      <w:gridCol w:w="1872"/>
    </w:tblGrid>
    <w:tr>
      <w:tc>
        <w:tcPr>
          <w:tcW w:type="dxa" w:w="7776"/>
        </w:tcPr>
        <w:p>
          <w:pPr>
            <w:jc w:val="left"/>
          </w:pPr>
          <w:r>
            <w:rPr>
              <w:rFonts w:ascii="Arial" w:hAnsi="Arial" w:eastAsia="Arial Unicode MS" w:cs="Arial"/>
              <w:color w:val="667085"/>
              <w:sz w:val="16"/>
            </w:rPr>
            <w:t>BLOCKED_AT_TECTO_DATA_ADMISSION · 2026-08-03</w:t>
          </w:r>
        </w:p>
      </w:tc>
      <w:tc>
        <w:tcPr>
          <w:tcW w:type="dxa" w:w="1872"/>
        </w:tcPr>
        <w:p>
          <w:pPr>
            <w:jc w:val="right"/>
          </w:pPr>
          <w:r>
            <w:rPr>
              <w:rFonts w:ascii="Arial" w:hAnsi="Arial" w:eastAsia="Arial Unicode MS" w:cs="Arial"/>
              <w:b/>
              <w:color w:val="2E74B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eastAsia="Arial Unicode MS" w:cs="Arial"/>
              <w:b/>
              <w:color w:val="2E74B5"/>
              <w:sz w:val="17"/>
            </w:rPr>
            <w:t xml:space="preserve"> / </w:t>
          </w:r>
          <w:r>
            <w:rPr>
              <w:rFonts w:ascii="Arial" w:hAnsi="Arial" w:eastAsia="Arial Unicode MS" w:cs="Arial"/>
              <w:b/>
              <w:color w:val="2E74B5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 w:eastAsia="Arial Unicode MS" w:cs="Arial"/>
        <w:color w:val="667085"/>
        <w:sz w:val="17"/>
      </w:rPr>
      <w:t>研究立项审计 ·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  <w:jc w:val="right"/>
      <w:pBdr>
        <w:bottom w:val="single" w:sz="5" w:space="1" w:color="B8C8D8"/>
      </w:pBdr>
    </w:pPr>
    <w:r>
      <w:rPr>
        <w:rFonts w:ascii="Arial" w:hAnsi="Arial" w:eastAsia="Arial Unicode MS" w:cs="Arial"/>
        <w:b/>
        <w:color w:val="667085"/>
        <w:sz w:val="17"/>
      </w:rPr>
      <w:t>RNA JUNCTION PREORGANIZATION · RESEARCH CONTRACT v1.2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  <w:rPr>
        <w:rFonts w:ascii="Noto Sans CJK SC" w:hAnsi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2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2"/>
    </w:lvlOverride>
  </w:num>
  <w:num w:numId="16">
    <w:abstractNumId w:val="10"/>
    <w:lvlOverride w:ilvl="0">
      <w:startOverride w:val="3"/>
    </w:lvlOverride>
  </w:num>
  <w:num w:numId="17">
    <w:abstractNumId w:val="10"/>
    <w:lvlOverride w:ilvl="0">
      <w:startOverride w:val="4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2"/>
    </w:lvlOverride>
  </w:num>
  <w:num w:numId="20">
    <w:abstractNumId w:val="10"/>
    <w:lvlOverride w:ilvl="0">
      <w:startOverride w:val="3"/>
    </w:lvlOverride>
  </w:num>
  <w:num w:numId="21">
    <w:abstractNumId w:val="10"/>
    <w:lvlOverride w:ilvl="0">
      <w:startOverride w:val="4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2"/>
    </w:lvlOverride>
  </w:num>
  <w:num w:numId="24">
    <w:abstractNumId w:val="10"/>
    <w:lvlOverride w:ilvl="0">
      <w:startOverride w:val="3"/>
    </w:lvlOverride>
  </w:num>
  <w:num w:numId="25">
    <w:abstractNumId w:val="10"/>
    <w:lvlOverride w:ilvl="0">
      <w:startOverride w:val="4"/>
    </w:lvlOverride>
  </w:num>
  <w:num w:numId="26">
    <w:abstractNumId w:val="10"/>
    <w:lvlOverride w:ilvl="0">
      <w:startOverride w:val="5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2"/>
    </w:lvlOverride>
  </w:num>
  <w:num w:numId="29">
    <w:abstractNumId w:val="10"/>
    <w:lvlOverride w:ilvl="0">
      <w:startOverride w:val="3"/>
    </w:lvlOverride>
  </w:num>
  <w:num w:numId="30">
    <w:abstractNumId w:val="10"/>
    <w:lvlOverride w:ilvl="0">
      <w:startOverride w:val="4"/>
    </w:lvlOverride>
  </w:num>
  <w:num w:numId="31">
    <w:abstractNumId w:val="10"/>
    <w:lvlOverride w:ilvl="0">
      <w:startOverride w:val="5"/>
    </w:lvlOverride>
  </w:num>
  <w:num w:numId="32">
    <w:abstractNumId w:val="10"/>
    <w:lvlOverride w:ilvl="0">
      <w:startOverride w:val="6"/>
    </w:lvlOverride>
  </w:num>
  <w:num w:numId="33">
    <w:abstractNumId w:val="10"/>
    <w:lvlOverride w:ilvl="0">
      <w:startOverride w:val="7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2"/>
    </w:lvlOverride>
  </w:num>
  <w:num w:numId="36">
    <w:abstractNumId w:val="10"/>
    <w:lvlOverride w:ilvl="0">
      <w:startOverride w:val="3"/>
    </w:lvlOverride>
  </w:num>
  <w:num w:numId="37">
    <w:abstractNumId w:val="10"/>
    <w:lvlOverride w:ilvl="0">
      <w:startOverride w:val="4"/>
    </w:lvlOverride>
  </w:num>
  <w:num w:numId="38">
    <w:abstractNumId w:val="10"/>
    <w:lvlOverride w:ilvl="0">
      <w:startOverride w:val="5"/>
    </w:lvlOverride>
  </w:num>
  <w:num w:numId="39">
    <w:abstractNumId w:val="10"/>
    <w:lvlOverride w:ilvl="0">
      <w:startOverride w:val="6"/>
    </w:lvlOverride>
  </w:num>
  <w:num w:numId="40">
    <w:abstractNumId w:val="10"/>
    <w:lvlOverride w:ilvl="0">
      <w:startOverride w:val="7"/>
    </w:lvlOverride>
  </w:num>
  <w:num w:numId="41">
    <w:abstractNumId w:val="10"/>
    <w:lvlOverride w:ilvl="0">
      <w:startOverride w:val="8"/>
    </w:lvlOverride>
  </w:num>
  <w:num w:numId="42">
    <w:abstractNumId w:val="10"/>
    <w:lvlOverride w:ilvl="0">
      <w:startOverride w:val="9"/>
    </w:lvlOverride>
  </w:num>
  <w:num w:numId="43">
    <w:abstractNumId w:val="10"/>
    <w:lvlOverride w:ilvl="0">
      <w:startOverride w:val="10"/>
    </w:lvlOverride>
  </w:num>
  <w:num w:numId="44">
    <w:abstractNumId w:val="10"/>
    <w:lvlOverride w:ilvl="0">
      <w:startOverride w:val="11"/>
    </w:lvlOverride>
  </w:num>
  <w:num w:numId="45">
    <w:abstractNumId w:val="10"/>
    <w:lvlOverride w:ilvl="0">
      <w:startOverride w:val="12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2"/>
    </w:lvlOverride>
  </w:num>
  <w:num w:numId="48">
    <w:abstractNumId w:val="10"/>
    <w:lvlOverride w:ilvl="0">
      <w:startOverride w:val="3"/>
    </w:lvlOverride>
  </w:num>
  <w:num w:numId="49">
    <w:abstractNumId w:val="10"/>
    <w:lvlOverride w:ilvl="0">
      <w:startOverride w:val="4"/>
    </w:lvlOverride>
  </w:num>
  <w:num w:numId="50">
    <w:abstractNumId w:val="10"/>
    <w:lvlOverride w:ilvl="0">
      <w:startOverride w:val="5"/>
    </w:lvlOverride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updateFields ns0:val="true"/>
  <ns0:zoom ns0:val="bestFit"/>
  <ns0:proofState ns0:spelling="clean" ns0:grammar="clean"/>
  <ns0:defaultTabStop ns0:val="720"/>
  <ns0:characterSpacingControl ns0:val="doNotCompress"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Rule="auto" w:line="298"/>
    </w:pPr>
    <w:rPr>
      <w:rFonts w:ascii="Arial" w:hAnsi="Arial" w:eastAsia="Arial Unicode MS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80"/>
      <w:outlineLvl w:val="0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 Unicode MS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Arial Unicode MS" w:cs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contextualSpacing/>
    </w:pPr>
    <w:rPr>
      <w:rFonts w:ascii="Arial" w:hAnsi="Arial" w:eastAsia="Arial Unicode MS" w:cs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8" w:lineRule="auto"/>
      <w:contextualSpacing/>
    </w:pPr>
    <w:rPr>
      <w:rFonts w:ascii="Arial" w:hAnsi="Arial" w:eastAsia="Arial Unicode MS" w:cs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contextualSpacing/>
    </w:pPr>
    <w:rPr>
      <w:rFonts w:ascii="Arial" w:hAnsi="Arial" w:eastAsia="Arial Unicode MS" w:cs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Arial" w:hAnsi="Arial" w:eastAsia="Arial Unicode MS" w:cs="Arial"/>
      <w:b/>
      <w:bCs/>
      <w:i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Label">
    <w:name w:val="Document Label"/>
    <w:pPr>
      <w:spacing w:after="160"/>
    </w:pPr>
    <w:rPr>
      <w:rFonts w:ascii="Noto Sans CJK SC" w:hAnsi="Noto Sans CJK SC" w:eastAsia="Noto Sans CJK SC"/>
      <w:b/>
      <w:color w:val="2E74B5"/>
      <w:sz w:val="18"/>
    </w:rPr>
  </w:style>
  <w:style w:type="paragraph" w:customStyle="1" w:styleId="TableText">
    <w:name w:val="Table Text"/>
    <w:pPr>
      <w:spacing w:before="0" w:after="40" w:line="252" w:lineRule="auto"/>
    </w:pPr>
    <w:rPr>
      <w:rFonts w:ascii="Noto Sans CJK SC" w:hAnsi="Noto Sans CJK SC" w:eastAsia="Noto Sans CJK SC"/>
      <w:sz w:val="17"/>
    </w:rPr>
  </w:style>
  <w:style w:type="paragraph" w:customStyle="1" w:styleId="TableHeader">
    <w:name w:val="Table Header"/>
    <w:pPr>
      <w:spacing w:before="0" w:after="40" w:line="240" w:lineRule="auto"/>
    </w:pPr>
    <w:rPr>
      <w:rFonts w:ascii="Noto Sans CJK SC" w:hAnsi="Noto Sans CJK SC" w:eastAsia="Noto Sans CJK SC"/>
      <w:b/>
      <w:color w:val="1F4D78"/>
      <w:sz w:val="17"/>
    </w:rPr>
  </w:style>
  <w:style w:type="paragraph" w:customStyle="1" w:styleId="ContractSubtitle">
    <w:name w:val="Contract Subtitle"/>
    <w:pPr>
      <w:spacing w:after="300"/>
    </w:pPr>
    <w:rPr>
      <w:rFonts w:ascii="Arial" w:hAnsi="Arial" w:eastAsia="Arial Unicode MS" w:cs="Arial"/>
      <w:i/>
      <w:color w:val="667085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10" Type="http://schemas.openxmlformats.org/officeDocument/2006/relationships/hyperlink" Target="https://doi.org/10.1016/j.cell.2018.05.038" TargetMode="External" /><Relationship Id="rId11" Type="http://schemas.openxmlformats.org/officeDocument/2006/relationships/hyperlink" Target="https://pmc.ncbi.nlm.nih.gov/articles/PMC6053692/" TargetMode="External" /><Relationship Id="rId12" Type="http://schemas.openxmlformats.org/officeDocument/2006/relationships/hyperlink" Target="https://doi.org/10.1093/nar/gkag672" TargetMode="External" /><Relationship Id="rId17" Type="http://schemas.openxmlformats.org/officeDocument/2006/relationships/hyperlink" Target="https://pmc.ncbi.nlm.nih.gov/articles/PMC6708322/" TargetMode="External" /><Relationship Id="rId19" Type="http://schemas.openxmlformats.org/officeDocument/2006/relationships/hyperlink" Target="https://pmc.ncbi.nlm.nih.gov/articles/PMC8379967/" TargetMode="External" /><Relationship Id="rId22" Type="http://schemas.openxmlformats.org/officeDocument/2006/relationships/hyperlink" Target="https://academic.oup.com/nar/article/52/16/9953/7724680" TargetMode="External" /><Relationship Id="rId38" Type="http://schemas.openxmlformats.org/officeDocument/2006/relationships/header" Target="header1.xml" /><Relationship Id="rId39" Type="http://schemas.openxmlformats.org/officeDocument/2006/relationships/footer" Target="footer1.xml" /><Relationship Id="rId40" Type="http://schemas.openxmlformats.org/officeDocument/2006/relationships/footer" Target="footer2.xml" /><Relationship Id="rId42" Type="http://schemas.openxmlformats.org/officeDocument/2006/relationships/header" Target="header2.xml" /><Relationship Id="rId43" Type="http://schemas.openxmlformats.org/officeDocument/2006/relationships/hyperlink" Target="https://pmc.ncbi.nlm.nih.gov/articles/PMC11381326/" TargetMode="External" /><Relationship Id="rId44" Type="http://schemas.openxmlformats.org/officeDocument/2006/relationships/hyperlink" Target="https://pmc.ncbi.nlm.nih.gov/articles/PMC10243134/" TargetMode="External" /><Relationship Id="rId45" Type="http://schemas.openxmlformats.org/officeDocument/2006/relationships/hyperlink" Target="https://pmc.ncbi.nlm.nih.gov/articles/PMC12873924/" TargetMode="External" /><Relationship Id="rId46" Type="http://schemas.openxmlformats.org/officeDocument/2006/relationships/hyperlink" Target="https://www.ncbi.nlm.nih.gov/bioproject/PRJNA1086549" TargetMode="External" /><Relationship Id="rId47" Type="http://schemas.openxmlformats.org/officeDocument/2006/relationships/hyperlink" Target="https://figshare.com/articles/dataset/data/25331758" TargetMode="External" /><Relationship Id="rId48" Type="http://schemas.openxmlformats.org/officeDocument/2006/relationships/hyperlink" Target="https://zenodo.org/records/11672684" TargetMode="External" /><Relationship Id="rId49" Type="http://schemas.openxmlformats.org/officeDocument/2006/relationships/hyperlink" Target="https://github.com/YesselmanLabPublications/2024_qmap_paper" TargetMode="External" /><Relationship Id="rId50" Type="http://schemas.openxmlformats.org/officeDocument/2006/relationships/hyperlink" Target="https://zenodo.org/records/18398129" TargetMode="External" /><Relationship Id="rId51" Type="http://schemas.openxmlformats.org/officeDocument/2006/relationships/hyperlink" Target="https://github.com/LucksLab/ne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47</ns0:Pages>
  <ns0:Words>13718</ns0:Words>
  <ns0:Characters>50335</ns0:Characters>
  <ns0:Application>Microsoft Macintosh Word</ns0:Application>
  <ns0:DocSecurity>0</ns0:DocSecurity>
  <ns0:Lines>682</ns0:Lines>
  <ns0:Paragraphs>373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54580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RNA Junction Preorganization Research Contract v1.2</dc:title>
  <dc:subject>tectoRNA-first target-specific thermodynamic functional contract</dc:subject>
  <dc:creator/>
  <cp:keywords>tectoRNA, qMaPseq, partial identification, research contract</cp:keywords>
  <dc:description>Full v1.2 rewrite from the retained v1.1 contract; current DMS is closed for scientific labels, tectoRNA is primary, and qMaPseq is a locked strong-manuscript gate.</dc:description>
  <cp:lastModifiedBy/>
  <cp:revision>1</cp:revision>
  <dcterms:created xsi:type="dcterms:W3CDTF">2026-08-03T00:00:00Z</dcterms:created>
  <dcterms:modified xsi:type="dcterms:W3CDTF">2026-08-03T00:00:00Z</dcterms:modified>
  <cp:category/>
</cp:coreProperties>
</file>