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CỘNG HÒA XÃ HỘI CHỦ NGHĨA VIỆT NAM</w:t>
      </w:r>
    </w:p>
    <w:p>
      <w:pPr>
        <w:jc w:val="center"/>
      </w:pPr>
      <w:r>
        <w:rPr>
          <w:b/>
          <w:i w:val="0"/>
        </w:rPr>
        <w:t>Độc lập – Tự do – Hạnh phúc</w:t>
      </w:r>
    </w:p>
    <w:p>
      <w:pPr>
        <w:jc w:val="center"/>
      </w:pPr>
      <w:r>
        <w:rPr>
          <w:b w:val="0"/>
          <w:i w:val="0"/>
        </w:rPr>
        <w:t>---o0o---</w:t>
      </w:r>
    </w:p>
    <w:p>
      <w:r>
        <w:rPr>
          <w:b w:val="0"/>
          <w:i w:val="0"/>
        </w:rPr>
      </w:r>
    </w:p>
    <w:p>
      <w:pPr>
        <w:jc w:val="center"/>
      </w:pPr>
      <w:r>
        <w:rPr>
          <w:b/>
          <w:i w:val="0"/>
        </w:rPr>
        <w:t>HỢP ĐỒNG CUNG CẤP VÀ CHO THUÊ MÁY, THIẾT BỊ THI CÔNG</w:t>
      </w:r>
    </w:p>
    <w:p>
      <w:pPr>
        <w:jc w:val="center"/>
      </w:pPr>
      <w:r>
        <w:rPr>
          <w:b w:val="0"/>
          <w:i w:val="0"/>
        </w:rPr>
        <w:t>Số: 07/2026/HĐTB/ABC-XYZ</w:t>
      </w:r>
    </w:p>
    <w:p>
      <w:r>
        <w:rPr>
          <w:b w:val="0"/>
          <w:i w:val="0"/>
        </w:rPr>
      </w:r>
    </w:p>
    <w:p>
      <w:r>
        <w:rPr>
          <w:b w:val="0"/>
          <w:i w:val="0"/>
        </w:rPr>
        <w:t>Căn cứ Bộ luật Dân sự số 91/2015/QH13 ngày 24/11/2015 của Quốc hội nước Cộng hòa xã hội chủ nghĩa Việt Nam;</w:t>
      </w:r>
    </w:p>
    <w:p>
      <w:r>
        <w:rPr>
          <w:b w:val="0"/>
          <w:i w:val="0"/>
        </w:rPr>
        <w:t>Căn cứ Luật Thương mại số 36/2005/QH11 ngày 14/6/2005;</w:t>
      </w:r>
    </w:p>
    <w:p>
      <w:r>
        <w:rPr>
          <w:b w:val="0"/>
          <w:i w:val="0"/>
        </w:rPr>
        <w:t>Căn cứ Luật Xây dựng số 50/2014/QH13 ngày 18/6/2014 và các văn bản hướng dẫn thi hành;</w:t>
      </w:r>
    </w:p>
    <w:p>
      <w:r>
        <w:rPr>
          <w:b w:val="0"/>
          <w:i w:val="0"/>
        </w:rPr>
        <w:t>Căn cứ nhu cầu và năng lực của hai bên,</w:t>
      </w:r>
    </w:p>
    <w:p>
      <w:r>
        <w:rPr>
          <w:b w:val="0"/>
          <w:i w:val="0"/>
        </w:rPr>
        <w:t>Hôm nay, ngày 05 tháng 01 năm 2026, tại Hà Nội, chúng tôi gồm:</w:t>
      </w:r>
    </w:p>
    <w:p>
      <w:pPr>
        <w:spacing w:before="240"/>
      </w:pPr>
      <w:r>
        <w:rPr>
          <w:b/>
        </w:rPr>
        <w:t>BÊN THUÊ (BÊN A): CÔNG TY CỔ PHẦN XÂY DỰNG ABC</w:t>
      </w:r>
    </w:p>
    <w:p>
      <w:r>
        <w:rPr>
          <w:b w:val="0"/>
          <w:i w:val="0"/>
        </w:rPr>
        <w:t>Địa chỉ trụ sở: Số 123 đường Nguyễn Trãi, quận Thanh Xuân, thành phố Hà Nội</w:t>
      </w:r>
    </w:p>
    <w:p>
      <w:r>
        <w:rPr>
          <w:b w:val="0"/>
          <w:i w:val="0"/>
        </w:rPr>
        <w:t>Mã số thuế: 0101234567</w:t>
      </w:r>
    </w:p>
    <w:p>
      <w:r>
        <w:rPr>
          <w:b w:val="0"/>
          <w:i w:val="0"/>
        </w:rPr>
        <w:t>Điện thoại: 024.3855.xxxx        Fax: 024.3855.xxxx</w:t>
      </w:r>
    </w:p>
    <w:p>
      <w:r>
        <w:rPr>
          <w:b w:val="0"/>
          <w:i w:val="0"/>
        </w:rPr>
        <w:t>Tài khoản số: 1234567890 tại Ngân hàng TMCP Đầu tư và Phát triển Việt Nam – Chi nhánh Thanh Xuân</w:t>
      </w:r>
    </w:p>
    <w:p>
      <w:r>
        <w:rPr>
          <w:b w:val="0"/>
          <w:i w:val="0"/>
        </w:rPr>
        <w:t>Đại diện: Ông Nguyễn Văn A        Chức vụ: Tổng Giám đốc</w:t>
      </w:r>
    </w:p>
    <w:p>
      <w:pPr>
        <w:spacing w:before="240"/>
      </w:pPr>
      <w:r>
        <w:rPr>
          <w:b/>
        </w:rPr>
        <w:t>BÊN CHO THUÊ (BÊN B): CÔNG TY TNHH THIẾT BỊ XYZ</w:t>
      </w:r>
    </w:p>
    <w:p>
      <w:r>
        <w:rPr>
          <w:b w:val="0"/>
          <w:i w:val="0"/>
        </w:rPr>
        <w:t>Địa chỉ trụ sở: Lô B5 Khu công nghiệp Quang Minh, huyện Mê Linh, thành phố Hà Nội</w:t>
      </w:r>
    </w:p>
    <w:p>
      <w:r>
        <w:rPr>
          <w:b w:val="0"/>
          <w:i w:val="0"/>
        </w:rPr>
        <w:t>Mã số thuế: 0109876543</w:t>
      </w:r>
    </w:p>
    <w:p>
      <w:r>
        <w:rPr>
          <w:b w:val="0"/>
          <w:i w:val="0"/>
        </w:rPr>
        <w:t>Điện thoại: 024.3599.xxxx        Fax: 024.3599.xxxx</w:t>
      </w:r>
    </w:p>
    <w:p>
      <w:r>
        <w:rPr>
          <w:b w:val="0"/>
          <w:i w:val="0"/>
        </w:rPr>
        <w:t>Tài khoản số: 0987654321 tại Ngân hàng TMCP Công Thương Việt Nam – Chi nhánh Mê Linh</w:t>
      </w:r>
    </w:p>
    <w:p>
      <w:r>
        <w:rPr>
          <w:b w:val="0"/>
          <w:i w:val="0"/>
        </w:rPr>
        <w:t>Đại diện: Bà Trần Thị B        Chức vụ: Giám đốc</w:t>
      </w:r>
    </w:p>
    <w:p>
      <w:r>
        <w:rPr>
          <w:b w:val="0"/>
          <w:i w:val="0"/>
        </w:rPr>
      </w:r>
    </w:p>
    <w:p>
      <w:r>
        <w:rPr>
          <w:b w:val="0"/>
          <w:i w:val="0"/>
        </w:rPr>
        <w:t>Hai bên thống nhất ký kết Hợp đồng cung cấp và cho thuê máy, thiết bị thi công (sau đây gọi tắt là “Hợp đồng”) với các điều khoản như sau:</w:t>
      </w:r>
    </w:p>
    <w:p>
      <w:pPr>
        <w:spacing w:before="240"/>
      </w:pPr>
      <w:r>
        <w:rPr>
          <w:b/>
        </w:rPr>
        <w:t>ĐIỀU 1. NỘI DUNG HỢP ĐỒNG VÀ PHẠM VI CUNG CẤP</w:t>
      </w:r>
    </w:p>
    <w:p>
      <w:r>
        <w:rPr>
          <w:b w:val="0"/>
          <w:i w:val="0"/>
        </w:rPr>
        <w:t>1.1. Bên B đồng ý cung cấp và cho Bên A thuê các máy, thiết bị thi công (sau đây gọi chung là “Thiết bị”) theo danh mục, số lượng, đơn giá quy định tại Điều 2 của Hợp đồng này để phục vụ thi công Gói thầu XL-02 thuộc Dự án Khu đô thị mới Nam Sông Hồng (sau đây gọi là “Công trường”).</w:t>
      </w:r>
    </w:p>
    <w:p>
      <w:r>
        <w:rPr>
          <w:b w:val="0"/>
          <w:i w:val="0"/>
        </w:rPr>
        <w:t>1.2. Thiết bị cho thuê phải đảm bảo tình trạng kỹ thuật hoạt động bình thường, có đầy đủ hồ sơ nguồn gốc, giấy chứng nhận kiểm định an toàn kỹ thuật còn hiệu lực đối với các thiết bị thuộc danh mục yêu cầu nghiêm ngặt về an toàn lao động theo quy định hiện hành.</w:t>
      </w:r>
    </w:p>
    <w:p>
      <w:r>
        <w:rPr>
          <w:b w:val="0"/>
          <w:i w:val="0"/>
        </w:rPr>
        <w:t>1.3. Hình thức thuê: thuê theo tháng, không kèm người vận hành, trừ cần trục tháp và vận thăng lồng là các thiết bị thuê kèm người vận hành do Bên B bố trí.</w:t>
      </w:r>
    </w:p>
    <w:p>
      <w:r>
        <w:rPr>
          <w:b w:val="0"/>
          <w:i w:val="0"/>
        </w:rPr>
        <w:t>1.4. Địa điểm bàn giao và sử dụng Thiết bị: tại Công trường Gói thầu XL-02, xã Đại Thịnh, huyện Mê Linh, thành phố Hà Nội. Chi phí vận chuyển Thiết bị đến Công trường lần đầu và đưa về khi kết thúc Hợp đồng do Bên B chịu; chi phí di chuyển nội bộ trong Công trường do Bên A chịu.</w:t>
      </w:r>
    </w:p>
    <w:p>
      <w:pPr>
        <w:spacing w:before="240"/>
      </w:pPr>
      <w:r>
        <w:rPr>
          <w:b/>
        </w:rPr>
        <w:t>ĐIỀU 2. DANH MỤC THIẾT BỊ VÀ ĐƠN GIÁ THUÊ</w:t>
      </w:r>
    </w:p>
    <w:p>
      <w:r>
        <w:rPr>
          <w:b w:val="0"/>
          <w:i w:val="0"/>
        </w:rPr>
        <w:t>2.1. Danh mục Thiết bị cho thuê và đơn giá thuê tháng (chưa bao gồm thuế GTGT) như sau:</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b/>
              </w:rPr>
              <w:t>STT</w:t>
            </w:r>
          </w:p>
        </w:tc>
        <w:tc>
          <w:tcPr>
            <w:tcW w:type="dxa" w:w="1938"/>
          </w:tcPr>
          <w:p>
            <w:r>
              <w:rPr>
                <w:b/>
              </w:rPr>
              <w:t>Tên thiết bị</w:t>
            </w:r>
          </w:p>
        </w:tc>
        <w:tc>
          <w:tcPr>
            <w:tcW w:type="dxa" w:w="1938"/>
          </w:tcPr>
          <w:p>
            <w:r>
              <w:rPr>
                <w:b/>
              </w:rPr>
              <w:t>SL</w:t>
            </w:r>
          </w:p>
        </w:tc>
        <w:tc>
          <w:tcPr>
            <w:tcW w:type="dxa" w:w="1938"/>
          </w:tcPr>
          <w:p>
            <w:r>
              <w:rPr>
                <w:b/>
              </w:rPr>
              <w:t>Đơn giá thuê/tháng (VNĐ)</w:t>
            </w:r>
          </w:p>
        </w:tc>
        <w:tc>
          <w:tcPr>
            <w:tcW w:type="dxa" w:w="1938"/>
          </w:tcPr>
          <w:p>
            <w:r>
              <w:rPr>
                <w:b/>
              </w:rPr>
              <w:t>Ghi chú</w:t>
            </w:r>
          </w:p>
        </w:tc>
      </w:tr>
      <w:tr>
        <w:tc>
          <w:tcPr>
            <w:tcW w:type="dxa" w:w="1938"/>
          </w:tcPr>
          <w:p>
            <w:r>
              <w:t>01</w:t>
            </w:r>
          </w:p>
        </w:tc>
        <w:tc>
          <w:tcPr>
            <w:tcW w:type="dxa" w:w="1938"/>
          </w:tcPr>
          <w:p>
            <w:r>
              <w:t>Máy đào bánh xích Komatsu PC200-8 (0,8 m³)</w:t>
            </w:r>
          </w:p>
        </w:tc>
        <w:tc>
          <w:tcPr>
            <w:tcW w:type="dxa" w:w="1938"/>
          </w:tcPr>
          <w:p>
            <w:r>
              <w:t>02</w:t>
            </w:r>
          </w:p>
        </w:tc>
        <w:tc>
          <w:tcPr>
            <w:tcW w:type="dxa" w:w="1938"/>
          </w:tcPr>
          <w:p>
            <w:r>
              <w:t>68.000.000</w:t>
            </w:r>
          </w:p>
        </w:tc>
        <w:tc>
          <w:tcPr>
            <w:tcW w:type="dxa" w:w="1938"/>
          </w:tcPr>
          <w:p>
            <w:r/>
          </w:p>
        </w:tc>
      </w:tr>
      <w:tr>
        <w:tc>
          <w:tcPr>
            <w:tcW w:type="dxa" w:w="1938"/>
          </w:tcPr>
          <w:p>
            <w:r>
              <w:t>02</w:t>
            </w:r>
          </w:p>
        </w:tc>
        <w:tc>
          <w:tcPr>
            <w:tcW w:type="dxa" w:w="1938"/>
          </w:tcPr>
          <w:p>
            <w:r>
              <w:t>Máy đào bánh lốp Doosan DX140W (0,6 m³)</w:t>
            </w:r>
          </w:p>
        </w:tc>
        <w:tc>
          <w:tcPr>
            <w:tcW w:type="dxa" w:w="1938"/>
          </w:tcPr>
          <w:p>
            <w:r>
              <w:t>01</w:t>
            </w:r>
          </w:p>
        </w:tc>
        <w:tc>
          <w:tcPr>
            <w:tcW w:type="dxa" w:w="1938"/>
          </w:tcPr>
          <w:p>
            <w:r>
              <w:t>52.000.000</w:t>
            </w:r>
          </w:p>
        </w:tc>
        <w:tc>
          <w:tcPr>
            <w:tcW w:type="dxa" w:w="1938"/>
          </w:tcPr>
          <w:p>
            <w:r/>
          </w:p>
        </w:tc>
      </w:tr>
      <w:tr>
        <w:tc>
          <w:tcPr>
            <w:tcW w:type="dxa" w:w="1938"/>
          </w:tcPr>
          <w:p>
            <w:r>
              <w:t>03</w:t>
            </w:r>
          </w:p>
        </w:tc>
        <w:tc>
          <w:tcPr>
            <w:tcW w:type="dxa" w:w="1938"/>
          </w:tcPr>
          <w:p>
            <w:r>
              <w:t>Máy ủi Komatsu D31 (110 CV)</w:t>
            </w:r>
          </w:p>
        </w:tc>
        <w:tc>
          <w:tcPr>
            <w:tcW w:type="dxa" w:w="1938"/>
          </w:tcPr>
          <w:p>
            <w:r>
              <w:t>01</w:t>
            </w:r>
          </w:p>
        </w:tc>
        <w:tc>
          <w:tcPr>
            <w:tcW w:type="dxa" w:w="1938"/>
          </w:tcPr>
          <w:p>
            <w:r>
              <w:t>45.000.000</w:t>
            </w:r>
          </w:p>
        </w:tc>
        <w:tc>
          <w:tcPr>
            <w:tcW w:type="dxa" w:w="1938"/>
          </w:tcPr>
          <w:p>
            <w:r/>
          </w:p>
        </w:tc>
      </w:tr>
      <w:tr>
        <w:tc>
          <w:tcPr>
            <w:tcW w:type="dxa" w:w="1938"/>
          </w:tcPr>
          <w:p>
            <w:r>
              <w:t>04</w:t>
            </w:r>
          </w:p>
        </w:tc>
        <w:tc>
          <w:tcPr>
            <w:tcW w:type="dxa" w:w="1938"/>
          </w:tcPr>
          <w:p>
            <w:r>
              <w:t>Máy lu rung Sakai SV512 (12 tấn)</w:t>
            </w:r>
          </w:p>
        </w:tc>
        <w:tc>
          <w:tcPr>
            <w:tcW w:type="dxa" w:w="1938"/>
          </w:tcPr>
          <w:p>
            <w:r>
              <w:t>02</w:t>
            </w:r>
          </w:p>
        </w:tc>
        <w:tc>
          <w:tcPr>
            <w:tcW w:type="dxa" w:w="1938"/>
          </w:tcPr>
          <w:p>
            <w:r>
              <w:t>38.000.000</w:t>
            </w:r>
          </w:p>
        </w:tc>
        <w:tc>
          <w:tcPr>
            <w:tcW w:type="dxa" w:w="1938"/>
          </w:tcPr>
          <w:p>
            <w:r/>
          </w:p>
        </w:tc>
      </w:tr>
      <w:tr>
        <w:tc>
          <w:tcPr>
            <w:tcW w:type="dxa" w:w="1938"/>
          </w:tcPr>
          <w:p>
            <w:r>
              <w:t>05</w:t>
            </w:r>
          </w:p>
        </w:tc>
        <w:tc>
          <w:tcPr>
            <w:tcW w:type="dxa" w:w="1938"/>
          </w:tcPr>
          <w:p>
            <w:r>
              <w:t>Cần trục tháp QTZ63 (tầm với 50 m, kèm vận hành)</w:t>
            </w:r>
          </w:p>
        </w:tc>
        <w:tc>
          <w:tcPr>
            <w:tcW w:type="dxa" w:w="1938"/>
          </w:tcPr>
          <w:p>
            <w:r>
              <w:t>01</w:t>
            </w:r>
          </w:p>
        </w:tc>
        <w:tc>
          <w:tcPr>
            <w:tcW w:type="dxa" w:w="1938"/>
          </w:tcPr>
          <w:p>
            <w:r>
              <w:t>125.000.000</w:t>
            </w:r>
          </w:p>
        </w:tc>
        <w:tc>
          <w:tcPr>
            <w:tcW w:type="dxa" w:w="1938"/>
          </w:tcPr>
          <w:p>
            <w:r>
              <w:t>Đã gồm lương vận hành</w:t>
            </w:r>
          </w:p>
        </w:tc>
      </w:tr>
      <w:tr>
        <w:tc>
          <w:tcPr>
            <w:tcW w:type="dxa" w:w="1938"/>
          </w:tcPr>
          <w:p>
            <w:r>
              <w:t>06</w:t>
            </w:r>
          </w:p>
        </w:tc>
        <w:tc>
          <w:tcPr>
            <w:tcW w:type="dxa" w:w="1938"/>
          </w:tcPr>
          <w:p>
            <w:r>
              <w:t>Vận thăng lồng SC200/200 (kèm vận hành)</w:t>
            </w:r>
          </w:p>
        </w:tc>
        <w:tc>
          <w:tcPr>
            <w:tcW w:type="dxa" w:w="1938"/>
          </w:tcPr>
          <w:p>
            <w:r>
              <w:t>02</w:t>
            </w:r>
          </w:p>
        </w:tc>
        <w:tc>
          <w:tcPr>
            <w:tcW w:type="dxa" w:w="1938"/>
          </w:tcPr>
          <w:p>
            <w:r>
              <w:t>42.000.000</w:t>
            </w:r>
          </w:p>
        </w:tc>
        <w:tc>
          <w:tcPr>
            <w:tcW w:type="dxa" w:w="1938"/>
          </w:tcPr>
          <w:p>
            <w:r>
              <w:t>Đã gồm lương vận hành</w:t>
            </w:r>
          </w:p>
        </w:tc>
      </w:tr>
      <w:tr>
        <w:tc>
          <w:tcPr>
            <w:tcW w:type="dxa" w:w="1938"/>
          </w:tcPr>
          <w:p>
            <w:r>
              <w:t>07</w:t>
            </w:r>
          </w:p>
        </w:tc>
        <w:tc>
          <w:tcPr>
            <w:tcW w:type="dxa" w:w="1938"/>
          </w:tcPr>
          <w:p>
            <w:r>
              <w:t>Máy phát điện Cummins 250 kVA</w:t>
            </w:r>
          </w:p>
        </w:tc>
        <w:tc>
          <w:tcPr>
            <w:tcW w:type="dxa" w:w="1938"/>
          </w:tcPr>
          <w:p>
            <w:r>
              <w:t>02</w:t>
            </w:r>
          </w:p>
        </w:tc>
        <w:tc>
          <w:tcPr>
            <w:tcW w:type="dxa" w:w="1938"/>
          </w:tcPr>
          <w:p>
            <w:r>
              <w:t>28.000.000</w:t>
            </w:r>
          </w:p>
        </w:tc>
        <w:tc>
          <w:tcPr>
            <w:tcW w:type="dxa" w:w="1938"/>
          </w:tcPr>
          <w:p>
            <w:r>
              <w:t>Chưa gồm nhiên liệu</w:t>
            </w:r>
          </w:p>
        </w:tc>
      </w:tr>
      <w:tr>
        <w:tc>
          <w:tcPr>
            <w:tcW w:type="dxa" w:w="1938"/>
          </w:tcPr>
          <w:p>
            <w:r>
              <w:t>08</w:t>
            </w:r>
          </w:p>
        </w:tc>
        <w:tc>
          <w:tcPr>
            <w:tcW w:type="dxa" w:w="1938"/>
          </w:tcPr>
          <w:p>
            <w:r>
              <w:t>Máy trộn bê tông cưỡng bức JS500</w:t>
            </w:r>
          </w:p>
        </w:tc>
        <w:tc>
          <w:tcPr>
            <w:tcW w:type="dxa" w:w="1938"/>
          </w:tcPr>
          <w:p>
            <w:r>
              <w:t>03</w:t>
            </w:r>
          </w:p>
        </w:tc>
        <w:tc>
          <w:tcPr>
            <w:tcW w:type="dxa" w:w="1938"/>
          </w:tcPr>
          <w:p>
            <w:r>
              <w:t>9.500.000</w:t>
            </w:r>
          </w:p>
        </w:tc>
        <w:tc>
          <w:tcPr>
            <w:tcW w:type="dxa" w:w="1938"/>
          </w:tcPr>
          <w:p>
            <w:r/>
          </w:p>
        </w:tc>
      </w:tr>
      <w:tr>
        <w:tc>
          <w:tcPr>
            <w:tcW w:type="dxa" w:w="1938"/>
          </w:tcPr>
          <w:p>
            <w:r>
              <w:t>09</w:t>
            </w:r>
          </w:p>
        </w:tc>
        <w:tc>
          <w:tcPr>
            <w:tcW w:type="dxa" w:w="1938"/>
          </w:tcPr>
          <w:p>
            <w:r>
              <w:t>Máy bơm bê tông tĩnh HBT60</w:t>
            </w:r>
          </w:p>
        </w:tc>
        <w:tc>
          <w:tcPr>
            <w:tcW w:type="dxa" w:w="1938"/>
          </w:tcPr>
          <w:p>
            <w:r>
              <w:t>01</w:t>
            </w:r>
          </w:p>
        </w:tc>
        <w:tc>
          <w:tcPr>
            <w:tcW w:type="dxa" w:w="1938"/>
          </w:tcPr>
          <w:p>
            <w:r>
              <w:t>55.000.000</w:t>
            </w:r>
          </w:p>
        </w:tc>
        <w:tc>
          <w:tcPr>
            <w:tcW w:type="dxa" w:w="1938"/>
          </w:tcPr>
          <w:p>
            <w:r/>
          </w:p>
        </w:tc>
      </w:tr>
      <w:tr>
        <w:tc>
          <w:tcPr>
            <w:tcW w:type="dxa" w:w="1938"/>
          </w:tcPr>
          <w:p>
            <w:r>
              <w:t>10</w:t>
            </w:r>
          </w:p>
        </w:tc>
        <w:tc>
          <w:tcPr>
            <w:tcW w:type="dxa" w:w="1938"/>
          </w:tcPr>
          <w:p>
            <w:r>
              <w:t>Giàn giáo khung H1.7m kèm phụ kiện (bộ 100 khung)</w:t>
            </w:r>
          </w:p>
        </w:tc>
        <w:tc>
          <w:tcPr>
            <w:tcW w:type="dxa" w:w="1938"/>
          </w:tcPr>
          <w:p>
            <w:r>
              <w:t>05</w:t>
            </w:r>
          </w:p>
        </w:tc>
        <w:tc>
          <w:tcPr>
            <w:tcW w:type="dxa" w:w="1938"/>
          </w:tcPr>
          <w:p>
            <w:r>
              <w:t>12.000.000</w:t>
            </w:r>
          </w:p>
        </w:tc>
        <w:tc>
          <w:tcPr>
            <w:tcW w:type="dxa" w:w="1938"/>
          </w:tcPr>
          <w:p>
            <w:r>
              <w:t>Tính theo bộ</w:t>
            </w:r>
          </w:p>
        </w:tc>
      </w:tr>
    </w:tbl>
    <w:p>
      <w:r>
        <w:rPr>
          <w:b w:val="0"/>
          <w:i w:val="0"/>
        </w:rPr>
      </w:r>
    </w:p>
    <w:p>
      <w:r>
        <w:rPr>
          <w:b w:val="0"/>
          <w:i w:val="0"/>
        </w:rPr>
        <w:t>2.2. Đơn giá thuê nêu trên đã bao gồm chi phí khấu hao, bảo hiểm thiết bị, chi phí bảo dưỡng định kỳ theo khuyến cáo của nhà sản xuất; chưa bao gồm thuế GTGT, nhiên liệu, dầu mỡ bôi trơn tiêu hao hằng ngày và chi phí điện nước phục vụ vận hành tại Công trường.</w:t>
      </w:r>
    </w:p>
    <w:p>
      <w:r>
        <w:rPr>
          <w:b w:val="0"/>
          <w:i w:val="0"/>
        </w:rPr>
        <w:t>2.3. Tổng giá trị Hợp đồng tạm tính cho 12 tháng thuê đầu tiên là 11.808.000.000 đồng (Bằng chữ: Mười một tỷ tám trăm lẻ tám triệu đồng), chưa bao gồm thuế GTGT. Giá trị thanh toán thực tế được xác định theo thời gian thuê thực tế và biên bản đối soát khối lượng từng kỳ.</w:t>
      </w:r>
    </w:p>
    <w:p>
      <w:r>
        <w:rPr>
          <w:b w:val="0"/>
          <w:i w:val="0"/>
        </w:rPr>
        <w:t>2.4. Đơn giá thuê được giữ cố định trong 12 tháng đầu tiên kể từ ngày bàn giao Thiết bị đợt một. Sau thời hạn 12 tháng, nếu Hợp đồng tiếp tục được thực hiện hoặc gia hạn, đơn giá thuê sẽ tự động điều chỉnh tăng 5% (năm phần trăm) so với đơn giá liền kề trước đó, trừ khi hai bên có thỏa thuận khác bằng văn bản trước ít nhất 30 ngày.</w:t>
      </w:r>
    </w:p>
    <w:p>
      <w:pPr>
        <w:spacing w:before="240"/>
      </w:pPr>
      <w:r>
        <w:rPr>
          <w:b/>
        </w:rPr>
        <w:t>ĐIỀU 3. THỜI HẠN THUÊ VÀ GIA HẠN</w:t>
      </w:r>
    </w:p>
    <w:p>
      <w:r>
        <w:rPr>
          <w:b w:val="0"/>
          <w:i w:val="0"/>
        </w:rPr>
        <w:t>3.1. Thời hạn thuê: 18 (mười tám) tháng kể từ ngày ký biên bản bàn giao Thiết bị đợt một, dự kiến từ ngày 15/01/2026 đến hết ngày 14/07/2027.</w:t>
      </w:r>
    </w:p>
    <w:p>
      <w:r>
        <w:rPr>
          <w:b w:val="0"/>
          <w:i w:val="0"/>
        </w:rPr>
        <w:t>3.2. Thiết bị được bàn giao thành 02 (hai) đợt theo tiến độ thi công: đợt một gồm các thiết bị làm đất và máy phát điện, bàn giao trước ngày 15/01/2026; đợt hai gồm cần trục tháp, vận thăng, máy bơm bê tông và giàn giáo, bàn giao trước ngày 01/03/2026. Thời hạn thuê của từng thiết bị tính từ ngày ký biên bản bàn giao thiết bị đó.</w:t>
      </w:r>
    </w:p>
    <w:p>
      <w:r>
        <w:rPr>
          <w:b w:val="0"/>
          <w:i w:val="0"/>
        </w:rPr>
        <w:t>3.3. Trường hợp Bên A có nhu cầu gia hạn thời hạn thuê, Bên A phải thông báo bằng văn bản cho Bên B trước ít nhất 30 ngày trước ngày hết hạn. Việc gia hạn được lập thành phụ lục hợp đồng, áp dụng đơn giá điều chỉnh theo khoản 2.4 Điều 2.</w:t>
      </w:r>
    </w:p>
    <w:p>
      <w:r>
        <w:rPr>
          <w:b w:val="0"/>
          <w:i w:val="0"/>
        </w:rPr>
        <w:t>3.4. Trường hợp Bên A trả lại một phần hoặc toàn bộ Thiết bị trước thời hạn mà không thuộc các trường hợp chấm dứt hợp đồng quy định tại Điều 9, Bên A vẫn phải thanh toán tiền thuê của các Thiết bị đó cho đủ 06 (sáu) tháng tối thiểu, trừ trường hợp thiết bị đã thuê đủ 06 tháng trở lên thì thanh toán đến hết tháng phát sinh việc trả thiết bị.</w:t>
      </w:r>
    </w:p>
    <w:p>
      <w:pPr>
        <w:spacing w:before="240"/>
      </w:pPr>
      <w:r>
        <w:rPr>
          <w:b/>
        </w:rPr>
        <w:t>ĐIỀU 4. BÀN GIAO, NGHIỆM THU VÀ HOÀN TRẢ THIẾT BỊ</w:t>
      </w:r>
    </w:p>
    <w:p>
      <w:r>
        <w:rPr>
          <w:b w:val="0"/>
          <w:i w:val="0"/>
        </w:rPr>
        <w:t>4.1. Việc bàn giao Thiết bị được lập thành Biên bản bàn giao theo mẫu tại Phụ lục 01 của Hợp đồng, ghi rõ: chủng loại, số khung/số máy, số giờ hoạt động trên đồng hồ (nếu có), tình trạng kỹ thuật, phụ kiện kèm theo, hồ sơ kiểm định và hình ảnh hiện trạng.</w:t>
      </w:r>
    </w:p>
    <w:p>
      <w:r>
        <w:rPr>
          <w:b w:val="0"/>
          <w:i w:val="0"/>
        </w:rPr>
        <w:t>4.2. Trong vòng 03 ngày làm việc kể từ ngày nhận bàn giao, Bên A có quyền kiểm tra, chạy thử Thiết bị. Nếu phát hiện Thiết bị không đảm bảo tình trạng kỹ thuật như cam kết, Bên A có quyền yêu cầu Bên B sửa chữa hoặc thay thế bằng thiết bị tương đương trong vòng 05 ngày làm việc; thời gian này không tính vào thời gian thuê.</w:t>
      </w:r>
    </w:p>
    <w:p>
      <w:r>
        <w:rPr>
          <w:b w:val="0"/>
          <w:i w:val="0"/>
        </w:rPr>
        <w:t>4.3. Khi hoàn trả, Thiết bị phải ở tình trạng hoạt động bình thường, có tính đến hao mòn tự nhiên do sử dụng đúng công năng. Hai bên lập Biên bản hoàn trả, đối chiếu với Biên bản bàn giao. Các hư hỏng vượt quá hao mòn tự nhiên do lỗi của Bên A sẽ được xác định chi phí khắc phục và khấu trừ vào kỳ thanh toán cuối cùng hoặc Bên A thanh toán bổ sung.</w:t>
      </w:r>
    </w:p>
    <w:p>
      <w:pPr>
        <w:spacing w:before="240"/>
      </w:pPr>
      <w:r>
        <w:rPr>
          <w:b/>
        </w:rPr>
        <w:t>ĐIỀU 5. TRÁCH NHIỆM BẢO TRÌ, SỬA CHỮA VÀ VẬN HÀNH</w:t>
      </w:r>
    </w:p>
    <w:p>
      <w:r>
        <w:rPr>
          <w:b w:val="0"/>
          <w:i w:val="0"/>
        </w:rPr>
        <w:t>5.1. Bên B chịu trách nhiệm bảo dưỡng định kỳ Thiết bị theo khuyến cáo của nhà sản xuất (bao gồm vật tư bảo dưỡng: dầu máy, lọc dầu, lọc gió), tối thiểu 01 lần/tháng đối với thiết bị hoạt động liên tục. Lịch bảo dưỡng do hai bên thống nhất, ưu tiên bố trí ngoài giờ thi công cao điểm.</w:t>
      </w:r>
    </w:p>
    <w:p>
      <w:r>
        <w:rPr>
          <w:b w:val="0"/>
          <w:i w:val="0"/>
        </w:rPr>
        <w:t>5.2. Khi Thiết bị hư hỏng không do lỗi của Bên A, Bên B phải cử người đến khắc phục trong vòng 24 giờ kể từ khi nhận được thông báo. Nếu quá 48 giờ mà Thiết bị chưa hoạt động trở lại, Bên B phải cung cấp thiết bị thay thế tương đương; nếu không cung cấp được, tiền thuê của thiết bị đó sẽ không được tính kể từ giờ thứ 49 cho đến khi thiết bị hoạt động trở lại, đồng thời Bên B chịu phạt 500.000 đồng/ngày/thiết bị cho mỗi ngày chậm trễ tiếp theo.</w:t>
      </w:r>
    </w:p>
    <w:p>
      <w:r>
        <w:rPr>
          <w:b w:val="0"/>
          <w:i w:val="0"/>
        </w:rPr>
        <w:t>5.3. Bên A chịu trách nhiệm: bố trí mặt bằng, nguồn điện, nhiên liệu; sử dụng Thiết bị đúng công năng, đúng tải trọng cho phép; không tự ý tháo dỡ, thay đổi kết cấu, di chuyển Thiết bị ra khỏi Công trường khi chưa có văn bản chấp thuận của Bên B; bố trí người vận hành có chứng chỉ phù hợp đối với các thiết bị thuê không kèm người vận hành.</w:t>
      </w:r>
    </w:p>
    <w:p>
      <w:r>
        <w:rPr>
          <w:b w:val="0"/>
          <w:i w:val="0"/>
        </w:rPr>
        <w:t>5.4. Đối với thiết bị thuê kèm người vận hành, người vận hành do Bên B bố trí phải có đầy đủ chứng chỉ, được huấn luyện an toàn lao động và chịu sự điều phối tiến độ của chỉ huy trưởng Công trường Bên A. Chế độ làm việc chuẩn là 26 công/tháng, 08 giờ/ngày; thời gian làm thêm được tính phụ trội 150% đơn giá giờ công theo bảng chấm công có xác nhận của hai bên.</w:t>
      </w:r>
    </w:p>
    <w:p>
      <w:r>
        <w:rPr>
          <w:b w:val="0"/>
          <w:i w:val="0"/>
        </w:rPr>
        <w:t>5.5. Bên A chịu trách nhiệm trông giữ, bảo quản Thiết bị tại Công trường. Trường hợp mất mát, Bên A bồi thường theo giá trị còn lại của Thiết bị được xác định bởi đơn vị thẩm định giá độc lập do hai bên thống nhất lựa chọn.</w:t>
      </w:r>
    </w:p>
    <w:p>
      <w:pPr>
        <w:spacing w:before="240"/>
      </w:pPr>
      <w:r>
        <w:rPr>
          <w:b/>
        </w:rPr>
        <w:t>ĐIỀU 6. GIÁ TRỊ HỢP ĐỒNG, TẠM ỨNG VÀ THANH TOÁN</w:t>
      </w:r>
    </w:p>
    <w:p>
      <w:r>
        <w:rPr>
          <w:b w:val="0"/>
          <w:i w:val="0"/>
        </w:rPr>
        <w:t>6.1. Đồng tiền thanh toán: Đồng Việt Nam (VNĐ). Hình thức thanh toán: chuyển khoản vào tài khoản của Bên B nêu tại phần đầu Hợp đồng.</w:t>
      </w:r>
    </w:p>
    <w:p>
      <w:r>
        <w:rPr>
          <w:b w:val="0"/>
          <w:i w:val="0"/>
        </w:rPr>
        <w:t>6.2. Tạm ứng: trong vòng 07 ngày làm việc kể từ ngày ký Hợp đồng và nhận được bảo lãnh tạm ứng hợp lệ của Bên B, Bên A tạm ứng cho Bên B 30% (ba mươi phần trăm) giá trị Hợp đồng tạm tính 12 tháng, tương đương 3.542.400.000 đồng (chưa gồm thuế GTGT). Khoản tạm ứng được thu hồi dần bằng cách khấu trừ 10% giá trị mỗi kỳ thanh toán cho đến khi thu hồi hết.</w:t>
      </w:r>
    </w:p>
    <w:p>
      <w:r>
        <w:rPr>
          <w:b w:val="0"/>
          <w:i w:val="0"/>
        </w:rPr>
        <w:t>6.3. Thanh toán theo kỳ: chu kỳ thanh toán là 01 tháng. Trước ngày 05 hằng tháng, hai bên đối soát thời gian thuê thực tế của tháng liền trước, lập Biên bản xác nhận khối lượng. Bên B xuất hóa đơn GTGT kèm hồ sơ thanh toán; Bên A thanh toán trong vòng 15 ngày làm việc kể từ ngày nhận đủ hồ sơ hợp lệ.</w:t>
      </w:r>
    </w:p>
    <w:p>
      <w:r>
        <w:rPr>
          <w:b w:val="0"/>
          <w:i w:val="0"/>
        </w:rPr>
        <w:t>6.4. Hồ sơ thanh toán mỗi kỳ gồm: (i) Biên bản xác nhận khối lượng thuê trong kỳ có chữ ký của đại diện hai bên; (ii) Bảng chấm công người vận hành (nếu có); (iii) Hóa đơn GTGT hợp lệ; (iv) Đề nghị thanh toán của Bên B.</w:t>
      </w:r>
    </w:p>
    <w:p>
      <w:r>
        <w:rPr>
          <w:b w:val="0"/>
          <w:i w:val="0"/>
        </w:rPr>
        <w:t>6.5. Quyết toán: trong vòng 30 ngày kể từ ngày hoàn trả toàn bộ Thiết bị và ký Biên bản thanh lý, hai bên hoàn tất quyết toán Hợp đồng. Bên A thanh toán nốt phần còn lại sau khi khấu trừ tạm ứng chưa thu hồi, các khoản phạt và bồi thường (nếu có).</w:t>
      </w:r>
    </w:p>
    <w:p>
      <w:r>
        <w:rPr>
          <w:b w:val="0"/>
          <w:i w:val="0"/>
        </w:rPr>
        <w:t>6.6. Trường hợp Bên A chậm thanh toán quá 10 ngày làm việc so với thời hạn tại khoản 6.3, Bên A chịu lãi chậm trả bằng 0,03%/ngày tính trên số tiền chậm trả. Nếu chậm quá 30 ngày, Bên B có quyền tạm ngừng nghĩa vụ bảo trì cho đến khi Bên A hoàn tất thanh toán, sau khi đã thông báo bằng văn bản trước 05 ngày làm việc.</w:t>
      </w:r>
    </w:p>
    <w:p>
      <w:pPr>
        <w:spacing w:before="240"/>
      </w:pPr>
      <w:r>
        <w:rPr>
          <w:b/>
        </w:rPr>
        <w:t>ĐIỀU 7. PHẠT VI PHẠM HỢP ĐỒNG</w:t>
      </w:r>
    </w:p>
    <w:p>
      <w:r>
        <w:rPr>
          <w:b w:val="0"/>
          <w:i w:val="0"/>
        </w:rPr>
        <w:t>7.1. Bên B chậm bàn giao Thiết bị so với tiến độ tại khoản 3.2: chịu phạt 0,05% (không phẩy không năm phần trăm) giá trị phần nghĩa vụ bị vi phạm cho mỗi ngày chậm, tổng mức phạt không vượt quá 8% (tám phần trăm) giá trị phần nghĩa vụ hợp đồng bị vi phạm.</w:t>
      </w:r>
    </w:p>
    <w:p>
      <w:r>
        <w:rPr>
          <w:b w:val="0"/>
          <w:i w:val="0"/>
        </w:rPr>
        <w:t>7.2. Bên A chậm thanh toán: ngoài lãi chậm trả theo khoản 6.6, nếu chậm quá 45 ngày, Bên A chịu thêm phạt vi phạm 2% giá trị kỳ thanh toán bị chậm.</w:t>
      </w:r>
    </w:p>
    <w:p>
      <w:r>
        <w:rPr>
          <w:b w:val="0"/>
          <w:i w:val="0"/>
        </w:rPr>
        <w:t>7.3. Bên A sử dụng Thiết bị sai công năng, quá tải trọng gây hư hỏng: bồi thường toàn bộ chi phí khắc phục theo báo giá của đơn vị sửa chữa được hai bên thống nhất, đồng thời chịu phạt vi phạm 5.000.000 đồng/lần vi phạm được lập biên bản.</w:t>
      </w:r>
    </w:p>
    <w:p>
      <w:r>
        <w:rPr>
          <w:b w:val="0"/>
          <w:i w:val="0"/>
        </w:rPr>
        <w:t>7.4. Việc phạt vi phạm không loại trừ trách nhiệm bồi thường thiệt hại thực tế phát sinh của bên vi phạm theo quy định pháp luật.</w:t>
      </w:r>
    </w:p>
    <w:p>
      <w:pPr>
        <w:spacing w:before="240"/>
      </w:pPr>
      <w:r>
        <w:rPr>
          <w:b/>
        </w:rPr>
        <w:t>ĐIỀU 8. BẤT KHẢ KHÁNG</w:t>
      </w:r>
    </w:p>
    <w:p>
      <w:r>
        <w:rPr>
          <w:b w:val="0"/>
          <w:i w:val="0"/>
        </w:rPr>
        <w:t>8.1. Sự kiện bất khả kháng là sự kiện xảy ra một cách khách quan, không thể lường trước được và không thể khắc phục được mặc dù đã áp dụng mọi biện pháp cần thiết trong khả năng cho phép, bao gồm nhưng không giới hạn: thiên tai, bão lũ, động đất, hỏa hoạn, dịch bệnh, chiến tranh, quyết định của cơ quan nhà nước có thẩm quyền làm đình chỉ thi công Công trường.</w:t>
      </w:r>
    </w:p>
    <w:p>
      <w:r>
        <w:rPr>
          <w:b w:val="0"/>
          <w:i w:val="0"/>
        </w:rPr>
        <w:t>8.2. Bên gặp sự kiện bất khả kháng phải thông báo bằng văn bản cho bên kia trong vòng 05 ngày làm việc kể từ ngày xảy ra sự kiện, kèm xác nhận của cơ quan có thẩm quyền (nếu có), và phải nỗ lực hạn chế thiệt hại.</w:t>
      </w:r>
    </w:p>
    <w:p>
      <w:r>
        <w:rPr>
          <w:b w:val="0"/>
          <w:i w:val="0"/>
        </w:rPr>
        <w:t>8.3. Trong thời gian xảy ra bất khả kháng khiến Công trường ngừng thi công liên tục từ 15 ngày trở lên, tiền thuê các Thiết bị không thể sử dụng được giảm 50%; nếu ngừng liên tục quá 60 ngày, hai bên họp bàn phương án tiếp tục hoặc chấm dứt Hợp đồng mà không bên nào bị coi là vi phạm.</w:t>
      </w:r>
    </w:p>
    <w:p>
      <w:pPr>
        <w:spacing w:before="240"/>
      </w:pPr>
      <w:r>
        <w:rPr>
          <w:b/>
        </w:rPr>
        <w:t>ĐIỀU 9. CHẤM DỨT HỢP ĐỒNG</w:t>
      </w:r>
    </w:p>
    <w:p>
      <w:r>
        <w:rPr>
          <w:b w:val="0"/>
          <w:i w:val="0"/>
        </w:rPr>
        <w:t>9.1. Hợp đồng chấm dứt trong các trường hợp: (i) hết thời hạn thuê mà không gia hạn; (ii) hai bên thỏa thuận chấm dứt trước thời hạn bằng văn bản; (iii) theo quy định tại khoản 8.3 Điều 8; (iv) một bên đơn phương chấm dứt theo khoản 9.2 hoặc 9.3 Điều này.</w:t>
      </w:r>
    </w:p>
    <w:p>
      <w:r>
        <w:rPr>
          <w:b w:val="0"/>
          <w:i w:val="0"/>
        </w:rPr>
        <w:t>9.2. Mỗi bên có quyền đơn phương chấm dứt Hợp đồng bằng văn bản thông báo trước ít nhất 45 (bốn mươi lăm) ngày mà không phải bồi thường, trong trường hợp bên kia vi phạm nghĩa vụ cơ bản của Hợp đồng và không khắc phục trong vòng 15 ngày kể từ ngày nhận được yêu cầu khắc phục bằng văn bản. Vi phạm nghĩa vụ cơ bản bao gồm: Bên A chậm thanh toán quá 60 ngày; Bên B không đảm bảo tình trạng kỹ thuật Thiết bị khiến ngừng thi công tổng cộng quá 20 ngày trong một quý.</w:t>
      </w:r>
    </w:p>
    <w:p>
      <w:r>
        <w:rPr>
          <w:b w:val="0"/>
          <w:i w:val="0"/>
        </w:rPr>
        <w:t>9.3. Trường hợp Công trường bị đình chỉ, thu hồi dự án bởi quyết định của cơ quan nhà nước có thẩm quyền không do lỗi của Bên A, Bên A có quyền đơn phương chấm dứt Hợp đồng với thời hạn báo trước 45 ngày; khi đó khoản 3.4 Điều 3 không được áp dụng và Bên A chỉ thanh toán tiền thuê đến ngày hoàn trả thực tế.</w:t>
      </w:r>
    </w:p>
    <w:p>
      <w:r>
        <w:rPr>
          <w:b w:val="0"/>
          <w:i w:val="0"/>
        </w:rPr>
        <w:t>9.4. Khi chấm dứt Hợp đồng, các bên hoàn tất hoàn trả Thiết bị, đối soát công nợ và ký Biên bản thanh lý trong vòng 30 ngày. Nghĩa vụ thanh toán, bảo mật và giải quyết tranh chấp tiếp tục có hiệu lực sau khi Hợp đồng chấm dứt.</w:t>
      </w:r>
    </w:p>
    <w:p>
      <w:pPr>
        <w:spacing w:before="240"/>
      </w:pPr>
      <w:r>
        <w:rPr>
          <w:b/>
        </w:rPr>
        <w:t>ĐIỀU 10. BẢO MẬT THÔNG TIN</w:t>
      </w:r>
    </w:p>
    <w:p>
      <w:r>
        <w:rPr>
          <w:b w:val="0"/>
          <w:i w:val="0"/>
        </w:rPr>
        <w:t>10.1. Mỗi bên cam kết giữ bí mật toàn bộ thông tin về giá, hồ sơ dự án, tài liệu kỹ thuật và các thông tin khác biết được trong quá trình thực hiện Hợp đồng; không tiết lộ cho bên thứ ba khi chưa có sự đồng ý bằng văn bản của bên kia, trừ trường hợp cung cấp theo yêu cầu của cơ quan nhà nước có thẩm quyền.</w:t>
      </w:r>
    </w:p>
    <w:p>
      <w:r>
        <w:rPr>
          <w:b w:val="0"/>
          <w:i w:val="0"/>
        </w:rPr>
        <w:t>10.2. Nghĩa vụ bảo mật có hiệu lực trong thời hạn Hợp đồng và 24 tháng sau khi Hợp đồng chấm dứt.</w:t>
      </w:r>
    </w:p>
    <w:p>
      <w:pPr>
        <w:spacing w:before="240"/>
      </w:pPr>
      <w:r>
        <w:rPr>
          <w:b/>
        </w:rPr>
        <w:t>ĐIỀU 11. GIẢI QUYẾT TRANH CHẤP</w:t>
      </w:r>
    </w:p>
    <w:p>
      <w:r>
        <w:rPr>
          <w:b w:val="0"/>
          <w:i w:val="0"/>
        </w:rPr>
        <w:t>11.1. Mọi tranh chấp phát sinh từ hoặc liên quan đến Hợp đồng trước hết được giải quyết thông qua thương lượng, hòa giải giữa hai bên trong vòng 30 ngày kể từ ngày phát sinh tranh chấp.</w:t>
      </w:r>
    </w:p>
    <w:p>
      <w:r>
        <w:rPr>
          <w:b w:val="0"/>
          <w:i w:val="0"/>
        </w:rPr>
        <w:t>11.2. Trường hợp thương lượng, hòa giải không thành, tranh chấp được đưa ra giải quyết tại Tòa án nhân dân có thẩm quyền tại thành phố Hà Nội. Phán quyết của Tòa án là chung thẩm, các bên có nghĩa vụ thi hành. Án phí do bên thua kiện chịu, trừ trường hợp Tòa án có quyết định khác.</w:t>
      </w:r>
    </w:p>
    <w:p>
      <w:pPr>
        <w:spacing w:before="240"/>
      </w:pPr>
      <w:r>
        <w:rPr>
          <w:b/>
        </w:rPr>
        <w:t>ĐIỀU 12. ĐIỀU KHOẢN CHUNG</w:t>
      </w:r>
    </w:p>
    <w:p>
      <w:r>
        <w:rPr>
          <w:b w:val="0"/>
          <w:i w:val="0"/>
        </w:rPr>
        <w:t>12.1. Hợp đồng có hiệu lực kể từ ngày ký. Mọi sửa đổi, bổ sung Hợp đồng phải được lập thành phụ lục bằng văn bản có chữ ký của đại diện có thẩm quyền của hai bên.</w:t>
      </w:r>
    </w:p>
    <w:p>
      <w:r>
        <w:rPr>
          <w:b w:val="0"/>
          <w:i w:val="0"/>
        </w:rPr>
        <w:t>12.2. Hai bên cam kết thực hiện đúng và đầy đủ các điều khoản của Hợp đồng trên tinh thần hợp tác, trung thực và cùng có lợi.</w:t>
      </w:r>
    </w:p>
    <w:p>
      <w:r>
        <w:rPr>
          <w:b w:val="0"/>
          <w:i w:val="0"/>
        </w:rPr>
        <w:t>12.3. Hợp đồng gồm 12 Điều và 02 Phụ lục không tách rời, được lập thành 04 bản có giá trị pháp lý như nhau, mỗi bên giữ 02 bản.</w:t>
      </w:r>
    </w:p>
    <w:p>
      <w:r>
        <w:rPr>
          <w:b w:val="0"/>
          <w:i w:val="0"/>
        </w:rPr>
      </w:r>
    </w:p>
    <w:tbl>
      <w:tblPr>
        <w:tblW w:type="auto" w:w="0"/>
        <w:tblLook w:firstColumn="1" w:firstRow="1" w:lastColumn="0" w:lastRow="0" w:noHBand="0" w:noVBand="1" w:val="04A0"/>
      </w:tblPr>
      <w:tblGrid>
        <w:gridCol w:w="4844"/>
        <w:gridCol w:w="4844"/>
      </w:tblGrid>
      <w:tr>
        <w:tc>
          <w:tcPr>
            <w:tcW w:type="dxa" w:w="4844"/>
          </w:tcPr>
          <w:p>
            <w:pPr>
              <w:jc w:val="center"/>
            </w:pPr>
            <w:r>
              <w:rPr>
                <w:b/>
              </w:rPr>
              <w:t>ĐẠI DIỆN BÊN A</w:t>
              <w:br/>
              <w:t>TỔNG GIÁM ĐỐC</w:t>
              <w:br/>
              <w:br/>
              <w:br/>
              <w:br/>
              <w:t>Nguyễn Văn A</w:t>
            </w:r>
          </w:p>
        </w:tc>
        <w:tc>
          <w:tcPr>
            <w:tcW w:type="dxa" w:w="4844"/>
          </w:tcPr>
          <w:p>
            <w:pPr>
              <w:jc w:val="center"/>
            </w:pPr>
            <w:r>
              <w:rPr>
                <w:b/>
              </w:rPr>
              <w:t>ĐẠI DIỆN BÊN B</w:t>
              <w:br/>
              <w:t>GIÁM ĐỐC</w:t>
              <w:br/>
              <w:br/>
              <w:br/>
              <w:br/>
              <w:t>Trần Thị B</w:t>
            </w:r>
          </w:p>
        </w:tc>
      </w:tr>
    </w:tbl>
    <w:p>
      <w:r>
        <w:br w:type="page"/>
      </w:r>
    </w:p>
    <w:p>
      <w:pPr>
        <w:jc w:val="center"/>
      </w:pPr>
      <w:r>
        <w:rPr>
          <w:b/>
          <w:i w:val="0"/>
        </w:rPr>
        <w:t>PHỤ LỤC 01 — MẪU BIÊN BẢN BÀN GIAO THIẾT BỊ</w:t>
      </w:r>
    </w:p>
    <w:p>
      <w:pPr>
        <w:jc w:val="center"/>
      </w:pPr>
      <w:r>
        <w:rPr>
          <w:b w:val="0"/>
          <w:i/>
        </w:rPr>
        <w:t>(Kèm theo Hợp đồng số 07/2026/HĐTB/ABC-XYZ ngày 05/01/2026)</w:t>
      </w:r>
    </w:p>
    <w:p>
      <w:r>
        <w:rPr>
          <w:b w:val="0"/>
          <w:i w:val="0"/>
        </w:rPr>
      </w:r>
    </w:p>
    <w:p>
      <w:r>
        <w:rPr>
          <w:b w:val="0"/>
          <w:i w:val="0"/>
        </w:rPr>
        <w:t>Hôm nay, ngày ..... tháng ..... năm ....., tại Công trường Gói thầu XL-02, chúng tôi gồm:</w:t>
      </w:r>
    </w:p>
    <w:p>
      <w:r>
        <w:rPr>
          <w:b w:val="0"/>
          <w:i w:val="0"/>
        </w:rPr>
        <w:t>Đại diện Bên A: Ông/Bà ........................................ Chức vụ: ........................</w:t>
      </w:r>
    </w:p>
    <w:p>
      <w:r>
        <w:rPr>
          <w:b w:val="0"/>
          <w:i w:val="0"/>
        </w:rPr>
        <w:t>Đại diện Bên B: Ông/Bà ........................................ Chức vụ: ........................</w:t>
      </w:r>
    </w:p>
    <w:p>
      <w:r>
        <w:rPr>
          <w:b w:val="0"/>
          <w:i w:val="0"/>
        </w:rPr>
        <w:t>Hai bên tiến hành bàn giao thiết bị với nội dung như sau:</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b/>
              </w:rPr>
              <w:t>STT</w:t>
            </w:r>
          </w:p>
        </w:tc>
        <w:tc>
          <w:tcPr>
            <w:tcW w:type="dxa" w:w="1615"/>
          </w:tcPr>
          <w:p>
            <w:r>
              <w:rPr>
                <w:b/>
              </w:rPr>
              <w:t>Tên thiết bị</w:t>
            </w:r>
          </w:p>
        </w:tc>
        <w:tc>
          <w:tcPr>
            <w:tcW w:type="dxa" w:w="1615"/>
          </w:tcPr>
          <w:p>
            <w:r>
              <w:rPr>
                <w:b/>
              </w:rPr>
              <w:t>Số khung/số máy</w:t>
            </w:r>
          </w:p>
        </w:tc>
        <w:tc>
          <w:tcPr>
            <w:tcW w:type="dxa" w:w="1615"/>
          </w:tcPr>
          <w:p>
            <w:r>
              <w:rPr>
                <w:b/>
              </w:rPr>
              <w:t>Số giờ máy</w:t>
            </w:r>
          </w:p>
        </w:tc>
        <w:tc>
          <w:tcPr>
            <w:tcW w:type="dxa" w:w="1615"/>
          </w:tcPr>
          <w:p>
            <w:r>
              <w:rPr>
                <w:b/>
              </w:rPr>
              <w:t>Tình trạng</w:t>
            </w:r>
          </w:p>
        </w:tc>
        <w:tc>
          <w:tcPr>
            <w:tcW w:type="dxa" w:w="1615"/>
          </w:tcPr>
          <w:p>
            <w:r>
              <w:rPr>
                <w:b/>
              </w:rPr>
              <w:t>Hồ sơ kèm theo</w:t>
            </w:r>
          </w:p>
        </w:tc>
      </w:tr>
      <w:tr>
        <w:tc>
          <w:tcPr>
            <w:tcW w:type="dxa" w:w="1615"/>
          </w:tcPr>
          <w:p/>
        </w:tc>
        <w:tc>
          <w:tcPr>
            <w:tcW w:type="dxa" w:w="1615"/>
          </w:tcPr>
          <w:p/>
        </w:tc>
        <w:tc>
          <w:tcPr>
            <w:tcW w:type="dxa" w:w="1615"/>
          </w:tcPr>
          <w:p/>
        </w:tc>
        <w:tc>
          <w:tcPr>
            <w:tcW w:type="dxa" w:w="1615"/>
          </w:tcPr>
          <w:p/>
        </w:tc>
        <w:tc>
          <w:tcPr>
            <w:tcW w:type="dxa" w:w="1615"/>
          </w:tcPr>
          <w:p/>
        </w:tc>
        <w:tc>
          <w:tcPr>
            <w:tcW w:type="dxa" w:w="1615"/>
          </w:tcPr>
          <w:p/>
        </w:tc>
      </w:tr>
      <w:tr>
        <w:tc>
          <w:tcPr>
            <w:tcW w:type="dxa" w:w="1615"/>
          </w:tcPr>
          <w:p/>
        </w:tc>
        <w:tc>
          <w:tcPr>
            <w:tcW w:type="dxa" w:w="1615"/>
          </w:tcPr>
          <w:p/>
        </w:tc>
        <w:tc>
          <w:tcPr>
            <w:tcW w:type="dxa" w:w="1615"/>
          </w:tcPr>
          <w:p/>
        </w:tc>
        <w:tc>
          <w:tcPr>
            <w:tcW w:type="dxa" w:w="1615"/>
          </w:tcPr>
          <w:p/>
        </w:tc>
        <w:tc>
          <w:tcPr>
            <w:tcW w:type="dxa" w:w="1615"/>
          </w:tcPr>
          <w:p/>
        </w:tc>
        <w:tc>
          <w:tcPr>
            <w:tcW w:type="dxa" w:w="1615"/>
          </w:tcPr>
          <w:p/>
        </w:tc>
      </w:tr>
      <w:tr>
        <w:tc>
          <w:tcPr>
            <w:tcW w:type="dxa" w:w="1615"/>
          </w:tcPr>
          <w:p/>
        </w:tc>
        <w:tc>
          <w:tcPr>
            <w:tcW w:type="dxa" w:w="1615"/>
          </w:tcPr>
          <w:p/>
        </w:tc>
        <w:tc>
          <w:tcPr>
            <w:tcW w:type="dxa" w:w="1615"/>
          </w:tcPr>
          <w:p/>
        </w:tc>
        <w:tc>
          <w:tcPr>
            <w:tcW w:type="dxa" w:w="1615"/>
          </w:tcPr>
          <w:p/>
        </w:tc>
        <w:tc>
          <w:tcPr>
            <w:tcW w:type="dxa" w:w="1615"/>
          </w:tcPr>
          <w:p/>
        </w:tc>
        <w:tc>
          <w:tcPr>
            <w:tcW w:type="dxa" w:w="1615"/>
          </w:tcPr>
          <w:p/>
        </w:tc>
      </w:tr>
      <w:tr>
        <w:tc>
          <w:tcPr>
            <w:tcW w:type="dxa" w:w="1615"/>
          </w:tcPr>
          <w:p/>
        </w:tc>
        <w:tc>
          <w:tcPr>
            <w:tcW w:type="dxa" w:w="1615"/>
          </w:tcPr>
          <w:p/>
        </w:tc>
        <w:tc>
          <w:tcPr>
            <w:tcW w:type="dxa" w:w="1615"/>
          </w:tcPr>
          <w:p/>
        </w:tc>
        <w:tc>
          <w:tcPr>
            <w:tcW w:type="dxa" w:w="1615"/>
          </w:tcPr>
          <w:p/>
        </w:tc>
        <w:tc>
          <w:tcPr>
            <w:tcW w:type="dxa" w:w="1615"/>
          </w:tcPr>
          <w:p/>
        </w:tc>
        <w:tc>
          <w:tcPr>
            <w:tcW w:type="dxa" w:w="1615"/>
          </w:tcPr>
          <w:p/>
        </w:tc>
      </w:tr>
      <w:tr>
        <w:tc>
          <w:tcPr>
            <w:tcW w:type="dxa" w:w="1615"/>
          </w:tcPr>
          <w:p/>
        </w:tc>
        <w:tc>
          <w:tcPr>
            <w:tcW w:type="dxa" w:w="1615"/>
          </w:tcPr>
          <w:p/>
        </w:tc>
        <w:tc>
          <w:tcPr>
            <w:tcW w:type="dxa" w:w="1615"/>
          </w:tcPr>
          <w:p/>
        </w:tc>
        <w:tc>
          <w:tcPr>
            <w:tcW w:type="dxa" w:w="1615"/>
          </w:tcPr>
          <w:p/>
        </w:tc>
        <w:tc>
          <w:tcPr>
            <w:tcW w:type="dxa" w:w="1615"/>
          </w:tcPr>
          <w:p/>
        </w:tc>
        <w:tc>
          <w:tcPr>
            <w:tcW w:type="dxa" w:w="1615"/>
          </w:tcPr>
          <w:p/>
        </w:tc>
      </w:tr>
      <w:tr>
        <w:tc>
          <w:tcPr>
            <w:tcW w:type="dxa" w:w="1615"/>
          </w:tcPr>
          <w:p/>
        </w:tc>
        <w:tc>
          <w:tcPr>
            <w:tcW w:type="dxa" w:w="1615"/>
          </w:tcPr>
          <w:p/>
        </w:tc>
        <w:tc>
          <w:tcPr>
            <w:tcW w:type="dxa" w:w="1615"/>
          </w:tcPr>
          <w:p/>
        </w:tc>
        <w:tc>
          <w:tcPr>
            <w:tcW w:type="dxa" w:w="1615"/>
          </w:tcPr>
          <w:p/>
        </w:tc>
        <w:tc>
          <w:tcPr>
            <w:tcW w:type="dxa" w:w="1615"/>
          </w:tcPr>
          <w:p/>
        </w:tc>
        <w:tc>
          <w:tcPr>
            <w:tcW w:type="dxa" w:w="1615"/>
          </w:tcPr>
          <w:p/>
        </w:tc>
      </w:tr>
    </w:tbl>
    <w:p>
      <w:r>
        <w:rPr>
          <w:b w:val="0"/>
          <w:i w:val="0"/>
        </w:rPr>
      </w:r>
    </w:p>
    <w:p>
      <w:r>
        <w:rPr>
          <w:b w:val="0"/>
          <w:i w:val="0"/>
        </w:rPr>
        <w:t>Tình trạng kỹ thuật chung khi bàn giao: ................................................................</w:t>
      </w:r>
    </w:p>
    <w:p>
      <w:r>
        <w:rPr>
          <w:b w:val="0"/>
          <w:i w:val="0"/>
        </w:rPr>
        <w:t>Phụ kiện, tài liệu kèm theo: giấy kiểm định an toàn, sổ bảo dưỡng, chìa khóa, ....................</w:t>
      </w:r>
    </w:p>
    <w:p>
      <w:r>
        <w:rPr>
          <w:b w:val="0"/>
          <w:i w:val="0"/>
        </w:rPr>
        <w:t>Ý kiến khác: ..............................................................................................................</w:t>
      </w:r>
    </w:p>
    <w:p>
      <w:r>
        <w:rPr>
          <w:b w:val="0"/>
          <w:i w:val="0"/>
        </w:rPr>
        <w:t>Biên bản được lập thành 02 bản, mỗi bên giữ 01 bản, là căn cứ xác định thời điểm bắt đầu tính thời gian thuê của các thiết bị nêu trên.</w:t>
      </w:r>
    </w:p>
    <w:p>
      <w:r>
        <w:rPr>
          <w:b w:val="0"/>
          <w:i w:val="0"/>
        </w:rPr>
      </w:r>
    </w:p>
    <w:p>
      <w:pPr>
        <w:jc w:val="center"/>
      </w:pPr>
      <w:r>
        <w:rPr>
          <w:b/>
          <w:i w:val="0"/>
        </w:rPr>
        <w:t>PHỤ LỤC 02 — YÊU CẦU AN TOÀN LAO ĐỘNG ĐỐI VỚI THIẾT BỊ TẠI CÔNG TRƯỜNG</w:t>
      </w:r>
    </w:p>
    <w:p>
      <w:r>
        <w:rPr>
          <w:b w:val="0"/>
          <w:i w:val="0"/>
        </w:rPr>
      </w:r>
    </w:p>
    <w:p>
      <w:r>
        <w:rPr>
          <w:b w:val="0"/>
          <w:i w:val="0"/>
        </w:rPr>
        <w:t>1. Mọi thiết bị nâng (cần trục tháp, vận thăng) phải được kiểm định an toàn kỹ thuật và dán tem kiểm định còn hiệu lực trước khi đưa vào sử dụng; hồ sơ kiểm định lưu tại văn phòng Công trường.</w:t>
      </w:r>
    </w:p>
    <w:p>
      <w:r>
        <w:rPr>
          <w:b w:val="0"/>
          <w:i w:val="0"/>
        </w:rPr>
        <w:t>2. Người vận hành thiết bị phải có chứng chỉ vận hành phù hợp, được huấn luyện an toàn lao động nhóm 3 và được cấp thẻ an toàn trước khi làm việc.</w:t>
      </w:r>
    </w:p>
    <w:p>
      <w:r>
        <w:rPr>
          <w:b w:val="0"/>
          <w:i w:val="0"/>
        </w:rPr>
        <w:t>3. Bên A chịu trách nhiệm lắp đặt hệ thống tiếp địa, chống sét cho cần trục tháp và vận thăng theo thiết kế được duyệt; Bên B phối hợp kiểm tra trước khi vận hành.</w:t>
      </w:r>
    </w:p>
    <w:p>
      <w:r>
        <w:rPr>
          <w:b w:val="0"/>
          <w:i w:val="0"/>
        </w:rPr>
        <w:t>4. Khi có gió từ cấp 5 trở lên, ngừng vận hành cần trục tháp; khi có bão, thực hiện hạ cần, neo giữ theo phương án đã được phê duyệt.</w:t>
      </w:r>
    </w:p>
    <w:p>
      <w:r>
        <w:rPr>
          <w:b w:val="0"/>
          <w:i w:val="0"/>
        </w:rPr>
        <w:t>5. Việc kiểm tra an toàn hằng ngày trước ca làm việc do người vận hành thực hiện và ghi vào sổ nhật ký thiết bị; tổ an toàn của Bên A kiểm tra đột xuất và có quyền đình chỉ thiết bị không đảm bảo an toàn.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