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0"/>
        </w:rPr>
        <w:t>HỒ SƠ MỜI THẦU (TRÍCH)</w:t>
      </w:r>
    </w:p>
    <w:p>
      <w:pPr>
        <w:spacing w:after="40"/>
        <w:jc w:val="center"/>
      </w:pPr>
      <w:r>
        <w:rPr>
          <w:b/>
          <w:i w:val="0"/>
          <w:sz w:val="27"/>
        </w:rPr>
        <w:t>Gói thầu: Thi công xây dựng Nhà xưởng B2 — Khu công nghiệp X</w:t>
      </w:r>
    </w:p>
    <w:p>
      <w:pPr>
        <w:spacing w:after="40"/>
        <w:jc w:val="center"/>
      </w:pPr>
      <w:r>
        <w:rPr>
          <w:b w:val="0"/>
          <w:i w:val="0"/>
        </w:rPr>
        <w:t>Bên mời thầu: Công ty Cổ phần Đầu tư ABC</w:t>
      </w:r>
    </w:p>
    <w:p>
      <w:pPr>
        <w:spacing w:after="280"/>
        <w:jc w:val="center"/>
      </w:pPr>
      <w:r>
        <w:rPr>
          <w:b w:val="0"/>
          <w:i/>
          <w:sz w:val="22"/>
        </w:rPr>
        <w:t>(Tài liệu giả lập phục vụ đào tạo — mọi tên đơn vị, số liệu, mốc thời gian đều không có thật)</w:t>
      </w:r>
    </w:p>
    <w:p>
      <w:pPr>
        <w:spacing w:after="160"/>
      </w:pPr>
      <w:r>
        <w:rPr>
          <w:b/>
          <w:i w:val="0"/>
        </w:rPr>
        <w:t>PHẦN 1. THÔNG TIN CHUNG VÀ MỐC THỜI GIAN</w:t>
      </w:r>
    </w:p>
    <w:p>
      <w:pPr>
        <w:spacing w:after="120"/>
        <w:jc w:val="both"/>
      </w:pPr>
      <w:r>
        <w:rPr>
          <w:b w:val="0"/>
          <w:i w:val="0"/>
        </w:rPr>
        <w:t>Gói thầu bao gồm toàn bộ công tác thi công xây dựng Nhà xưởng B2 (diện tích xây dựng khoảng 12.500 m², gồm khu xưởng sản xuất một tầng khẩu độ lớn và khối văn phòng phụ trợ 3 tầng), hệ thống hạ tầng kỹ thuật trong hàng rào theo hồ sơ thiết kế được duyệt. Hình thức lựa chọn nhà thầu: đấu thầu rộng rãi trong nước, một giai đoạn hai túi hồ sơ.</w:t>
      </w:r>
    </w:p>
    <w:p>
      <w:pPr>
        <w:pStyle w:val="ListBullet"/>
        <w:spacing w:after="60"/>
      </w:pPr>
      <w:r>
        <w:t>Thời gian phát hành HSMT: từ 08h00 ngày 20/08/2026 đến trước thời điểm đóng thầu.</w:t>
      </w:r>
    </w:p>
    <w:p>
      <w:pPr>
        <w:pStyle w:val="ListBullet"/>
        <w:spacing w:after="60"/>
      </w:pPr>
      <w:r>
        <w:t>Thời hạn tiếp nhận yêu cầu làm rõ HSMT: chậm nhất 17h00 ngày 05/09/2026.</w:t>
      </w:r>
    </w:p>
    <w:p>
      <w:pPr>
        <w:pStyle w:val="ListBullet"/>
        <w:spacing w:after="60"/>
      </w:pPr>
      <w:r>
        <w:t>Thời điểm đóng thầu: 09h00 ngày 15/09/2026. Hồ sơ nộp sau thời điểm đóng thầu sẽ không được tiếp nhận với bất kỳ lý do nào.</w:t>
      </w:r>
    </w:p>
    <w:p>
      <w:pPr>
        <w:pStyle w:val="ListBullet"/>
        <w:spacing w:after="60"/>
      </w:pPr>
      <w:r>
        <w:t>Thời điểm mở thầu: 09h30 ngày 15/09/2026 tại văn phòng Bên mời thầu.</w:t>
      </w:r>
    </w:p>
    <w:p>
      <w:pPr>
        <w:pStyle w:val="ListBullet"/>
        <w:spacing w:after="60"/>
      </w:pPr>
      <w:r>
        <w:t>Hiệu lực của hồ sơ dự thầu: tối thiểu 90 ngày kể từ ngày đóng thầu.</w:t>
      </w:r>
    </w:p>
    <w:p>
      <w:pPr>
        <w:pStyle w:val="ListBullet"/>
        <w:spacing w:after="60"/>
      </w:pPr>
      <w:r>
        <w:t>Bảo đảm dự thầu: 800.000.000 đồng (Tám trăm triệu đồng), theo hình thức thư bảo lãnh của ngân hàng hoạt động hợp pháp tại Việt Nam, hiệu lực tối thiểu 120 ngày kể từ ngày đóng thầu.</w:t>
      </w:r>
    </w:p>
    <w:p>
      <w:pPr>
        <w:spacing w:after="120"/>
        <w:jc w:val="both"/>
      </w:pPr>
      <w:r>
        <w:rPr>
          <w:b w:val="0"/>
          <w:i w:val="0"/>
        </w:rPr>
        <w:t>Nhà thầu tự thu xếp việc tham quan, khảo sát hiện trường và tự chịu mọi chi phí liên quan. Nhà thầu phải hoàn thành khảo sát hiện trường trước ngày 01/09/2026 và phải có xác nhận của Ban quản lý Khu công nghiệp X về việc đã khảo sát; hồ sơ dự thầu của nhà thầu không có xác nhận khảo sát hiện trường sẽ bị loại. Mọi chi phí lập hồ sơ dự thầu do nhà thầu tự chịu, kể cả trường hợp không trúng thầu.</w:t>
      </w:r>
    </w:p>
    <w:p>
      <w:pPr>
        <w:spacing w:after="160"/>
      </w:pPr>
      <w:r>
        <w:rPr>
          <w:b/>
          <w:i w:val="0"/>
        </w:rPr>
        <w:t>PHẦN 2. ĐIỀU KIỆN NĂNG LỰC VÀ KINH NGHIỆM CỦA NHÀ THẦU</w:t>
      </w:r>
    </w:p>
    <w:p>
      <w:pPr>
        <w:spacing w:after="120"/>
        <w:jc w:val="both"/>
      </w:pPr>
      <w:r>
        <w:rPr>
          <w:b w:val="0"/>
          <w:i w:val="0"/>
        </w:rPr>
        <w:t>Nhà thầu tham dự phải đáp ứng đồng thời các điều kiện tối thiểu sau đây. Không đáp ứng bất kỳ điều kiện nào, hồ sơ dự thầu sẽ bị đánh giá là không đạt về năng lực:</w:t>
      </w:r>
    </w:p>
    <w:p>
      <w:pPr>
        <w:pStyle w:val="ListNumber"/>
        <w:spacing w:after="60"/>
      </w:pPr>
      <w:r>
        <w:t>Doanh thu bình quân từ hoạt động xây dựng trong 3 năm tài chính gần nhất (2023, 2024, 2025) đạt tối thiểu 120 tỷ đồng/năm, căn cứ báo cáo tài chính đã được kiểm toán.</w:t>
      </w:r>
    </w:p>
    <w:p>
      <w:pPr>
        <w:pStyle w:val="ListNumber"/>
        <w:spacing w:after="60"/>
      </w:pPr>
      <w:r>
        <w:t>Đã hoàn thành với tư cách nhà thầu chính tối thiểu 02 hợp đồng thi công công trình công nghiệp tương tự, mỗi hợp đồng có giá trị từ 45 tỷ đồng trở lên, trong vòng 5 năm gần nhất; có biên bản nghiệm thu hoàn thành đưa vào sử dụng.</w:t>
      </w:r>
    </w:p>
    <w:p>
      <w:pPr>
        <w:pStyle w:val="ListNumber"/>
        <w:spacing w:after="60"/>
      </w:pPr>
      <w:r>
        <w:t>Chỉ huy trưởng công trường: tối thiểu 5 năm kinh nghiệm giữ vị trí chỉ huy trưởng công trình dân dụng — công nghiệp, có chứng chỉ hành nghề giám sát/chỉ huy trưởng hạng II trở lên, cam kết có mặt thường xuyên tại công trường.</w:t>
      </w:r>
    </w:p>
    <w:p>
      <w:pPr>
        <w:pStyle w:val="ListNumber"/>
        <w:spacing w:after="60"/>
      </w:pPr>
      <w:r>
        <w:t>Có hệ thống quản lý chất lượng được chứng nhận phù hợp tiêu chuẩn ISO 9001 còn hiệu lực.</w:t>
      </w:r>
    </w:p>
    <w:p>
      <w:pPr>
        <w:pStyle w:val="ListNumber"/>
        <w:spacing w:after="60"/>
      </w:pPr>
      <w:r>
        <w:t>Không đang trong quá trình giải thể, phá sản; không nợ thuế quá hạn tính đến thời điểm đóng thầu, có xác nhận của cơ quan thuế.</w:t>
      </w:r>
    </w:p>
    <w:p>
      <w:pPr>
        <w:spacing w:after="160"/>
      </w:pPr>
      <w:r>
        <w:rPr>
          <w:b/>
          <w:i w:val="0"/>
        </w:rPr>
        <w:t>PHẦN 3. DANH MỤC TÀI LIỆU NHÀ THẦU PHẢI NỘP TRONG HỒ SƠ DỰ THẦU</w:t>
      </w:r>
    </w:p>
    <w:p>
      <w:pPr>
        <w:pStyle w:val="ListNumber"/>
        <w:spacing w:after="60"/>
      </w:pPr>
      <w:r>
        <w:t>Đơn dự thầu theo Mẫu số 01, ký tên, đóng dấu của người đại diện hợp pháp.</w:t>
      </w:r>
    </w:p>
    <w:p>
      <w:pPr>
        <w:pStyle w:val="ListNumber"/>
        <w:spacing w:after="60"/>
      </w:pPr>
      <w:r>
        <w:t>Thư bảo lãnh dự thầu bản gốc của ngân hàng, giá trị 800.000.000 đồng, hiệu lực tối thiểu 120 ngày.</w:t>
      </w:r>
    </w:p>
    <w:p>
      <w:pPr>
        <w:pStyle w:val="ListNumber"/>
        <w:spacing w:after="60"/>
      </w:pPr>
      <w:r>
        <w:t>Báo cáo tài chính đã kiểm toán 3 năm 2023, 2024, 2025 (bản chụp có xác nhận của nhà thầu).</w:t>
      </w:r>
    </w:p>
    <w:p>
      <w:pPr>
        <w:pStyle w:val="ListNumber"/>
        <w:spacing w:after="60"/>
      </w:pPr>
      <w:r>
        <w:t>Bản sao các hợp đồng tương tự kèm biên bản nghiệm thu hoàn thành đưa vào sử dụng tương ứng.</w:t>
      </w:r>
    </w:p>
    <w:p>
      <w:pPr>
        <w:pStyle w:val="ListNumber"/>
        <w:spacing w:after="60"/>
      </w:pPr>
      <w:r>
        <w:t>Hồ sơ nhân sự chủ chốt: chỉ huy trưởng, cán bộ kỹ thuật, cán bộ an toàn — kèm bằng cấp, chứng chỉ hành nghề, xác nhận kinh nghiệm và cam kết huy động.</w:t>
      </w:r>
    </w:p>
    <w:p>
      <w:pPr>
        <w:pStyle w:val="ListNumber"/>
        <w:spacing w:after="60"/>
      </w:pPr>
      <w:r>
        <w:t>Danh sách thiết bị thi công chủ yếu huy động cho gói thầu, kèm giấy chứng nhận kiểm định còn hiệu lực đối với thiết bị có yêu cầu nghiêm ngặt (cẩu tháp, vận thăng, máy ép cọc...).</w:t>
      </w:r>
    </w:p>
    <w:p>
      <w:pPr>
        <w:pStyle w:val="ListNumber"/>
        <w:spacing w:after="60"/>
      </w:pPr>
      <w:r>
        <w:t>Thuyết minh biện pháp tổ chức thi công và bản vẽ biện pháp cho các công tác chính.</w:t>
      </w:r>
    </w:p>
    <w:p>
      <w:pPr>
        <w:pStyle w:val="ListNumber"/>
        <w:spacing w:after="60"/>
      </w:pPr>
      <w:r>
        <w:t>Tiến độ thi công tổng thể (không vượt quá 300 ngày) và tiến độ chi tiết theo tháng.</w:t>
      </w:r>
    </w:p>
    <w:p>
      <w:pPr>
        <w:pStyle w:val="ListNumber"/>
        <w:spacing w:after="60"/>
      </w:pPr>
      <w:r>
        <w:t>Cam kết thực hiện các biện pháp bảo đảm an toàn lao động — vệ sinh môi trường theo Mẫu số 03.</w:t>
      </w:r>
    </w:p>
    <w:p>
      <w:pPr>
        <w:pStyle w:val="ListNumber"/>
        <w:spacing w:after="60"/>
      </w:pPr>
      <w:r>
        <w:t>Bản sao chứng thực Giấy chứng nhận đăng ký doanh nghiệp.</w:t>
      </w:r>
    </w:p>
    <w:p>
      <w:pPr>
        <w:pStyle w:val="ListNumber"/>
        <w:spacing w:after="60"/>
      </w:pPr>
      <w:r>
        <w:t>Văn bản xác nhận không nợ thuế quá hạn của cơ quan thuế quản lý trực tiếp.</w:t>
      </w:r>
    </w:p>
    <w:p>
      <w:pPr>
        <w:pStyle w:val="ListNumber"/>
        <w:spacing w:after="60"/>
      </w:pPr>
      <w:r>
        <w:t>Đề xuất tài chính lập theo đúng Mẫu số 04, kèm bảng phân tích đơn giá các công tác chủ yếu.</w:t>
      </w:r>
    </w:p>
    <w:p>
      <w:pPr>
        <w:spacing w:after="120"/>
        <w:jc w:val="both"/>
      </w:pPr>
      <w:r>
        <w:rPr>
          <w:b w:val="0"/>
          <w:i w:val="0"/>
        </w:rPr>
        <w:t>Quy cách hồ sơ: hồ sơ dự thầu lập thành 01 bản gốc và 03 bản chụp, ngoài túi ghi rõ "BẢN GỐC"/"BẢN CHỤP"; kèm 01 USB chứa toàn bộ bản mềm (định dạng PDF và bảng tính). Trường hợp nộp thiếu bản chụp, hồ sơ dự thầu bị coi là không hợp lệ về quy cách và không được xem xét tiếp. Hồ sơ đựng trong túi có niêm phong, ghi rõ tên gói thầu, tên và địa chỉ nhà thầu.</w:t>
      </w:r>
    </w:p>
    <w:p>
      <w:pPr>
        <w:spacing w:after="160"/>
      </w:pPr>
      <w:r>
        <w:rPr>
          <w:b/>
          <w:i w:val="0"/>
        </w:rPr>
        <w:t>PHẦN 4. TIÊU CHÍ ĐÁNH GIÁ HỒ SƠ DỰ THẦU</w:t>
      </w:r>
    </w:p>
    <w:p>
      <w:pPr>
        <w:spacing w:after="120"/>
        <w:jc w:val="both"/>
      </w:pPr>
      <w:r>
        <w:rPr>
          <w:b w:val="0"/>
          <w:i w:val="0"/>
        </w:rPr>
        <w:t>Đánh giá theo hai bước. Bước 1 — đánh giá về kỹ thuật theo thang điểm 100, hồ sơ đạt khi tổng điểm từ 70 điểm trở lên và không có tiêu chí thành phần nào bị điểm 0. Bước 2 — các hồ sơ đạt kỹ thuật được mở đề xuất tài chính, xếp hạng theo giá đánh giá; nhà thầu có giá đánh giá thấp nhất được mời vào thương thảo hợp đồng.</w:t>
      </w:r>
    </w:p>
    <w:p>
      <w:pPr>
        <w:pStyle w:val="ListBullet"/>
        <w:spacing w:after="60"/>
      </w:pPr>
      <w:r>
        <w:t>Biện pháp tổ chức thi công, biện pháp kỹ thuật cho các công tác chính: tối đa 30 điểm.</w:t>
      </w:r>
    </w:p>
    <w:p>
      <w:pPr>
        <w:pStyle w:val="ListBullet"/>
        <w:spacing w:after="60"/>
      </w:pPr>
      <w:r>
        <w:t>Tiến độ thi công và biện pháp bảo đảm tiến độ: tối đa 20 điểm.</w:t>
      </w:r>
    </w:p>
    <w:p>
      <w:pPr>
        <w:pStyle w:val="ListBullet"/>
        <w:spacing w:after="60"/>
      </w:pPr>
      <w:r>
        <w:t>Năng lực, kinh nghiệm nhân sự chủ chốt huy động: tối đa 20 điểm.</w:t>
      </w:r>
    </w:p>
    <w:p>
      <w:pPr>
        <w:pStyle w:val="ListBullet"/>
        <w:spacing w:after="60"/>
      </w:pPr>
      <w:r>
        <w:t>Thiết bị thi công huy động và phương án huy động: tối đa 15 điểm.</w:t>
      </w:r>
    </w:p>
    <w:p>
      <w:pPr>
        <w:pStyle w:val="ListBullet"/>
        <w:spacing w:after="60"/>
      </w:pPr>
      <w:r>
        <w:t>Biện pháp an toàn lao động, vệ sinh môi trường, phòng chống cháy nổ: tối đa 15 điểm.</w:t>
      </w:r>
    </w:p>
    <w:p>
      <w:pPr>
        <w:spacing w:after="120"/>
        <w:jc w:val="both"/>
      </w:pPr>
      <w:r>
        <w:rPr>
          <w:b w:val="0"/>
          <w:i w:val="0"/>
        </w:rPr>
        <w:t>Bên mời thầu có quyền yêu cầu nhà thầu làm rõ hồ sơ dự thầu bằng văn bản trong quá trình đánh giá; nội dung làm rõ không được làm thay đổi bản chất hồ sơ đã nộp.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