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VeriCover Digital Warranties — Architecture &amp; ADR</w:t>
      </w:r>
    </w:p>
    <w:p>
      <w:pPr>
        <w:spacing w:after="120"/>
      </w:pPr>
      <w:r>
        <w:rPr>
          <w:b w:val="false"/>
          <w:bCs w:val="false"/>
        </w:rPr>
        <w:t xml:space="preserve">Owner: Javad (@Zarathustra_F) · Branch: feature/digital-warranties · June 2026</w:t>
      </w:r>
    </w:p>
    <w:p>
      <w:pPr>
        <w:spacing w:after="120"/>
      </w:pPr>
      <w:r>
        <w:rPr>
          <w:b/>
          <w:bCs/>
        </w:rPr>
        <w:t xml:space="preserve">Regulatory disclaimer: VeriCover provides on-chain warranty and risk-sharing infrastructure. It is not a licensed insurance company or traditional warranty insurer in all jurisdictions. Manufacturers remain primary obligors for statutory warranties where applicable.</w:t>
      </w:r>
    </w:p>
    <w:p>
      <w:pPr>
        <w:pStyle w:val="Heading2"/>
        <w:spacing w:after="200"/>
      </w:pPr>
      <w:r>
        <w:t xml:space="preserve">ADR-007 Decision Summary</w:t>
      </w:r>
    </w:p>
    <w:p>
      <w:pPr>
        <w:spacing w:after="120"/>
      </w:pPr>
      <w:r>
        <w:rPr>
          <w:b w:val="false"/>
          <w:bCs w:val="false"/>
        </w:rPr>
        <w:t xml:space="preserve">Separate ProductPassport721 from Policy NFT. Manufacturer-funded WarrantyTrancheVault per brand. Discretionary claim path for repair/replace/refund. Parametric insurance rail unchanged.</w:t>
      </w:r>
    </w:p>
    <w:p>
      <w:pPr>
        <w:pStyle w:val="Heading2"/>
        <w:spacing w:after="200"/>
      </w:pPr>
      <w:r>
        <w:t xml:space="preserve">Physical Product Linking</w:t>
      </w:r>
    </w:p>
    <w:p>
      <w:pPr>
        <w:spacing w:after="120"/>
      </w:pPr>
      <w:r>
        <w:rPr>
          <w:b w:val="false"/>
          <w:bCs w:val="false"/>
        </w:rPr>
        <w:t xml:space="preserve">• serialHash = keccak256(serial + sku + batch) registered by manufacturer</w:t>
      </w:r>
    </w:p>
    <w:p>
      <w:pPr>
        <w:spacing w:after="120"/>
      </w:pPr>
      <w:r>
        <w:rPr>
          <w:b w:val="false"/>
          <w:bCs w:val="false"/>
        </w:rPr>
        <w:t xml:space="preserve">• QR code → public product passport viewer (IPFS metadata)</w:t>
      </w:r>
    </w:p>
    <w:p>
      <w:pPr>
        <w:spacing w:after="120"/>
      </w:pPr>
      <w:r>
        <w:rPr>
          <w:b w:val="false"/>
          <w:bCs w:val="false"/>
        </w:rPr>
        <w:t xml:space="preserve">• Claim code / NFC → mint Passport NFT to consumer wallet</w:t>
      </w:r>
    </w:p>
    <w:p>
      <w:pPr>
        <w:spacing w:after="120"/>
      </w:pPr>
      <w:r>
        <w:rPr>
          <w:b w:val="false"/>
          <w:bCs w:val="false"/>
        </w:rPr>
        <w:t xml:space="preserve">• warrantyStart, warrantyEnd, termsHash stored on-chain</w:t>
      </w:r>
    </w:p>
    <w:p>
      <w:pPr>
        <w:pStyle w:val="Heading2"/>
        <w:spacing w:after="200"/>
      </w:pPr>
      <w:r>
        <w:t xml:space="preserve">Financial Model</w:t>
      </w:r>
    </w:p>
    <w:p>
      <w:pPr>
        <w:spacing w:after="120"/>
      </w:pPr>
      <w:r>
        <w:rPr>
          <w:b w:val="false"/>
          <w:bCs w:val="false"/>
        </w:rPr>
        <w:t xml:space="preserve">• Manufacturer deposits USDC into dedicated tranche (ERC-4626 sub-vault)</w:t>
      </w:r>
    </w:p>
    <w:p>
      <w:pPr>
        <w:spacing w:after="120"/>
      </w:pPr>
      <w:r>
        <w:rPr>
          <w:b w:val="false"/>
          <w:bCs w:val="false"/>
        </w:rPr>
        <w:t xml:space="preserve">• Warranty fee at issuance: 100% to manufacturer tranche (no parametric LP share)</w:t>
      </w:r>
    </w:p>
    <w:p>
      <w:pPr>
        <w:spacing w:after="120"/>
      </w:pPr>
      <w:r>
        <w:rPr>
          <w:b w:val="false"/>
          <w:bCs w:val="false"/>
        </w:rPr>
        <w:t xml:space="preserve">• Claims draw manufacturer tranche first; optional protocol backstop capped at 5%</w:t>
      </w:r>
    </w:p>
    <w:p>
      <w:pPr>
        <w:spacing w:after="120"/>
      </w:pPr>
      <w:r>
        <w:rPr>
          <w:b w:val="false"/>
          <w:bCs w:val="false"/>
        </w:rPr>
        <w:t xml:space="preserve">• Insurance premiums continue flowing to existing InsuranceTranche only</w:t>
      </w:r>
    </w:p>
    <w:p>
      <w:pPr>
        <w:pStyle w:val="Heading2"/>
        <w:spacing w:after="200"/>
      </w:pPr>
      <w:r>
        <w:t xml:space="preserve">Transferability</w:t>
      </w:r>
    </w:p>
    <w:p>
      <w:pPr>
        <w:spacing w:after="120"/>
      </w:pPr>
      <w:r>
        <w:rPr>
          <w:b w:val="false"/>
          <w:bCs w:val="false"/>
        </w:rPr>
        <w:t xml:space="preserve">Passports transferable by default (second-hand market). warrantyEnd unchanged on transfer. Optional maxTransfers per SKU. ERC-5192 lock during open claims only.</w:t>
      </w:r>
    </w:p>
    <w:p>
      <w:pPr>
        <w:pStyle w:val="Heading2"/>
        <w:spacing w:after="200"/>
      </w:pPr>
      <w:r>
        <w:t xml:space="preserve">Fraud Prevention</w:t>
      </w:r>
    </w:p>
    <w:p>
      <w:pPr>
        <w:spacing w:after="120"/>
      </w:pPr>
      <w:r>
        <w:rPr>
          <w:b w:val="false"/>
          <w:bCs w:val="false"/>
        </w:rPr>
        <w:t xml:space="preserve">• One serial = one passport (duplicate reverts)</w:t>
      </w:r>
    </w:p>
    <w:p>
      <w:pPr>
        <w:spacing w:after="120"/>
      </w:pPr>
      <w:r>
        <w:rPr>
          <w:b w:val="false"/>
          <w:bCs w:val="false"/>
        </w:rPr>
        <w:t xml:space="preserve">• Evidence hash on IPFS; authorized service provider attestations (EAS Phase 2)</w:t>
      </w:r>
    </w:p>
    <w:p>
      <w:pPr>
        <w:spacing w:after="120"/>
      </w:pPr>
      <w:r>
        <w:rPr>
          <w:b w:val="false"/>
          <w:bCs w:val="false"/>
        </w:rPr>
        <w:t xml:space="preserve">• Auto-approve only below threshold with allowlisted defect codes</w:t>
      </w:r>
    </w:p>
    <w:p>
      <w:pPr>
        <w:spacing w:after="120"/>
      </w:pPr>
      <w:r>
        <w:rPr>
          <w:b w:val="false"/>
          <w:bCs w:val="false"/>
        </w:rPr>
        <w:t xml:space="preserve">• Multisig / optimistic challenge window for high-value claims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2026-06-23T07:28:07.746Z</dcterms:created>
  <dcterms:modified xsi:type="dcterms:W3CDTF">2026-06-23T07:28:07.746Z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