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Warranty Module — Smart Contract Specification</w:t>
      </w:r>
    </w:p>
    <w:p>
      <w:pPr>
        <w:spacing w:after="120"/>
      </w:pPr>
      <w:r>
        <w:rPr>
          <w:b w:val="false"/>
          <w:bCs w:val="false"/>
        </w:rPr>
        <w:t xml:space="preserve">Owner: Javad · VeriCover · MVP Phase 1</w:t>
      </w:r>
    </w:p>
    <w:p>
      <w:pPr>
        <w:pStyle w:val="Heading2"/>
        <w:spacing w:after="200"/>
      </w:pPr>
      <w:r>
        <w:t xml:space="preserve">ProductPassport721.sol</w:t>
      </w:r>
    </w:p>
    <w:p>
      <w:pPr>
        <w:spacing w:after="120"/>
      </w:pPr>
      <w:r>
        <w:rPr>
          <w:b w:val="false"/>
          <w:bCs w:val="false"/>
        </w:rPr>
        <w:t xml:space="preserve">mintPassport(serialHash, skuHash, warrantyEnd, termsHash, manufacturerId) — MANUFACTURER_ROLE</w:t>
      </w:r>
    </w:p>
    <w:p>
      <w:pPr>
        <w:spacing w:after="120"/>
      </w:pPr>
      <w:r>
        <w:rPr>
          <w:b w:val="false"/>
          <w:bCs w:val="false"/>
        </w:rPr>
        <w:t xml:space="preserve">transferFrom — standard ERC-721; increments transferCount; blocked if claimLocked</w:t>
      </w:r>
    </w:p>
    <w:p>
      <w:pPr>
        <w:spacing w:after="120"/>
      </w:pPr>
      <w:r>
        <w:rPr>
          <w:b w:val="false"/>
          <w:bCs w:val="false"/>
        </w:rPr>
        <w:t xml:space="preserve">linkExtendedPolicy(passportId, policyTokenId) — optional insurance link</w:t>
      </w:r>
    </w:p>
    <w:p>
      <w:pPr>
        <w:spacing w:after="120"/>
      </w:pPr>
      <w:r>
        <w:rPr>
          <w:b w:val="false"/>
          <w:bCs w:val="false"/>
        </w:rPr>
        <w:t xml:space="preserve">Views: getPassport(tokenId), isWarrantyActive(tokenId), serialHashUsed(serialHash)</w:t>
      </w:r>
    </w:p>
    <w:p>
      <w:pPr>
        <w:pStyle w:val="Heading2"/>
        <w:spacing w:after="200"/>
      </w:pPr>
      <w:r>
        <w:t xml:space="preserve">WarrantyRegistry.sol</w:t>
      </w:r>
    </w:p>
    <w:p>
      <w:pPr>
        <w:spacing w:after="120"/>
      </w:pPr>
      <w:r>
        <w:rPr>
          <w:b w:val="false"/>
          <w:bCs w:val="false"/>
        </w:rPr>
        <w:t xml:space="preserve">registerManufacturer(), registerSerial(), flagRecalled(), flagStolen()</w:t>
      </w:r>
    </w:p>
    <w:p>
      <w:pPr>
        <w:spacing w:after="120"/>
      </w:pPr>
      <w:r>
        <w:rPr>
          <w:b w:val="false"/>
          <w:bCs w:val="false"/>
        </w:rPr>
        <w:t xml:space="preserve">Roles: MANUFACTURER_ROLE, OPERATOR_ROLE, PAUSER_ROLE</w:t>
      </w:r>
    </w:p>
    <w:p>
      <w:pPr>
        <w:pStyle w:val="Heading2"/>
        <w:spacing w:after="200"/>
      </w:pPr>
      <w:r>
        <w:t xml:space="preserve">WarrantyClaimManager.sol</w:t>
      </w:r>
    </w:p>
    <w:p>
      <w:pPr>
        <w:spacing w:after="120"/>
      </w:pPr>
      <w:r>
        <w:rPr>
          <w:b w:val="false"/>
          <w:bCs w:val="false"/>
        </w:rPr>
        <w:t xml:space="preserve">submitClaim(passportId, claimType, defectCode, evidenceHash, amount)</w:t>
      </w:r>
    </w:p>
    <w:p>
      <w:pPr>
        <w:spacing w:after="120"/>
      </w:pPr>
      <w:r>
        <w:rPr>
          <w:b w:val="false"/>
          <w:bCs w:val="false"/>
        </w:rPr>
        <w:t xml:space="preserve">approveClaim(claimId) / rejectClaim(claimId) — adjudicator or auto-rules</w:t>
      </w:r>
    </w:p>
    <w:p>
      <w:pPr>
        <w:spacing w:after="120"/>
      </w:pPr>
      <w:r>
        <w:rPr>
          <w:b w:val="false"/>
          <w:bCs w:val="false"/>
        </w:rPr>
        <w:t xml:space="preserve">executePayout(claimId) → WarrantyTrancheVault.pay(serviceProvider | owner)</w:t>
      </w:r>
    </w:p>
    <w:p>
      <w:pPr>
        <w:spacing w:after="120"/>
      </w:pPr>
      <w:r>
        <w:rPr>
          <w:b w:val="false"/>
          <w:bCs w:val="false"/>
        </w:rPr>
        <w:t xml:space="preserve">ClaimType enum: REPAIR, REPLACE, REFUND</w:t>
      </w:r>
    </w:p>
    <w:p>
      <w:pPr>
        <w:spacing w:after="120"/>
      </w:pPr>
      <w:r>
        <w:rPr>
          <w:b w:val="false"/>
          <w:bCs w:val="false"/>
        </w:rPr>
        <w:t xml:space="preserve">ClaimStatus: SUBMITTED → ELIGIBLE → APPROVED → PAID | REJECTED</w:t>
      </w:r>
    </w:p>
    <w:p>
      <w:pPr>
        <w:pStyle w:val="Heading2"/>
        <w:spacing w:after="200"/>
      </w:pPr>
      <w:r>
        <w:t xml:space="preserve">WarrantyTrancheVault.sol</w:t>
      </w:r>
    </w:p>
    <w:p>
      <w:pPr>
        <w:spacing w:after="120"/>
      </w:pPr>
      <w:r>
        <w:rPr>
          <w:b w:val="false"/>
          <w:bCs w:val="false"/>
        </w:rPr>
        <w:t xml:space="preserve">ERC-4626 per manufacturerId. deposit(), withdraw() with lock rules.</w:t>
      </w:r>
    </w:p>
    <w:p>
      <w:pPr>
        <w:spacing w:after="120"/>
      </w:pPr>
      <w:r>
        <w:rPr>
          <w:b w:val="false"/>
          <w:bCs w:val="false"/>
        </w:rPr>
        <w:t xml:space="preserve">reserveForClaim(), payClaim() — only ClaimManager</w:t>
      </w:r>
    </w:p>
    <w:p>
      <w:pPr>
        <w:spacing w:after="120"/>
      </w:pPr>
      <w:r>
        <w:rPr>
          <w:b w:val="false"/>
          <w:bCs w:val="false"/>
        </w:rPr>
        <w:t xml:space="preserve">Invariant: totalAssets &gt;= reservedClaims + pendingPayouts</w:t>
      </w:r>
    </w:p>
    <w:p>
      <w:pPr>
        <w:pStyle w:val="Heading2"/>
        <w:spacing w:after="200"/>
      </w:pPr>
      <w:r>
        <w:t xml:space="preserve">Integration with existing contracts</w:t>
      </w:r>
    </w:p>
    <w:p>
      <w:pPr>
        <w:spacing w:after="120"/>
      </w:pPr>
      <w:r>
        <w:rPr>
          <w:b w:val="false"/>
          <w:bCs w:val="false"/>
        </w:rPr>
        <w:t xml:space="preserve">PolicyNFT.sol — add optional passportId field (zero = insurance-only)</w:t>
      </w:r>
    </w:p>
    <w:p>
      <w:pPr>
        <w:spacing w:after="120"/>
      </w:pPr>
      <w:r>
        <w:rPr>
          <w:b w:val="false"/>
          <w:bCs w:val="false"/>
        </w:rPr>
        <w:t xml:space="preserve">ReservePoolCoordinator.sol — routes premiums/claims by ProductType INSURANCE | WARRANTY</w:t>
      </w:r>
    </w:p>
    <w:p>
      <w:pPr>
        <w:spacing w:after="120"/>
      </w:pPr>
      <w:r>
        <w:rPr>
          <w:b w:val="false"/>
          <w:bCs w:val="false"/>
        </w:rPr>
        <w:t xml:space="preserve">No changes to ParametricEngine.sol or OracleRegistry.sol for warranty MVP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2026-06-23T07:28:07.750Z</dcterms:created>
  <dcterms:modified xsi:type="dcterms:W3CDTF">2026-06-23T07:28:07.750Z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