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Real-World Warranty Use Cases</w:t>
      </w:r>
    </w:p>
    <w:p>
      <w:pPr>
        <w:spacing w:after="120"/>
      </w:pPr>
      <w:r>
        <w:rPr>
          <w:b w:val="false"/>
          <w:bCs w:val="false"/>
        </w:rPr>
        <w:t xml:space="preserve">VeriCover — Founded by Javad</w:t>
      </w:r>
    </w:p>
    <w:p>
      <w:pPr>
        <w:pStyle w:val="Heading2"/>
        <w:spacing w:after="200"/>
      </w:pPr>
      <w:r>
        <w:t xml:space="preserve">Consumer electronics</w:t>
      </w:r>
    </w:p>
    <w:p>
      <w:pPr>
        <w:spacing w:after="120"/>
      </w:pPr>
      <w:r>
        <w:rPr>
          <w:b w:val="false"/>
          <w:bCs w:val="false"/>
        </w:rPr>
        <w:t xml:space="preserve">Smartphones, laptops — 12–24mo defect cover, transferable resale</w:t>
      </w:r>
    </w:p>
    <w:p>
      <w:pPr>
        <w:pStyle w:val="Heading2"/>
        <w:spacing w:after="200"/>
      </w:pPr>
      <w:r>
        <w:t xml:space="preserve">Home appliances</w:t>
      </w:r>
    </w:p>
    <w:p>
      <w:pPr>
        <w:spacing w:after="120"/>
      </w:pPr>
      <w:r>
        <w:rPr>
          <w:b w:val="false"/>
          <w:bCs w:val="false"/>
        </w:rPr>
        <w:t xml:space="preserve">Washers, fridges — repair/replace; serial-linked recalls</w:t>
      </w:r>
    </w:p>
    <w:p>
      <w:pPr>
        <w:pStyle w:val="Heading2"/>
        <w:spacing w:after="200"/>
      </w:pPr>
      <w:r>
        <w:t xml:space="preserve">Luxury goods</w:t>
      </w:r>
    </w:p>
    <w:p>
      <w:pPr>
        <w:spacing w:after="120"/>
      </w:pPr>
      <w:r>
        <w:rPr>
          <w:b w:val="false"/>
          <w:bCs w:val="false"/>
        </w:rPr>
        <w:t xml:space="preserve">Watches, handbags — authenticity + warranty card on-chain (Breitling-style)</w:t>
      </w:r>
    </w:p>
    <w:p>
      <w:pPr>
        <w:pStyle w:val="Heading2"/>
        <w:spacing w:after="200"/>
      </w:pPr>
      <w:r>
        <w:t xml:space="preserve">Power tools</w:t>
      </w:r>
    </w:p>
    <w:p>
      <w:pPr>
        <w:spacing w:after="120"/>
      </w:pPr>
      <w:r>
        <w:rPr>
          <w:b w:val="false"/>
          <w:bCs w:val="false"/>
        </w:rPr>
        <w:t xml:space="preserve">Contractor equipment — repair history increases resale value</w:t>
      </w:r>
    </w:p>
    <w:p>
      <w:pPr>
        <w:pStyle w:val="Heading2"/>
        <w:spacing w:after="200"/>
      </w:pPr>
      <w:r>
        <w:t xml:space="preserve">E-bikes / EV accessories</w:t>
      </w:r>
    </w:p>
    <w:p>
      <w:pPr>
        <w:spacing w:after="120"/>
      </w:pPr>
      <w:r>
        <w:rPr>
          <w:b w:val="false"/>
          <w:bCs w:val="false"/>
        </w:rPr>
        <w:t xml:space="preserve">Battery passport alignment (EU 2027 batteries)</w:t>
      </w:r>
    </w:p>
    <w:p>
      <w:pPr>
        <w:pStyle w:val="Heading2"/>
        <w:spacing w:after="200"/>
      </w:pPr>
      <w:r>
        <w:t xml:space="preserve">Retail extended warranty</w:t>
      </w:r>
    </w:p>
    <w:p>
      <w:pPr>
        <w:spacing w:after="120"/>
      </w:pPr>
      <w:r>
        <w:rPr>
          <w:b w:val="false"/>
          <w:bCs w:val="false"/>
        </w:rPr>
        <w:t xml:space="preserve">Retailer sells extension → links optional Policy NFT</w:t>
      </w:r>
    </w:p>
    <w:p>
      <w:pPr>
        <w:spacing w:after="120"/>
      </w:pPr>
      <w:r>
        <w:rPr>
          <w:b/>
          <w:bCs/>
        </w:rPr>
        <w:t xml:space="preserve">Regulatory disclaimer: VeriCover provides on-chain warranty and risk-sharing infrastructure. It is not a licensed insurance company or traditional warranty insurer in all jurisdictions. Manufacturers remain primary obligors for statutory warranties where applicable.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2026-06-23T07:28:07.751Z</dcterms:created>
  <dcterms:modified xsi:type="dcterms:W3CDTF">2026-06-23T07:28:07.751Z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