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Digital Warranties — User Flows</w:t>
      </w:r>
    </w:p>
    <w:p>
      <w:pPr>
        <w:spacing w:after="120"/>
      </w:pPr>
      <w:r>
        <w:rPr>
          <w:b w:val="false"/>
          <w:bCs w:val="false"/>
        </w:rPr>
        <w:t xml:space="preserve">Owner: Javad · VeriCover</w:t>
      </w:r>
    </w:p>
    <w:p>
      <w:pPr>
        <w:pStyle w:val="Heading2"/>
        <w:spacing w:after="200"/>
      </w:pPr>
      <w:r>
        <w:t xml:space="preserve">Manufacturer / Retailer — Issue Warranty</w:t>
      </w:r>
    </w:p>
    <w:p>
      <w:pPr>
        <w:spacing w:after="120"/>
      </w:pPr>
      <w:r>
        <w:rPr>
          <w:b w:val="false"/>
          <w:bCs w:val="false"/>
        </w:rPr>
        <w:t xml:space="preserve">1. Register as manufacturer (KYC off-chain, on-chain role grant)</w:t>
      </w:r>
    </w:p>
    <w:p>
      <w:pPr>
        <w:spacing w:after="120"/>
      </w:pPr>
      <w:r>
        <w:rPr>
          <w:b w:val="false"/>
          <w:bCs w:val="false"/>
        </w:rPr>
        <w:t xml:space="preserve">2. Deposit USDC into WarrantyTrancheVault</w:t>
      </w:r>
    </w:p>
    <w:p>
      <w:pPr>
        <w:spacing w:after="120"/>
      </w:pPr>
      <w:r>
        <w:rPr>
          <w:b w:val="false"/>
          <w:bCs w:val="false"/>
        </w:rPr>
        <w:t xml:space="preserve">3. Bulk-register serial hashes for SKU batch</w:t>
      </w:r>
    </w:p>
    <w:p>
      <w:pPr>
        <w:spacing w:after="120"/>
      </w:pPr>
      <w:r>
        <w:rPr>
          <w:b w:val="false"/>
          <w:bCs w:val="false"/>
        </w:rPr>
        <w:t xml:space="preserve">4. Print QR (DPP viewer) + claim code on packaging</w:t>
      </w:r>
    </w:p>
    <w:p>
      <w:pPr>
        <w:spacing w:after="120"/>
      </w:pPr>
      <w:r>
        <w:rPr>
          <w:b w:val="false"/>
          <w:bCs w:val="false"/>
        </w:rPr>
        <w:t xml:space="preserve">5. Consumer scans → mints ProductPassport721 → warranty active</w:t>
      </w:r>
    </w:p>
    <w:p>
      <w:pPr>
        <w:pStyle w:val="Heading2"/>
        <w:spacing w:after="200"/>
      </w:pPr>
      <w:r>
        <w:t xml:space="preserve">Consumer — Register &amp; Claim</w:t>
      </w:r>
    </w:p>
    <w:p>
      <w:pPr>
        <w:spacing w:after="120"/>
      </w:pPr>
      <w:r>
        <w:rPr>
          <w:b w:val="false"/>
          <w:bCs w:val="false"/>
        </w:rPr>
        <w:t xml:space="preserve">1. Scan QR or enter claim code</w:t>
      </w:r>
    </w:p>
    <w:p>
      <w:pPr>
        <w:spacing w:after="120"/>
      </w:pPr>
      <w:r>
        <w:rPr>
          <w:b w:val="false"/>
          <w:bCs w:val="false"/>
        </w:rPr>
        <w:t xml:space="preserve">2. Connect wallet on Base → receive Passport NFT</w:t>
      </w:r>
    </w:p>
    <w:p>
      <w:pPr>
        <w:spacing w:after="120"/>
      </w:pPr>
      <w:r>
        <w:rPr>
          <w:b w:val="false"/>
          <w:bCs w:val="false"/>
        </w:rPr>
        <w:t xml:space="preserve">3. If defect: submit claim with photos (IPFS) + defect category</w:t>
      </w:r>
    </w:p>
    <w:p>
      <w:pPr>
        <w:spacing w:after="120"/>
      </w:pPr>
      <w:r>
        <w:rPr>
          <w:b w:val="false"/>
          <w:bCs w:val="false"/>
        </w:rPr>
        <w:t xml:space="preserve">4. Auto or manual review → payout / repair authorization</w:t>
      </w:r>
    </w:p>
    <w:p>
      <w:pPr>
        <w:spacing w:after="120"/>
      </w:pPr>
      <w:r>
        <w:rPr>
          <w:b w:val="false"/>
          <w:bCs w:val="false"/>
        </w:rPr>
        <w:t xml:space="preserve">5. Full history visible in app + block explorer</w:t>
      </w:r>
    </w:p>
    <w:p>
      <w:pPr>
        <w:pStyle w:val="Heading2"/>
        <w:spacing w:after="200"/>
      </w:pPr>
      <w:r>
        <w:t xml:space="preserve">Consumer — Resell Product</w:t>
      </w:r>
    </w:p>
    <w:p>
      <w:pPr>
        <w:spacing w:after="120"/>
      </w:pPr>
      <w:r>
        <w:rPr>
          <w:b w:val="false"/>
          <w:bCs w:val="false"/>
        </w:rPr>
        <w:t xml:space="preserve">1. Transfer Passport NFT to buyer (wallet-to-wallet or marketplace)</w:t>
      </w:r>
    </w:p>
    <w:p>
      <w:pPr>
        <w:spacing w:after="120"/>
      </w:pPr>
      <w:r>
        <w:rPr>
          <w:b w:val="false"/>
          <w:bCs w:val="false"/>
        </w:rPr>
        <w:t xml:space="preserve">2. Remaining warranty time unchanged</w:t>
      </w:r>
    </w:p>
    <w:p>
      <w:pPr>
        <w:spacing w:after="120"/>
      </w:pPr>
      <w:r>
        <w:rPr>
          <w:b w:val="false"/>
          <w:bCs w:val="false"/>
        </w:rPr>
        <w:t xml:space="preserve">3. Repair history attestations travel with passport</w:t>
      </w:r>
    </w:p>
    <w:p>
      <w:pPr>
        <w:pStyle w:val="Heading2"/>
        <w:spacing w:after="200"/>
      </w:pPr>
      <w:r>
        <w:t xml:space="preserve">Authorized Service Provider</w:t>
      </w:r>
    </w:p>
    <w:p>
      <w:pPr>
        <w:spacing w:after="120"/>
      </w:pPr>
      <w:r>
        <w:rPr>
          <w:b w:val="false"/>
          <w:bCs w:val="false"/>
        </w:rPr>
        <w:t xml:space="preserve">1. Submit repair attestation with cost and parts</w:t>
      </w:r>
    </w:p>
    <w:p>
      <w:pPr>
        <w:spacing w:after="120"/>
      </w:pPr>
      <w:r>
        <w:rPr>
          <w:b w:val="false"/>
          <w:bCs w:val="false"/>
        </w:rPr>
        <w:t xml:space="preserve">2. Claim manager validates → partial payout from tranche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2026-06-23T07:28:07.750Z</dcterms:created>
  <dcterms:modified xsi:type="dcterms:W3CDTF">2026-06-23T07:28:07.750Z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