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Kalbos garso fonemų klasifikavimo rezultatai</w:t>
      </w:r>
    </w:p>
    <w:p>
      <w:pPr>
        <w:pStyle w:val="Subtitle"/>
      </w:pPr>
      <w:r>
        <w:t>Aivaras Petkus  |  PEPfm 26  |  Intelektualiosios sistemos</w:t>
      </w:r>
    </w:p>
    <w:p>
      <w:pPr>
        <w:spacing w:after="120" w:line="264" w:lineRule="auto"/>
      </w:pPr>
      <w:r>
        <w:t xml:space="preserve">Eksperimentas atliktas MATLAB 2023b. RBF-SVM testinis BA = 0.8365, F1 = 0.7758, Brier = 0.0922. Palyginti LR, kNN, RBF-SVM ir trys iš anksto fiksuoti MLP paleidimai.</w:t>
      </w:r>
    </w:p>
    <w:p>
      <w:pPr>
        <w:pStyle w:val="Heading1"/>
      </w:pPr>
      <w:r>
        <w:t>Duomenys ir uždavinys</w:t>
      </w:r>
    </w:p>
    <w:p>
      <w:pPr>
        <w:spacing w:after="120" w:line="264" w:lineRule="auto"/>
      </w:pPr>
      <w:r>
        <w:t xml:space="preserve">Patikrinta 5404 įrašų ir penki požymiai. Klasės: 3818 nosinių ir 1586 burninių garsų. Vienodų papildomų eilučių skaičius = 9. Požymių vektorių sutapimai tarp train ir test = 3. Originalaus ARFF žymos 1 ir 2 perkoduotos į 0 ir 1.</w:t>
      </w:r>
    </w:p>
    <w:p>
      <w:pPr>
        <w:jc w:val="center"/>
      </w:pPr>
      <w:r>
        <w:drawing>
          <wp:inline xmlns:a="http://schemas.openxmlformats.org/drawingml/2006/main" xmlns:pic="http://schemas.openxmlformats.org/drawingml/2006/picture">
            <wp:extent cx="5806440" cy="2195969"/>
            <wp:docPr id="1" name="Picture 1" descr="Phoneme rinkinio klasių skaičiai pagal šaltinio duomenis"/>
            <wp:cNvGraphicFramePr>
              <a:graphicFrameLocks noChangeAspect="1"/>
            </wp:cNvGraphicFramePr>
            <a:graphic>
              <a:graphicData uri="http://schemas.openxmlformats.org/drawingml/2006/picture">
                <pic:pic>
                  <pic:nvPicPr>
                    <pic:cNvPr id="0" name="class_counts.png"/>
                    <pic:cNvPicPr/>
                  </pic:nvPicPr>
                  <pic:blipFill>
                    <a:blip r:embed="rId10"/>
                    <a:stretch>
                      <a:fillRect/>
                    </a:stretch>
                  </pic:blipFill>
                  <pic:spPr>
                    <a:xfrm>
                      <a:off x="0" y="0"/>
                      <a:ext cx="5806440" cy="2195969"/>
                    </a:xfrm>
                    <a:prstGeom prst="rect"/>
                  </pic:spPr>
                </pic:pic>
              </a:graphicData>
            </a:graphic>
          </wp:inline>
        </w:drawing>
      </w:r>
    </w:p>
    <w:p>
      <w:pPr>
        <w:pStyle w:val="Caption"/>
      </w:pPr>
      <w:r>
        <w:t>1 pav. Phoneme rinkinio klasių dydžiai. Šaltinis OpenML 1489.</w:t>
      </w:r>
    </w:p>
    <w:p>
      <w:r>
        <w:t>Duomenys stratifikuotai skaidomi maždaug į 60 % mokymo, 20 % kalibravimo ir 20 % testavimo imtis, naudojant sėklą 42. Tikslūs skaičiai išsaugomi MATLAB skaidymo išvestyje.</w:t>
      </w:r>
    </w:p>
    <w:p>
      <w:r>
        <w:t>Kiekviename CV žingsnyje medianos, vidurkiai ir standartiniai nuokrypiai išmokstami tik atitinkamame mokymo poaibyje. Validacijai, kalibravimui ir testui pritaikoma jau nustatyta transformacija. SVM kalibratorius mokomas tik atskiroje kalibravimo imtyje.</w:t>
      </w:r>
    </w:p>
    <w:p>
      <w:r>
        <w:br w:type="page"/>
      </w:r>
    </w:p>
    <w:p>
      <w:pPr>
        <w:pStyle w:val="Heading1"/>
      </w:pPr>
      <w:r>
        <w:t>Algoritmai ir parametrų atranka</w:t>
      </w:r>
    </w:p>
    <w:p>
      <w:r>
        <w:t>Lyginami keturi prižiūrimojo mokymosi metodai. Visų metodų įvestis yra tie patys penki požymiai, o teigiama klasė – burninis garsas. Galutinė klasė nustatoma pagal 0,5 tikimybės slenkstį; nekalibruotas SVM CV vertinamas pagal jo klasifikavimo sprendimą.</w:t>
      </w:r>
    </w:p>
    <w:tbl>
      <w:tblPr>
        <w:tblW w:type="auto" w:w="0"/>
        <w:jc w:val="center"/>
        <w:tblLayout w:type="fixed"/>
        <w:tblLook w:firstColumn="1" w:firstRow="1" w:lastColumn="0" w:lastRow="0" w:noHBand="0" w:noVBand="1" w:val="04A0"/>
      </w:tblPr>
      <w:tblGrid>
        <w:gridCol w:w="2376"/>
        <w:gridCol w:w="7416"/>
      </w:tblGrid>
      <w:tr>
        <w:trPr>
          <w:cantSplit/>
          <w:tblHeader/>
        </w:trPr>
        <w:tc>
          <w:tcPr>
            <w:tcW w:type="dxa" w:w="2376"/>
            <w:vAlign w:val="center"/>
            <w:shd w:fill="E6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8"/>
              </w:rPr>
              <w:t>Metodas</w:t>
            </w:r>
          </w:p>
        </w:tc>
        <w:tc>
          <w:tcPr>
            <w:tcW w:type="dxa" w:w="7416"/>
            <w:vAlign w:val="center"/>
            <w:shd w:fill="E6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sz w:val="18"/>
              </w:rPr>
              <w:t>Tikrinami parametrai</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8"/>
              </w:rPr>
              <w:t>Logistinė regresija</w:t>
            </w:r>
          </w:p>
        </w:tc>
        <w:tc>
          <w:tcPr>
            <w:tcW w:type="dxa" w:w="7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18"/>
              </w:rPr>
              <w:t>L2 λ: 0,0001; 0,01; 1</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8"/>
              </w:rPr>
              <w:t>kNN</w:t>
            </w:r>
          </w:p>
        </w:tc>
        <w:tc>
          <w:tcPr>
            <w:tcW w:type="dxa" w:w="741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18"/>
              </w:rPr>
              <w:t>k: 3; 5; 11; 21; svoriai vienodi arba atvirkštinio atstumo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8"/>
              </w:rPr>
              <w:t>RBF SVM</w:t>
            </w:r>
          </w:p>
        </w:tc>
        <w:tc>
          <w:tcPr>
            <w:tcW w:type="dxa" w:w="74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18"/>
              </w:rPr>
              <w:t>C: 0,1; 1; 10; γ: 0,01; 0,1; 1; 10; prior: empirical arba uniform</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8"/>
              </w:rPr>
              <w:t>MLP</w:t>
            </w:r>
          </w:p>
        </w:tc>
        <w:tc>
          <w:tcPr>
            <w:tcW w:type="dxa" w:w="741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18"/>
              </w:rPr>
              <w:t>Sluoksniai: 16; 32; 32 ir 16; λ: 0,0001; 0,01; sėklos: 11; 22; 33</w:t>
            </w:r>
          </w:p>
        </w:tc>
      </w:tr>
    </w:tbl>
    <w:p>
      <w:pPr>
        <w:spacing w:after="20"/>
      </w:pPr>
    </w:p>
    <w:p>
      <w:r>
        <w:t>Atrankos kriterijus – penkių mokymo CV dalių BA vidurkis. MLP vidurkinamas ir per tris sėklas. Jei skirtumas nuo geriausio varianto neviršija 0,001, taikoma iš anksto nustatyta paprastesnio modelio taisyklė. Stipresnis baseline parenkamas tik tarp LR ir kNN pagal mokymo CV.</w:t>
      </w:r>
    </w:p>
    <w:tbl>
      <w:tblPr>
        <w:tblW w:w="960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6500"/>
        <w:gridCol w:w="1400"/>
        <w:gridCol w:w="1700"/>
      </w:tblGrid>
      <w:tr>
        <w:trPr>
          <w:cantSplit/>
          <w:tblHeader/>
        </w:trPr>
        <w:tc>
          <w:tcPr>
            <w:tcW w:w="6500" w:type="dxa"/>
            <w:shd w:fill="E6EDF2"/>
            <w:vAlign w:val="center"/>
          </w:tcPr>
          <w:p>
            <w:pPr>
              <w:spacing w:after="0" w:line="240"/>
              <w:jc w:val="left"/>
            </w:pPr>
            <w:r>
              <w:rPr>
                <w:b/>
                <w:sz w:val="18"/>
              </w:rPr>
              <w:t>Konfigūracija</w:t>
            </w:r>
          </w:p>
        </w:tc>
        <w:tc>
          <w:tcPr>
            <w:tcW w:w="1400" w:type="dxa"/>
            <w:shd w:fill="E6EDF2"/>
            <w:vAlign w:val="center"/>
          </w:tcPr>
          <w:p>
            <w:pPr>
              <w:spacing w:after="0" w:line="240"/>
              <w:jc w:val="center"/>
            </w:pPr>
            <w:r>
              <w:rPr>
                <w:b/>
                <w:sz w:val="18"/>
              </w:rPr>
              <w:t>CV BA</w:t>
            </w:r>
          </w:p>
        </w:tc>
        <w:tc>
          <w:tcPr>
            <w:tcW w:w="1700" w:type="dxa"/>
            <w:shd w:fill="E6EDF2"/>
            <w:vAlign w:val="center"/>
          </w:tcPr>
          <w:p>
            <w:pPr>
              <w:spacing w:after="0" w:line="240"/>
              <w:jc w:val="center"/>
            </w:pPr>
            <w:r>
              <w:rPr>
                <w:b/>
                <w:sz w:val="18"/>
              </w:rPr>
              <w:t>SD tarp dalių</w:t>
            </w:r>
          </w:p>
        </w:tc>
      </w:tr>
      <w:tr>
        <w:trPr>
          <w:cantSplit/>
        </w:trPr>
        <w:tc>
          <w:tcPr>
            <w:tcW w:w="6500" w:type="dxa"/>
            <w:shd w:fill="FFFFFF"/>
            <w:vAlign w:val="center"/>
          </w:tcPr>
          <w:p>
            <w:pPr>
              <w:spacing w:after="0" w:line="240"/>
              <w:jc w:val="left"/>
            </w:pPr>
            <w:r>
              <w:rPr>
                <w:sz w:val="18"/>
              </w:rPr>
              <w:t>LR lambda=0.0001</w:t>
            </w:r>
          </w:p>
        </w:tc>
        <w:tc>
          <w:tcPr>
            <w:tcW w:w="1400" w:type="dxa"/>
            <w:shd w:fill="FFFFFF"/>
            <w:vAlign w:val="center"/>
          </w:tcPr>
          <w:p>
            <w:pPr>
              <w:spacing w:after="0" w:line="240"/>
              <w:jc w:val="center"/>
            </w:pPr>
            <w:r>
              <w:rPr>
                <w:sz w:val="18"/>
              </w:rPr>
              <w:t>0.6746</w:t>
            </w:r>
          </w:p>
        </w:tc>
        <w:tc>
          <w:tcPr>
            <w:tcW w:w="1700" w:type="dxa"/>
            <w:shd w:fill="FFFFFF"/>
            <w:vAlign w:val="center"/>
          </w:tcPr>
          <w:p>
            <w:pPr>
              <w:spacing w:after="0" w:line="240"/>
              <w:jc w:val="center"/>
            </w:pPr>
            <w:r>
              <w:rPr>
                <w:sz w:val="18"/>
              </w:rPr>
              <w:t>0.0232</w:t>
            </w:r>
          </w:p>
        </w:tc>
      </w:tr>
      <w:tr>
        <w:trPr>
          <w:cantSplit/>
        </w:trPr>
        <w:tc>
          <w:tcPr>
            <w:tcW w:w="6500" w:type="dxa"/>
            <w:shd w:fill="F7F9FB"/>
            <w:vAlign w:val="center"/>
          </w:tcPr>
          <w:p>
            <w:pPr>
              <w:spacing w:after="0" w:line="240"/>
              <w:jc w:val="left"/>
            </w:pPr>
            <w:r>
              <w:rPr>
                <w:sz w:val="18"/>
              </w:rPr>
              <w:t>kNN k=5 inverse</w:t>
            </w:r>
          </w:p>
        </w:tc>
        <w:tc>
          <w:tcPr>
            <w:tcW w:w="1400" w:type="dxa"/>
            <w:shd w:fill="F7F9FB"/>
            <w:vAlign w:val="center"/>
          </w:tcPr>
          <w:p>
            <w:pPr>
              <w:spacing w:after="0" w:line="240"/>
              <w:jc w:val="center"/>
            </w:pPr>
            <w:r>
              <w:rPr>
                <w:sz w:val="18"/>
              </w:rPr>
              <w:t>0.8446</w:t>
            </w:r>
          </w:p>
        </w:tc>
        <w:tc>
          <w:tcPr>
            <w:tcW w:w="1700" w:type="dxa"/>
            <w:shd w:fill="F7F9FB"/>
            <w:vAlign w:val="center"/>
          </w:tcPr>
          <w:p>
            <w:pPr>
              <w:spacing w:after="0" w:line="240"/>
              <w:jc w:val="center"/>
            </w:pPr>
            <w:r>
              <w:rPr>
                <w:sz w:val="18"/>
              </w:rPr>
              <w:t>0.0147</w:t>
            </w:r>
          </w:p>
        </w:tc>
      </w:tr>
      <w:tr>
        <w:trPr>
          <w:cantSplit/>
        </w:trPr>
        <w:tc>
          <w:tcPr>
            <w:tcW w:w="6500" w:type="dxa"/>
            <w:shd w:fill="FFFFFF"/>
            <w:vAlign w:val="center"/>
          </w:tcPr>
          <w:p>
            <w:pPr>
              <w:spacing w:after="0" w:line="240"/>
              <w:jc w:val="left"/>
            </w:pPr>
            <w:r>
              <w:rPr>
                <w:sz w:val="18"/>
              </w:rPr>
              <w:t>SVM C=10 gamma=1 prior=uniform</w:t>
            </w:r>
          </w:p>
        </w:tc>
        <w:tc>
          <w:tcPr>
            <w:tcW w:w="1400" w:type="dxa"/>
            <w:shd w:fill="FFFFFF"/>
            <w:vAlign w:val="center"/>
          </w:tcPr>
          <w:p>
            <w:pPr>
              <w:spacing w:after="0" w:line="240"/>
              <w:jc w:val="center"/>
            </w:pPr>
            <w:r>
              <w:rPr>
                <w:sz w:val="18"/>
              </w:rPr>
              <w:t>0.8599</w:t>
            </w:r>
          </w:p>
        </w:tc>
        <w:tc>
          <w:tcPr>
            <w:tcW w:w="1700" w:type="dxa"/>
            <w:shd w:fill="FFFFFF"/>
            <w:vAlign w:val="center"/>
          </w:tcPr>
          <w:p>
            <w:pPr>
              <w:spacing w:after="0" w:line="240"/>
              <w:jc w:val="center"/>
            </w:pPr>
            <w:r>
              <w:rPr>
                <w:sz w:val="18"/>
              </w:rPr>
              <w:t>0.0064</w:t>
            </w:r>
          </w:p>
        </w:tc>
      </w:tr>
      <w:tr>
        <w:trPr>
          <w:cantSplit/>
        </w:trPr>
        <w:tc>
          <w:tcPr>
            <w:tcW w:w="6500" w:type="dxa"/>
            <w:shd w:fill="F7F9FB"/>
            <w:vAlign w:val="center"/>
          </w:tcPr>
          <w:p>
            <w:pPr>
              <w:spacing w:after="0" w:line="240"/>
              <w:jc w:val="left"/>
            </w:pPr>
            <w:r>
              <w:rPr>
                <w:sz w:val="18"/>
              </w:rPr>
              <w:t>MLP layers=[32 16] lambda=0.0001</w:t>
            </w:r>
          </w:p>
        </w:tc>
        <w:tc>
          <w:tcPr>
            <w:tcW w:w="1400" w:type="dxa"/>
            <w:shd w:fill="F7F9FB"/>
            <w:vAlign w:val="center"/>
          </w:tcPr>
          <w:p>
            <w:pPr>
              <w:spacing w:after="0" w:line="240"/>
              <w:jc w:val="center"/>
            </w:pPr>
            <w:r>
              <w:rPr>
                <w:sz w:val="18"/>
              </w:rPr>
              <w:t>0.8356</w:t>
            </w:r>
          </w:p>
        </w:tc>
        <w:tc>
          <w:tcPr>
            <w:tcW w:w="1700" w:type="dxa"/>
            <w:shd w:fill="F7F9FB"/>
            <w:vAlign w:val="center"/>
          </w:tcPr>
          <w:p>
            <w:pPr>
              <w:spacing w:after="0" w:line="240"/>
              <w:jc w:val="center"/>
            </w:pPr>
            <w:r>
              <w:rPr>
                <w:sz w:val="18"/>
              </w:rPr>
              <w:t>0.0138</w:t>
            </w:r>
          </w:p>
        </w:tc>
      </w:tr>
    </w:tbl>
    <w:p>
      <w:pPr>
        <w:spacing w:after="120" w:line="264" w:lineRule="auto"/>
      </w:pPr>
      <w:r>
        <w:t xml:space="preserve"/>
      </w:r>
    </w:p>
    <w:p>
      <w:r>
        <w:t>CV rodikliai skirti modelių atrankai. Jie nėra izoliuoto testo rezultatų pakaitalas.</w:t>
      </w:r>
    </w:p>
    <w:p>
      <w:r>
        <w:br w:type="page"/>
      </w:r>
    </w:p>
    <w:p>
      <w:pPr>
        <w:pStyle w:val="Heading1"/>
      </w:pPr>
      <w:r>
        <w:t>Algoritmų rezultatai</w:t>
      </w:r>
    </w:p>
    <w:tbl>
      <w:tblPr>
        <w:tblW w:w="960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300"/>
        <w:gridCol w:w="1500"/>
        <w:gridCol w:w="1500"/>
        <w:gridCol w:w="1700"/>
        <w:gridCol w:w="1600"/>
      </w:tblGrid>
      <w:tr>
        <w:trPr>
          <w:cantSplit/>
          <w:tblHeader/>
        </w:trPr>
        <w:tc>
          <w:tcPr>
            <w:tcW w:w="3300" w:type="dxa"/>
            <w:shd w:fill="E6EDF2"/>
            <w:vAlign w:val="center"/>
          </w:tcPr>
          <w:p>
            <w:pPr>
              <w:spacing w:after="0" w:line="240"/>
              <w:jc w:val="left"/>
            </w:pPr>
            <w:r>
              <w:rPr>
                <w:b/>
                <w:sz w:val="18"/>
              </w:rPr>
              <w:t>Modelis</w:t>
            </w:r>
          </w:p>
        </w:tc>
        <w:tc>
          <w:tcPr>
            <w:tcW w:w="1500" w:type="dxa"/>
            <w:shd w:fill="E6EDF2"/>
            <w:vAlign w:val="center"/>
          </w:tcPr>
          <w:p>
            <w:pPr>
              <w:spacing w:after="0" w:line="240"/>
              <w:jc w:val="center"/>
            </w:pPr>
            <w:r>
              <w:rPr>
                <w:b/>
                <w:sz w:val="18"/>
              </w:rPr>
              <w:t>BA</w:t>
            </w:r>
          </w:p>
        </w:tc>
        <w:tc>
          <w:tcPr>
            <w:tcW w:w="1500" w:type="dxa"/>
            <w:shd w:fill="E6EDF2"/>
            <w:vAlign w:val="center"/>
          </w:tcPr>
          <w:p>
            <w:pPr>
              <w:spacing w:after="0" w:line="240"/>
              <w:jc w:val="center"/>
            </w:pPr>
            <w:r>
              <w:rPr>
                <w:b/>
                <w:sz w:val="18"/>
              </w:rPr>
              <w:t>F1</w:t>
            </w:r>
          </w:p>
        </w:tc>
        <w:tc>
          <w:tcPr>
            <w:tcW w:w="1700" w:type="dxa"/>
            <w:shd w:fill="E6EDF2"/>
            <w:vAlign w:val="center"/>
          </w:tcPr>
          <w:p>
            <w:pPr>
              <w:spacing w:after="0" w:line="240"/>
              <w:jc w:val="center"/>
            </w:pPr>
            <w:r>
              <w:rPr>
                <w:b/>
                <w:sz w:val="18"/>
              </w:rPr>
              <w:t>Accuracy</w:t>
            </w:r>
          </w:p>
        </w:tc>
        <w:tc>
          <w:tcPr>
            <w:tcW w:w="1600" w:type="dxa"/>
            <w:shd w:fill="E6EDF2"/>
            <w:vAlign w:val="center"/>
          </w:tcPr>
          <w:p>
            <w:pPr>
              <w:spacing w:after="0" w:line="240"/>
              <w:jc w:val="center"/>
            </w:pPr>
            <w:r>
              <w:rPr>
                <w:b/>
                <w:sz w:val="18"/>
              </w:rPr>
              <w:t>Brier</w:t>
            </w:r>
          </w:p>
        </w:tc>
      </w:tr>
      <w:tr>
        <w:trPr>
          <w:cantSplit/>
        </w:trPr>
        <w:tc>
          <w:tcPr>
            <w:tcW w:w="3300" w:type="dxa"/>
            <w:shd w:fill="FFFFFF"/>
            <w:vAlign w:val="center"/>
          </w:tcPr>
          <w:p>
            <w:pPr>
              <w:spacing w:after="0" w:line="240"/>
              <w:jc w:val="left"/>
            </w:pPr>
            <w:r>
              <w:rPr>
                <w:sz w:val="18"/>
              </w:rPr>
              <w:t>LR</w:t>
            </w:r>
          </w:p>
        </w:tc>
        <w:tc>
          <w:tcPr>
            <w:tcW w:w="1500" w:type="dxa"/>
            <w:shd w:fill="FFFFFF"/>
            <w:vAlign w:val="center"/>
          </w:tcPr>
          <w:p>
            <w:pPr>
              <w:spacing w:after="0" w:line="240"/>
              <w:jc w:val="center"/>
            </w:pPr>
            <w:r>
              <w:rPr>
                <w:sz w:val="18"/>
              </w:rPr>
              <w:t>0.6653</w:t>
            </w:r>
          </w:p>
        </w:tc>
        <w:tc>
          <w:tcPr>
            <w:tcW w:w="1500" w:type="dxa"/>
            <w:shd w:fill="FFFFFF"/>
            <w:vAlign w:val="center"/>
          </w:tcPr>
          <w:p>
            <w:pPr>
              <w:spacing w:after="0" w:line="240"/>
              <w:jc w:val="center"/>
            </w:pPr>
            <w:r>
              <w:rPr>
                <w:sz w:val="18"/>
              </w:rPr>
              <w:t>0.5202</w:t>
            </w:r>
          </w:p>
        </w:tc>
        <w:tc>
          <w:tcPr>
            <w:tcW w:w="1700" w:type="dxa"/>
            <w:shd w:fill="FFFFFF"/>
            <w:vAlign w:val="center"/>
          </w:tcPr>
          <w:p>
            <w:pPr>
              <w:spacing w:after="0" w:line="240"/>
              <w:jc w:val="center"/>
            </w:pPr>
            <w:r>
              <w:rPr>
                <w:sz w:val="18"/>
              </w:rPr>
              <w:t>0.7472</w:t>
            </w:r>
          </w:p>
        </w:tc>
        <w:tc>
          <w:tcPr>
            <w:tcW w:w="1600" w:type="dxa"/>
            <w:shd w:fill="FFFFFF"/>
            <w:vAlign w:val="center"/>
          </w:tcPr>
          <w:p>
            <w:pPr>
              <w:spacing w:after="0" w:line="240"/>
              <w:jc w:val="center"/>
            </w:pPr>
            <w:r>
              <w:rPr>
                <w:sz w:val="18"/>
              </w:rPr>
              <w:t>0.1602</w:t>
            </w:r>
          </w:p>
        </w:tc>
      </w:tr>
      <w:tr>
        <w:trPr>
          <w:cantSplit/>
        </w:trPr>
        <w:tc>
          <w:tcPr>
            <w:tcW w:w="3300" w:type="dxa"/>
            <w:shd w:fill="F7F9FB"/>
            <w:vAlign w:val="center"/>
          </w:tcPr>
          <w:p>
            <w:pPr>
              <w:spacing w:after="0" w:line="240"/>
              <w:jc w:val="left"/>
            </w:pPr>
            <w:r>
              <w:rPr>
                <w:sz w:val="18"/>
              </w:rPr>
              <w:t>kNN</w:t>
            </w:r>
          </w:p>
        </w:tc>
        <w:tc>
          <w:tcPr>
            <w:tcW w:w="1500" w:type="dxa"/>
            <w:shd w:fill="F7F9FB"/>
            <w:vAlign w:val="center"/>
          </w:tcPr>
          <w:p>
            <w:pPr>
              <w:spacing w:after="0" w:line="240"/>
              <w:jc w:val="center"/>
            </w:pPr>
            <w:r>
              <w:rPr>
                <w:sz w:val="18"/>
              </w:rPr>
              <w:t>0.8306</w:t>
            </w:r>
          </w:p>
        </w:tc>
        <w:tc>
          <w:tcPr>
            <w:tcW w:w="1500" w:type="dxa"/>
            <w:shd w:fill="F7F9FB"/>
            <w:vAlign w:val="center"/>
          </w:tcPr>
          <w:p>
            <w:pPr>
              <w:spacing w:after="0" w:line="240"/>
              <w:jc w:val="center"/>
            </w:pPr>
            <w:r>
              <w:rPr>
                <w:sz w:val="18"/>
              </w:rPr>
              <w:t>0.7645</w:t>
            </w:r>
          </w:p>
        </w:tc>
        <w:tc>
          <w:tcPr>
            <w:tcW w:w="1700" w:type="dxa"/>
            <w:shd w:fill="F7F9FB"/>
            <w:vAlign w:val="center"/>
          </w:tcPr>
          <w:p>
            <w:pPr>
              <w:spacing w:after="0" w:line="240"/>
              <w:jc w:val="center"/>
            </w:pPr>
            <w:r>
              <w:rPr>
                <w:sz w:val="18"/>
              </w:rPr>
              <w:t>0.8648</w:t>
            </w:r>
          </w:p>
        </w:tc>
        <w:tc>
          <w:tcPr>
            <w:tcW w:w="1600" w:type="dxa"/>
            <w:shd w:fill="F7F9FB"/>
            <w:vAlign w:val="center"/>
          </w:tcPr>
          <w:p>
            <w:pPr>
              <w:spacing w:after="0" w:line="240"/>
              <w:jc w:val="center"/>
            </w:pPr>
            <w:r>
              <w:rPr>
                <w:sz w:val="18"/>
              </w:rPr>
              <w:t>0.0917</w:t>
            </w:r>
          </w:p>
        </w:tc>
      </w:tr>
      <w:tr>
        <w:trPr>
          <w:cantSplit/>
        </w:trPr>
        <w:tc>
          <w:tcPr>
            <w:tcW w:w="3300" w:type="dxa"/>
            <w:shd w:fill="FFFFFF"/>
            <w:vAlign w:val="center"/>
          </w:tcPr>
          <w:p>
            <w:pPr>
              <w:spacing w:after="0" w:line="240"/>
              <w:jc w:val="left"/>
            </w:pPr>
            <w:r>
              <w:rPr>
                <w:sz w:val="18"/>
              </w:rPr>
              <w:t>SVM_calibrated</w:t>
            </w:r>
          </w:p>
        </w:tc>
        <w:tc>
          <w:tcPr>
            <w:tcW w:w="1500" w:type="dxa"/>
            <w:shd w:fill="FFFFFF"/>
            <w:vAlign w:val="center"/>
          </w:tcPr>
          <w:p>
            <w:pPr>
              <w:spacing w:after="0" w:line="240"/>
              <w:jc w:val="center"/>
            </w:pPr>
            <w:r>
              <w:rPr>
                <w:sz w:val="18"/>
              </w:rPr>
              <w:t>0.8365</w:t>
            </w:r>
          </w:p>
        </w:tc>
        <w:tc>
          <w:tcPr>
            <w:tcW w:w="1500" w:type="dxa"/>
            <w:shd w:fill="FFFFFF"/>
            <w:vAlign w:val="center"/>
          </w:tcPr>
          <w:p>
            <w:pPr>
              <w:spacing w:after="0" w:line="240"/>
              <w:jc w:val="center"/>
            </w:pPr>
            <w:r>
              <w:rPr>
                <w:sz w:val="18"/>
              </w:rPr>
              <w:t>0.7758</w:t>
            </w:r>
          </w:p>
        </w:tc>
        <w:tc>
          <w:tcPr>
            <w:tcW w:w="1700" w:type="dxa"/>
            <w:shd w:fill="FFFFFF"/>
            <w:vAlign w:val="center"/>
          </w:tcPr>
          <w:p>
            <w:pPr>
              <w:spacing w:after="0" w:line="240"/>
              <w:jc w:val="center"/>
            </w:pPr>
            <w:r>
              <w:rPr>
                <w:sz w:val="18"/>
              </w:rPr>
              <w:t>0.8731</w:t>
            </w:r>
          </w:p>
        </w:tc>
        <w:tc>
          <w:tcPr>
            <w:tcW w:w="1600" w:type="dxa"/>
            <w:shd w:fill="FFFFFF"/>
            <w:vAlign w:val="center"/>
          </w:tcPr>
          <w:p>
            <w:pPr>
              <w:spacing w:after="0" w:line="240"/>
              <w:jc w:val="center"/>
            </w:pPr>
            <w:r>
              <w:rPr>
                <w:sz w:val="18"/>
              </w:rPr>
              <w:t>0.0922</w:t>
            </w:r>
          </w:p>
        </w:tc>
      </w:tr>
      <w:tr>
        <w:trPr>
          <w:cantSplit/>
        </w:trPr>
        <w:tc>
          <w:tcPr>
            <w:tcW w:w="3300" w:type="dxa"/>
            <w:shd w:fill="F7F9FB"/>
            <w:vAlign w:val="center"/>
          </w:tcPr>
          <w:p>
            <w:pPr>
              <w:spacing w:after="0" w:line="240"/>
              <w:jc w:val="left"/>
            </w:pPr>
            <w:r>
              <w:rPr>
                <w:sz w:val="18"/>
              </w:rPr>
              <w:t>MLP_seed11</w:t>
            </w:r>
          </w:p>
        </w:tc>
        <w:tc>
          <w:tcPr>
            <w:tcW w:w="1500" w:type="dxa"/>
            <w:shd w:fill="F7F9FB"/>
            <w:vAlign w:val="center"/>
          </w:tcPr>
          <w:p>
            <w:pPr>
              <w:spacing w:after="0" w:line="240"/>
              <w:jc w:val="center"/>
            </w:pPr>
            <w:r>
              <w:rPr>
                <w:sz w:val="18"/>
              </w:rPr>
              <w:t>0.8131</w:t>
            </w:r>
          </w:p>
        </w:tc>
        <w:tc>
          <w:tcPr>
            <w:tcW w:w="1500" w:type="dxa"/>
            <w:shd w:fill="F7F9FB"/>
            <w:vAlign w:val="center"/>
          </w:tcPr>
          <w:p>
            <w:pPr>
              <w:spacing w:after="0" w:line="240"/>
              <w:jc w:val="center"/>
            </w:pPr>
            <w:r>
              <w:rPr>
                <w:sz w:val="18"/>
              </w:rPr>
              <w:t>0.7403</w:t>
            </w:r>
          </w:p>
        </w:tc>
        <w:tc>
          <w:tcPr>
            <w:tcW w:w="1700" w:type="dxa"/>
            <w:shd w:fill="F7F9FB"/>
            <w:vAlign w:val="center"/>
          </w:tcPr>
          <w:p>
            <w:pPr>
              <w:spacing w:after="0" w:line="240"/>
              <w:jc w:val="center"/>
            </w:pPr>
            <w:r>
              <w:rPr>
                <w:sz w:val="18"/>
              </w:rPr>
              <w:t>0.8519</w:t>
            </w:r>
          </w:p>
        </w:tc>
        <w:tc>
          <w:tcPr>
            <w:tcW w:w="1600" w:type="dxa"/>
            <w:shd w:fill="F7F9FB"/>
            <w:vAlign w:val="center"/>
          </w:tcPr>
          <w:p>
            <w:pPr>
              <w:spacing w:after="0" w:line="240"/>
              <w:jc w:val="center"/>
            </w:pPr>
            <w:r>
              <w:rPr>
                <w:sz w:val="18"/>
              </w:rPr>
              <w:t>0.1129</w:t>
            </w:r>
          </w:p>
        </w:tc>
      </w:tr>
      <w:tr>
        <w:trPr>
          <w:cantSplit/>
        </w:trPr>
        <w:tc>
          <w:tcPr>
            <w:tcW w:w="3300" w:type="dxa"/>
            <w:shd w:fill="FFFFFF"/>
            <w:vAlign w:val="center"/>
          </w:tcPr>
          <w:p>
            <w:pPr>
              <w:spacing w:after="0" w:line="240"/>
              <w:jc w:val="left"/>
            </w:pPr>
            <w:r>
              <w:rPr>
                <w:sz w:val="18"/>
              </w:rPr>
              <w:t>MLP_seed22</w:t>
            </w:r>
          </w:p>
        </w:tc>
        <w:tc>
          <w:tcPr>
            <w:tcW w:w="1500" w:type="dxa"/>
            <w:shd w:fill="FFFFFF"/>
            <w:vAlign w:val="center"/>
          </w:tcPr>
          <w:p>
            <w:pPr>
              <w:spacing w:after="0" w:line="240"/>
              <w:jc w:val="center"/>
            </w:pPr>
            <w:r>
              <w:rPr>
                <w:sz w:val="18"/>
              </w:rPr>
              <w:t>0.8218</w:t>
            </w:r>
          </w:p>
        </w:tc>
        <w:tc>
          <w:tcPr>
            <w:tcW w:w="1500" w:type="dxa"/>
            <w:shd w:fill="FFFFFF"/>
            <w:vAlign w:val="center"/>
          </w:tcPr>
          <w:p>
            <w:pPr>
              <w:spacing w:after="0" w:line="240"/>
              <w:jc w:val="center"/>
            </w:pPr>
            <w:r>
              <w:rPr>
                <w:sz w:val="18"/>
              </w:rPr>
              <w:t>0.7492</w:t>
            </w:r>
          </w:p>
        </w:tc>
        <w:tc>
          <w:tcPr>
            <w:tcW w:w="1700" w:type="dxa"/>
            <w:shd w:fill="FFFFFF"/>
            <w:vAlign w:val="center"/>
          </w:tcPr>
          <w:p>
            <w:pPr>
              <w:spacing w:after="0" w:line="240"/>
              <w:jc w:val="center"/>
            </w:pPr>
            <w:r>
              <w:rPr>
                <w:sz w:val="18"/>
              </w:rPr>
              <w:t>0.8537</w:t>
            </w:r>
          </w:p>
        </w:tc>
        <w:tc>
          <w:tcPr>
            <w:tcW w:w="1600" w:type="dxa"/>
            <w:shd w:fill="FFFFFF"/>
            <w:vAlign w:val="center"/>
          </w:tcPr>
          <w:p>
            <w:pPr>
              <w:spacing w:after="0" w:line="240"/>
              <w:jc w:val="center"/>
            </w:pPr>
            <w:r>
              <w:rPr>
                <w:sz w:val="18"/>
              </w:rPr>
              <w:t>0.1119</w:t>
            </w:r>
          </w:p>
        </w:tc>
      </w:tr>
      <w:tr>
        <w:trPr>
          <w:cantSplit/>
        </w:trPr>
        <w:tc>
          <w:tcPr>
            <w:tcW w:w="3300" w:type="dxa"/>
            <w:shd w:fill="F7F9FB"/>
            <w:vAlign w:val="center"/>
          </w:tcPr>
          <w:p>
            <w:pPr>
              <w:spacing w:after="0" w:line="240"/>
              <w:jc w:val="left"/>
            </w:pPr>
            <w:r>
              <w:rPr>
                <w:sz w:val="18"/>
              </w:rPr>
              <w:t>MLP_seed33</w:t>
            </w:r>
          </w:p>
        </w:tc>
        <w:tc>
          <w:tcPr>
            <w:tcW w:w="1500" w:type="dxa"/>
            <w:shd w:fill="F7F9FB"/>
            <w:vAlign w:val="center"/>
          </w:tcPr>
          <w:p>
            <w:pPr>
              <w:spacing w:after="0" w:line="240"/>
              <w:jc w:val="center"/>
            </w:pPr>
            <w:r>
              <w:rPr>
                <w:sz w:val="18"/>
              </w:rPr>
              <w:t>0.8364</w:t>
            </w:r>
          </w:p>
        </w:tc>
        <w:tc>
          <w:tcPr>
            <w:tcW w:w="1500" w:type="dxa"/>
            <w:shd w:fill="F7F9FB"/>
            <w:vAlign w:val="center"/>
          </w:tcPr>
          <w:p>
            <w:pPr>
              <w:spacing w:after="0" w:line="240"/>
              <w:jc w:val="center"/>
            </w:pPr>
            <w:r>
              <w:rPr>
                <w:sz w:val="18"/>
              </w:rPr>
              <w:t>0.7685</w:t>
            </w:r>
          </w:p>
        </w:tc>
        <w:tc>
          <w:tcPr>
            <w:tcW w:w="1700" w:type="dxa"/>
            <w:shd w:fill="F7F9FB"/>
            <w:vAlign w:val="center"/>
          </w:tcPr>
          <w:p>
            <w:pPr>
              <w:spacing w:after="0" w:line="240"/>
              <w:jc w:val="center"/>
            </w:pPr>
            <w:r>
              <w:rPr>
                <w:sz w:val="18"/>
              </w:rPr>
              <w:t>0.8639</w:t>
            </w:r>
          </w:p>
        </w:tc>
        <w:tc>
          <w:tcPr>
            <w:tcW w:w="1600" w:type="dxa"/>
            <w:shd w:fill="F7F9FB"/>
            <w:vAlign w:val="center"/>
          </w:tcPr>
          <w:p>
            <w:pPr>
              <w:spacing w:after="0" w:line="240"/>
              <w:jc w:val="center"/>
            </w:pPr>
            <w:r>
              <w:rPr>
                <w:sz w:val="18"/>
              </w:rPr>
              <w:t>0.1095</w:t>
            </w:r>
          </w:p>
        </w:tc>
      </w:tr>
    </w:tbl>
    <w:p>
      <w:pPr>
        <w:spacing w:after="120" w:line="264" w:lineRule="auto"/>
      </w:pPr>
      <w:r>
        <w:t xml:space="preserve"/>
      </w:r>
    </w:p>
    <w:p>
      <w:pPr>
        <w:jc w:val="center"/>
      </w:pPr>
      <w:r>
        <w:drawing>
          <wp:inline xmlns:wp="http://schemas.openxmlformats.org/drawingml/2006/wordprocessingDrawing" distT="0" distB="0" distL="0" distR="0">
            <wp:extent cx="5394960" cy="2697480"/>
            <wp:docPr id="101" name="MATLAB figure" descr="model_comparison.png"/>
            <a:graphic xmlns:a="http://schemas.openxmlformats.org/drawingml/2006/main">
              <a:graphicData uri="http://schemas.openxmlformats.org/drawingml/2006/picture">
                <pic:pic xmlns:pic="http://schemas.openxmlformats.org/drawingml/2006/picture">
                  <pic:nvPicPr>
                    <pic:cNvPr id="0" name="MATLAB figure"/>
                    <pic:cNvPicPr/>
                  </pic:nvPicPr>
                  <pic:blipFill>
                    <a:blip r:embed="rIdMatlab101"/>
                    <a:stretch>
                      <a:fillRect/>
                    </a:stretch>
                  </pic:blipFill>
                  <pic:spPr>
                    <a:xfrm>
                      <a:off x="0" y="0"/>
                      <a:ext cx="5394960" cy="2697480"/>
                    </a:xfrm>
                    <a:prstGeom prst="rect">
                      <a:avLst/>
                    </a:prstGeom>
                  </pic:spPr>
                </pic:pic>
              </a:graphicData>
            </a:graphic>
          </wp:inline>
        </w:drawing>
      </w:r>
    </w:p>
    <w:p>
      <w:pPr>
        <w:pStyle w:val="Caption"/>
      </w:pPr>
      <w:r>
        <w:t>2 pav. Tikro MATLAB vykdymo BA ir F1 rezultatai testavimo imtyje.</w:t>
      </w:r>
    </w:p>
    <w:p>
      <w:r>
        <w:t>SVM tikimybės kalibruotos atskiroje imtyje. LR, kNN ir MLP tikimybiniai įverčiai papildomai nekalibruoti. MLP rodomos visos trys sėklos, ne palankiausias paleidimas.</w:t>
      </w:r>
    </w:p>
    <w:p>
      <w:r>
        <w:br w:type="page"/>
      </w:r>
    </w:p>
    <w:p>
      <w:pPr>
        <w:pStyle w:val="Heading1"/>
      </w:pPr>
      <w:r>
        <w:t>Klaidos ir hipotezės patikra</w:t>
      </w:r>
    </w:p>
    <w:tbl>
      <w:tblPr>
        <w:tblW w:w="960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3600"/>
        <w:gridCol w:w="1500"/>
        <w:gridCol w:w="1500"/>
        <w:gridCol w:w="1500"/>
        <w:gridCol w:w="1500"/>
      </w:tblGrid>
      <w:tr>
        <w:trPr>
          <w:cantSplit/>
          <w:tblHeader/>
        </w:trPr>
        <w:tc>
          <w:tcPr>
            <w:tcW w:w="3600" w:type="dxa"/>
            <w:shd w:fill="E6EDF2"/>
            <w:vAlign w:val="center"/>
          </w:tcPr>
          <w:p>
            <w:pPr>
              <w:spacing w:after="0" w:line="240"/>
              <w:jc w:val="left"/>
            </w:pPr>
            <w:r>
              <w:rPr>
                <w:b/>
                <w:sz w:val="18"/>
              </w:rPr>
              <w:t>Modelis</w:t>
            </w:r>
          </w:p>
        </w:tc>
        <w:tc>
          <w:tcPr>
            <w:tcW w:w="1500" w:type="dxa"/>
            <w:shd w:fill="E6EDF2"/>
            <w:vAlign w:val="center"/>
          </w:tcPr>
          <w:p>
            <w:pPr>
              <w:spacing w:after="0" w:line="240"/>
              <w:jc w:val="center"/>
            </w:pPr>
            <w:r>
              <w:rPr>
                <w:b/>
                <w:sz w:val="18"/>
              </w:rPr>
              <w:t>TN</w:t>
            </w:r>
          </w:p>
        </w:tc>
        <w:tc>
          <w:tcPr>
            <w:tcW w:w="1500" w:type="dxa"/>
            <w:shd w:fill="E6EDF2"/>
            <w:vAlign w:val="center"/>
          </w:tcPr>
          <w:p>
            <w:pPr>
              <w:spacing w:after="0" w:line="240"/>
              <w:jc w:val="center"/>
            </w:pPr>
            <w:r>
              <w:rPr>
                <w:b/>
                <w:sz w:val="18"/>
              </w:rPr>
              <w:t>FP</w:t>
            </w:r>
          </w:p>
        </w:tc>
        <w:tc>
          <w:tcPr>
            <w:tcW w:w="1500" w:type="dxa"/>
            <w:shd w:fill="E6EDF2"/>
            <w:vAlign w:val="center"/>
          </w:tcPr>
          <w:p>
            <w:pPr>
              <w:spacing w:after="0" w:line="240"/>
              <w:jc w:val="center"/>
            </w:pPr>
            <w:r>
              <w:rPr>
                <w:b/>
                <w:sz w:val="18"/>
              </w:rPr>
              <w:t>FN</w:t>
            </w:r>
          </w:p>
        </w:tc>
        <w:tc>
          <w:tcPr>
            <w:tcW w:w="1500" w:type="dxa"/>
            <w:shd w:fill="E6EDF2"/>
            <w:vAlign w:val="center"/>
          </w:tcPr>
          <w:p>
            <w:pPr>
              <w:spacing w:after="0" w:line="240"/>
              <w:jc w:val="center"/>
            </w:pPr>
            <w:r>
              <w:rPr>
                <w:b/>
                <w:sz w:val="18"/>
              </w:rPr>
              <w:t>TP</w:t>
            </w:r>
          </w:p>
        </w:tc>
      </w:tr>
      <w:tr>
        <w:trPr>
          <w:cantSplit/>
        </w:trPr>
        <w:tc>
          <w:tcPr>
            <w:tcW w:w="3600" w:type="dxa"/>
            <w:shd w:fill="FFFFFF"/>
            <w:vAlign w:val="center"/>
          </w:tcPr>
          <w:p>
            <w:pPr>
              <w:spacing w:after="0" w:line="240"/>
              <w:jc w:val="left"/>
            </w:pPr>
            <w:r>
              <w:rPr>
                <w:sz w:val="18"/>
              </w:rPr>
              <w:t>LR</w:t>
            </w:r>
          </w:p>
        </w:tc>
        <w:tc>
          <w:tcPr>
            <w:tcW w:w="1500" w:type="dxa"/>
            <w:shd w:fill="FFFFFF"/>
            <w:vAlign w:val="center"/>
          </w:tcPr>
          <w:p>
            <w:pPr>
              <w:spacing w:after="0" w:line="240"/>
              <w:jc w:val="center"/>
            </w:pPr>
            <w:r>
              <w:rPr>
                <w:sz w:val="18"/>
              </w:rPr>
              <w:t>659</w:t>
            </w:r>
          </w:p>
        </w:tc>
        <w:tc>
          <w:tcPr>
            <w:tcW w:w="1500" w:type="dxa"/>
            <w:shd w:fill="FFFFFF"/>
            <w:vAlign w:val="center"/>
          </w:tcPr>
          <w:p>
            <w:pPr>
              <w:spacing w:after="0" w:line="240"/>
              <w:jc w:val="center"/>
            </w:pPr>
            <w:r>
              <w:rPr>
                <w:sz w:val="18"/>
              </w:rPr>
              <w:t>104</w:t>
            </w:r>
          </w:p>
        </w:tc>
        <w:tc>
          <w:tcPr>
            <w:tcW w:w="1500" w:type="dxa"/>
            <w:shd w:fill="FFFFFF"/>
            <w:vAlign w:val="center"/>
          </w:tcPr>
          <w:p>
            <w:pPr>
              <w:spacing w:after="0" w:line="240"/>
              <w:jc w:val="center"/>
            </w:pPr>
            <w:r>
              <w:rPr>
                <w:sz w:val="18"/>
              </w:rPr>
              <w:t>169</w:t>
            </w:r>
          </w:p>
        </w:tc>
        <w:tc>
          <w:tcPr>
            <w:tcW w:w="1500" w:type="dxa"/>
            <w:shd w:fill="FFFFFF"/>
            <w:vAlign w:val="center"/>
          </w:tcPr>
          <w:p>
            <w:pPr>
              <w:spacing w:after="0" w:line="240"/>
              <w:jc w:val="center"/>
            </w:pPr>
            <w:r>
              <w:rPr>
                <w:sz w:val="18"/>
              </w:rPr>
              <w:t>148</w:t>
            </w:r>
          </w:p>
        </w:tc>
      </w:tr>
      <w:tr>
        <w:trPr>
          <w:cantSplit/>
        </w:trPr>
        <w:tc>
          <w:tcPr>
            <w:tcW w:w="3600" w:type="dxa"/>
            <w:shd w:fill="F7F9FB"/>
            <w:vAlign w:val="center"/>
          </w:tcPr>
          <w:p>
            <w:pPr>
              <w:spacing w:after="0" w:line="240"/>
              <w:jc w:val="left"/>
            </w:pPr>
            <w:r>
              <w:rPr>
                <w:sz w:val="18"/>
              </w:rPr>
              <w:t>kNN</w:t>
            </w:r>
          </w:p>
        </w:tc>
        <w:tc>
          <w:tcPr>
            <w:tcW w:w="1500" w:type="dxa"/>
            <w:shd w:fill="F7F9FB"/>
            <w:vAlign w:val="center"/>
          </w:tcPr>
          <w:p>
            <w:pPr>
              <w:spacing w:after="0" w:line="240"/>
              <w:jc w:val="center"/>
            </w:pPr>
            <w:r>
              <w:rPr>
                <w:sz w:val="18"/>
              </w:rPr>
              <w:t>697</w:t>
            </w:r>
          </w:p>
        </w:tc>
        <w:tc>
          <w:tcPr>
            <w:tcW w:w="1500" w:type="dxa"/>
            <w:shd w:fill="F7F9FB"/>
            <w:vAlign w:val="center"/>
          </w:tcPr>
          <w:p>
            <w:pPr>
              <w:spacing w:after="0" w:line="240"/>
              <w:jc w:val="center"/>
            </w:pPr>
            <w:r>
              <w:rPr>
                <w:sz w:val="18"/>
              </w:rPr>
              <w:t>66</w:t>
            </w:r>
          </w:p>
        </w:tc>
        <w:tc>
          <w:tcPr>
            <w:tcW w:w="1500" w:type="dxa"/>
            <w:shd w:fill="F7F9FB"/>
            <w:vAlign w:val="center"/>
          </w:tcPr>
          <w:p>
            <w:pPr>
              <w:spacing w:after="0" w:line="240"/>
              <w:jc w:val="center"/>
            </w:pPr>
            <w:r>
              <w:rPr>
                <w:sz w:val="18"/>
              </w:rPr>
              <w:t>80</w:t>
            </w:r>
          </w:p>
        </w:tc>
        <w:tc>
          <w:tcPr>
            <w:tcW w:w="1500" w:type="dxa"/>
            <w:shd w:fill="F7F9FB"/>
            <w:vAlign w:val="center"/>
          </w:tcPr>
          <w:p>
            <w:pPr>
              <w:spacing w:after="0" w:line="240"/>
              <w:jc w:val="center"/>
            </w:pPr>
            <w:r>
              <w:rPr>
                <w:sz w:val="18"/>
              </w:rPr>
              <w:t>237</w:t>
            </w:r>
          </w:p>
        </w:tc>
      </w:tr>
      <w:tr>
        <w:trPr>
          <w:cantSplit/>
        </w:trPr>
        <w:tc>
          <w:tcPr>
            <w:tcW w:w="3600" w:type="dxa"/>
            <w:shd w:fill="FFFFFF"/>
            <w:vAlign w:val="center"/>
          </w:tcPr>
          <w:p>
            <w:pPr>
              <w:spacing w:after="0" w:line="240"/>
              <w:jc w:val="left"/>
            </w:pPr>
            <w:r>
              <w:rPr>
                <w:sz w:val="18"/>
              </w:rPr>
              <w:t>SVM_calibrated</w:t>
            </w:r>
          </w:p>
        </w:tc>
        <w:tc>
          <w:tcPr>
            <w:tcW w:w="1500" w:type="dxa"/>
            <w:shd w:fill="FFFFFF"/>
            <w:vAlign w:val="center"/>
          </w:tcPr>
          <w:p>
            <w:pPr>
              <w:spacing w:after="0" w:line="240"/>
              <w:jc w:val="center"/>
            </w:pPr>
            <w:r>
              <w:rPr>
                <w:sz w:val="18"/>
              </w:rPr>
              <w:t>706</w:t>
            </w:r>
          </w:p>
        </w:tc>
        <w:tc>
          <w:tcPr>
            <w:tcW w:w="1500" w:type="dxa"/>
            <w:shd w:fill="FFFFFF"/>
            <w:vAlign w:val="center"/>
          </w:tcPr>
          <w:p>
            <w:pPr>
              <w:spacing w:after="0" w:line="240"/>
              <w:jc w:val="center"/>
            </w:pPr>
            <w:r>
              <w:rPr>
                <w:sz w:val="18"/>
              </w:rPr>
              <w:t>57</w:t>
            </w:r>
          </w:p>
        </w:tc>
        <w:tc>
          <w:tcPr>
            <w:tcW w:w="1500" w:type="dxa"/>
            <w:shd w:fill="FFFFFF"/>
            <w:vAlign w:val="center"/>
          </w:tcPr>
          <w:p>
            <w:pPr>
              <w:spacing w:after="0" w:line="240"/>
              <w:jc w:val="center"/>
            </w:pPr>
            <w:r>
              <w:rPr>
                <w:sz w:val="18"/>
              </w:rPr>
              <w:t>80</w:t>
            </w:r>
          </w:p>
        </w:tc>
        <w:tc>
          <w:tcPr>
            <w:tcW w:w="1500" w:type="dxa"/>
            <w:shd w:fill="FFFFFF"/>
            <w:vAlign w:val="center"/>
          </w:tcPr>
          <w:p>
            <w:pPr>
              <w:spacing w:after="0" w:line="240"/>
              <w:jc w:val="center"/>
            </w:pPr>
            <w:r>
              <w:rPr>
                <w:sz w:val="18"/>
              </w:rPr>
              <w:t>237</w:t>
            </w:r>
          </w:p>
        </w:tc>
      </w:tr>
      <w:tr>
        <w:trPr>
          <w:cantSplit/>
        </w:trPr>
        <w:tc>
          <w:tcPr>
            <w:tcW w:w="3600" w:type="dxa"/>
            <w:shd w:fill="F7F9FB"/>
            <w:vAlign w:val="center"/>
          </w:tcPr>
          <w:p>
            <w:pPr>
              <w:spacing w:after="0" w:line="240"/>
              <w:jc w:val="left"/>
            </w:pPr>
            <w:r>
              <w:rPr>
                <w:sz w:val="18"/>
              </w:rPr>
              <w:t>MLP_seed11</w:t>
            </w:r>
          </w:p>
        </w:tc>
        <w:tc>
          <w:tcPr>
            <w:tcW w:w="1500" w:type="dxa"/>
            <w:shd w:fill="F7F9FB"/>
            <w:vAlign w:val="center"/>
          </w:tcPr>
          <w:p>
            <w:pPr>
              <w:spacing w:after="0" w:line="240"/>
              <w:jc w:val="center"/>
            </w:pPr>
            <w:r>
              <w:rPr>
                <w:sz w:val="18"/>
              </w:rPr>
              <w:t>692</w:t>
            </w:r>
          </w:p>
        </w:tc>
        <w:tc>
          <w:tcPr>
            <w:tcW w:w="1500" w:type="dxa"/>
            <w:shd w:fill="F7F9FB"/>
            <w:vAlign w:val="center"/>
          </w:tcPr>
          <w:p>
            <w:pPr>
              <w:spacing w:after="0" w:line="240"/>
              <w:jc w:val="center"/>
            </w:pPr>
            <w:r>
              <w:rPr>
                <w:sz w:val="18"/>
              </w:rPr>
              <w:t>71</w:t>
            </w:r>
          </w:p>
        </w:tc>
        <w:tc>
          <w:tcPr>
            <w:tcW w:w="1500" w:type="dxa"/>
            <w:shd w:fill="F7F9FB"/>
            <w:vAlign w:val="center"/>
          </w:tcPr>
          <w:p>
            <w:pPr>
              <w:spacing w:after="0" w:line="240"/>
              <w:jc w:val="center"/>
            </w:pPr>
            <w:r>
              <w:rPr>
                <w:sz w:val="18"/>
              </w:rPr>
              <w:t>89</w:t>
            </w:r>
          </w:p>
        </w:tc>
        <w:tc>
          <w:tcPr>
            <w:tcW w:w="1500" w:type="dxa"/>
            <w:shd w:fill="F7F9FB"/>
            <w:vAlign w:val="center"/>
          </w:tcPr>
          <w:p>
            <w:pPr>
              <w:spacing w:after="0" w:line="240"/>
              <w:jc w:val="center"/>
            </w:pPr>
            <w:r>
              <w:rPr>
                <w:sz w:val="18"/>
              </w:rPr>
              <w:t>228</w:t>
            </w:r>
          </w:p>
        </w:tc>
      </w:tr>
      <w:tr>
        <w:trPr>
          <w:cantSplit/>
        </w:trPr>
        <w:tc>
          <w:tcPr>
            <w:tcW w:w="3600" w:type="dxa"/>
            <w:shd w:fill="FFFFFF"/>
            <w:vAlign w:val="center"/>
          </w:tcPr>
          <w:p>
            <w:pPr>
              <w:spacing w:after="0" w:line="240"/>
              <w:jc w:val="left"/>
            </w:pPr>
            <w:r>
              <w:rPr>
                <w:sz w:val="18"/>
              </w:rPr>
              <w:t>MLP_seed22</w:t>
            </w:r>
          </w:p>
        </w:tc>
        <w:tc>
          <w:tcPr>
            <w:tcW w:w="1500" w:type="dxa"/>
            <w:shd w:fill="FFFFFF"/>
            <w:vAlign w:val="center"/>
          </w:tcPr>
          <w:p>
            <w:pPr>
              <w:spacing w:after="0" w:line="240"/>
              <w:jc w:val="center"/>
            </w:pPr>
            <w:r>
              <w:rPr>
                <w:sz w:val="18"/>
              </w:rPr>
              <w:t>686</w:t>
            </w:r>
          </w:p>
        </w:tc>
        <w:tc>
          <w:tcPr>
            <w:tcW w:w="1500" w:type="dxa"/>
            <w:shd w:fill="FFFFFF"/>
            <w:vAlign w:val="center"/>
          </w:tcPr>
          <w:p>
            <w:pPr>
              <w:spacing w:after="0" w:line="240"/>
              <w:jc w:val="center"/>
            </w:pPr>
            <w:r>
              <w:rPr>
                <w:sz w:val="18"/>
              </w:rPr>
              <w:t>77</w:t>
            </w:r>
          </w:p>
        </w:tc>
        <w:tc>
          <w:tcPr>
            <w:tcW w:w="1500" w:type="dxa"/>
            <w:shd w:fill="FFFFFF"/>
            <w:vAlign w:val="center"/>
          </w:tcPr>
          <w:p>
            <w:pPr>
              <w:spacing w:after="0" w:line="240"/>
              <w:jc w:val="center"/>
            </w:pPr>
            <w:r>
              <w:rPr>
                <w:sz w:val="18"/>
              </w:rPr>
              <w:t>81</w:t>
            </w:r>
          </w:p>
        </w:tc>
        <w:tc>
          <w:tcPr>
            <w:tcW w:w="1500" w:type="dxa"/>
            <w:shd w:fill="FFFFFF"/>
            <w:vAlign w:val="center"/>
          </w:tcPr>
          <w:p>
            <w:pPr>
              <w:spacing w:after="0" w:line="240"/>
              <w:jc w:val="center"/>
            </w:pPr>
            <w:r>
              <w:rPr>
                <w:sz w:val="18"/>
              </w:rPr>
              <w:t>236</w:t>
            </w:r>
          </w:p>
        </w:tc>
      </w:tr>
      <w:tr>
        <w:trPr>
          <w:cantSplit/>
        </w:trPr>
        <w:tc>
          <w:tcPr>
            <w:tcW w:w="3600" w:type="dxa"/>
            <w:shd w:fill="F7F9FB"/>
            <w:vAlign w:val="center"/>
          </w:tcPr>
          <w:p>
            <w:pPr>
              <w:spacing w:after="0" w:line="240"/>
              <w:jc w:val="left"/>
            </w:pPr>
            <w:r>
              <w:rPr>
                <w:sz w:val="18"/>
              </w:rPr>
              <w:t>MLP_seed33</w:t>
            </w:r>
          </w:p>
        </w:tc>
        <w:tc>
          <w:tcPr>
            <w:tcW w:w="1500" w:type="dxa"/>
            <w:shd w:fill="F7F9FB"/>
            <w:vAlign w:val="center"/>
          </w:tcPr>
          <w:p>
            <w:pPr>
              <w:spacing w:after="0" w:line="240"/>
              <w:jc w:val="center"/>
            </w:pPr>
            <w:r>
              <w:rPr>
                <w:sz w:val="18"/>
              </w:rPr>
              <w:t>689</w:t>
            </w:r>
          </w:p>
        </w:tc>
        <w:tc>
          <w:tcPr>
            <w:tcW w:w="1500" w:type="dxa"/>
            <w:shd w:fill="F7F9FB"/>
            <w:vAlign w:val="center"/>
          </w:tcPr>
          <w:p>
            <w:pPr>
              <w:spacing w:after="0" w:line="240"/>
              <w:jc w:val="center"/>
            </w:pPr>
            <w:r>
              <w:rPr>
                <w:sz w:val="18"/>
              </w:rPr>
              <w:t>74</w:t>
            </w:r>
          </w:p>
        </w:tc>
        <w:tc>
          <w:tcPr>
            <w:tcW w:w="1500" w:type="dxa"/>
            <w:shd w:fill="F7F9FB"/>
            <w:vAlign w:val="center"/>
          </w:tcPr>
          <w:p>
            <w:pPr>
              <w:spacing w:after="0" w:line="240"/>
              <w:jc w:val="center"/>
            </w:pPr>
            <w:r>
              <w:rPr>
                <w:sz w:val="18"/>
              </w:rPr>
              <w:t>73</w:t>
            </w:r>
          </w:p>
        </w:tc>
        <w:tc>
          <w:tcPr>
            <w:tcW w:w="1500" w:type="dxa"/>
            <w:shd w:fill="F7F9FB"/>
            <w:vAlign w:val="center"/>
          </w:tcPr>
          <w:p>
            <w:pPr>
              <w:spacing w:after="0" w:line="240"/>
              <w:jc w:val="center"/>
            </w:pPr>
            <w:r>
              <w:rPr>
                <w:sz w:val="18"/>
              </w:rPr>
              <w:t>244</w:t>
            </w:r>
          </w:p>
        </w:tc>
      </w:tr>
    </w:tbl>
    <w:p>
      <w:pPr>
        <w:spacing w:after="120" w:line="264" w:lineRule="auto"/>
      </w:pPr>
      <w:r>
        <w:t xml:space="preserve"/>
      </w:r>
    </w:p>
    <w:p>
      <w:pPr>
        <w:jc w:val="center"/>
      </w:pPr>
      <w:r>
        <w:drawing>
          <wp:inline xmlns:wp="http://schemas.openxmlformats.org/drawingml/2006/wordprocessingDrawing" distT="0" distB="0" distL="0" distR="0">
            <wp:extent cx="4085877" cy="3063240"/>
            <wp:docPr id="102" name="MATLAB figure" descr="confusion_matrix.png"/>
            <a:graphic xmlns:a="http://schemas.openxmlformats.org/drawingml/2006/main">
              <a:graphicData uri="http://schemas.openxmlformats.org/drawingml/2006/picture">
                <pic:pic xmlns:pic="http://schemas.openxmlformats.org/drawingml/2006/picture">
                  <pic:nvPicPr>
                    <pic:cNvPr id="0" name="MATLAB figure"/>
                    <pic:cNvPicPr/>
                  </pic:nvPicPr>
                  <pic:blipFill>
                    <a:blip r:embed="rIdMatlab102"/>
                    <a:stretch>
                      <a:fillRect/>
                    </a:stretch>
                  </pic:blipFill>
                  <pic:spPr>
                    <a:xfrm>
                      <a:off x="0" y="0"/>
                      <a:ext cx="4085877" cy="3063240"/>
                    </a:xfrm>
                    <a:prstGeom prst="rect">
                      <a:avLst/>
                    </a:prstGeom>
                  </pic:spPr>
                </pic:pic>
              </a:graphicData>
            </a:graphic>
          </wp:inline>
        </w:drawing>
      </w:r>
    </w:p>
    <w:p>
      <w:pPr>
        <w:pStyle w:val="Caption"/>
      </w:pPr>
      <w:r>
        <w:t>3 pav. Galutinio RBF-SVM sumaišties matrica.</w:t>
      </w:r>
    </w:p>
    <w:p>
      <w:pPr>
        <w:spacing w:after="120" w:line="264" w:lineRule="auto"/>
      </w:pPr>
      <w:r>
        <w:t xml:space="preserve">Stipresnis baseline pagal mokymo CV: kNN. ΔBA = 0.0059; porinio bootstrap 95 % intervalas [-0.0187; 0.0293]. H₁ kriterijai: ΔBA ≥ 0,02 ir intervalo apatinė riba &gt; 0. H₁ nepatvirtinta: bent vienas būtinas kriterijus neįvykdytas.</w:t>
      </w:r>
    </w:p>
    <w:p>
      <w:r>
        <w:t>Taikyta 2 000 porinių stratifikuotų bootstrap pakartojimų; abiem modeliams kiekvienoje pakartoje naudojami tie patys testiniai indeksai.</w:t>
      </w:r>
    </w:p>
    <w:p>
      <w:r>
        <w:br w:type="page"/>
      </w:r>
    </w:p>
    <w:p>
      <w:pPr>
        <w:pStyle w:val="Heading1"/>
      </w:pPr>
      <w:r>
        <w:t>Tikimybių kalibravimas</w:t>
      </w:r>
    </w:p>
    <w:p>
      <w:pPr>
        <w:jc w:val="center"/>
      </w:pPr>
      <w:r>
        <w:drawing>
          <wp:inline xmlns:wp="http://schemas.openxmlformats.org/drawingml/2006/wordprocessingDrawing" distT="0" distB="0" distL="0" distR="0">
            <wp:extent cx="4390793" cy="3291840"/>
            <wp:docPr id="103" name="MATLAB figure" descr="calibration.png"/>
            <a:graphic xmlns:a="http://schemas.openxmlformats.org/drawingml/2006/main">
              <a:graphicData uri="http://schemas.openxmlformats.org/drawingml/2006/picture">
                <pic:pic xmlns:pic="http://schemas.openxmlformats.org/drawingml/2006/picture">
                  <pic:nvPicPr>
                    <pic:cNvPr id="0" name="MATLAB figure"/>
                    <pic:cNvPicPr/>
                  </pic:nvPicPr>
                  <pic:blipFill>
                    <a:blip r:embed="rIdMatlab103"/>
                    <a:stretch>
                      <a:fillRect/>
                    </a:stretch>
                  </pic:blipFill>
                  <pic:spPr>
                    <a:xfrm>
                      <a:off x="0" y="0"/>
                      <a:ext cx="4390793" cy="3291840"/>
                    </a:xfrm>
                    <a:prstGeom prst="rect">
                      <a:avLst/>
                    </a:prstGeom>
                  </pic:spPr>
                </pic:pic>
              </a:graphicData>
            </a:graphic>
          </wp:inline>
        </w:drawing>
      </w:r>
    </w:p>
    <w:p>
      <w:pPr>
        <w:pStyle w:val="Caption"/>
      </w:pPr>
      <w:r>
        <w:t>4 pav. Dešimties vienodo pločio intervalų kalibravimo kreivė.</w:t>
      </w:r>
    </w:p>
    <w:p>
      <w:pPr>
        <w:spacing w:after="120" w:line="264" w:lineRule="auto"/>
      </w:pPr>
      <w:r>
        <w:t xml:space="preserve">Kalibravimo transformacija: sigmoid. SVM Brier = 0.0922. Iki kalibravimo SVM BA = 0.8728, po kalibravimo BA = 0.8365. Neapdorotam SVM balui Brier netaikomas. Kitų metodų pirminiai įverčiai papildomai nekalibruoti.</w:t>
      </w:r>
    </w:p>
    <w:p>
      <w:r>
        <w:t>Ideali kalibravimo kreivė sutampa su įstrižaine. Tušti intervalai praleisti. Intervalų dydžiai pateikti calibration_bins.csv; mažos grupės gali būti nestabilios. Brier apima bendrą tikimybinių prognozių kokybę ir nėra vien kalibracijos matas.</w:t>
      </w:r>
    </w:p>
    <w:p>
      <w:r>
        <w:br w:type="page"/>
      </w:r>
    </w:p>
    <w:p>
      <w:pPr>
        <w:pStyle w:val="Heading1"/>
      </w:pPr>
      <w:r>
        <w:t>Atsparumas požymių triukšmui</w:t>
      </w:r>
    </w:p>
    <w:p>
      <w:pPr>
        <w:jc w:val="center"/>
      </w:pPr>
      <w:r>
        <w:drawing>
          <wp:inline xmlns:wp="http://schemas.openxmlformats.org/drawingml/2006/wordprocessingDrawing" distT="0" distB="0" distL="0" distR="0">
            <wp:extent cx="4268826" cy="3200400"/>
            <wp:docPr id="104" name="MATLAB figure" descr="noise.png"/>
            <a:graphic xmlns:a="http://schemas.openxmlformats.org/drawingml/2006/main">
              <a:graphicData uri="http://schemas.openxmlformats.org/drawingml/2006/picture">
                <pic:pic xmlns:pic="http://schemas.openxmlformats.org/drawingml/2006/picture">
                  <pic:nvPicPr>
                    <pic:cNvPr id="0" name="MATLAB figure"/>
                    <pic:cNvPicPr/>
                  </pic:nvPicPr>
                  <pic:blipFill>
                    <a:blip r:embed="rIdMatlab104"/>
                    <a:stretch>
                      <a:fillRect/>
                    </a:stretch>
                  </pic:blipFill>
                  <pic:spPr>
                    <a:xfrm>
                      <a:off x="0" y="0"/>
                      <a:ext cx="4268826" cy="3200400"/>
                    </a:xfrm>
                    <a:prstGeom prst="rect">
                      <a:avLst/>
                    </a:prstGeom>
                  </pic:spPr>
                </pic:pic>
              </a:graphicData>
            </a:graphic>
          </wp:inline>
        </w:drawing>
      </w:r>
    </w:p>
    <w:p>
      <w:pPr>
        <w:pStyle w:val="Caption"/>
      </w:pPr>
      <w:r>
        <w:t>5 pav. BA vidurkis ir standartinis nuokrypis per dešimt triukšmo sėklų.</w:t>
      </w:r>
    </w:p>
    <w:tbl>
      <w:tblPr>
        <w:tblW w:w="960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1700"/>
        <w:gridCol w:w="2200"/>
        <w:gridCol w:w="1700"/>
        <w:gridCol w:w="2200"/>
        <w:gridCol w:w="1800"/>
      </w:tblGrid>
      <w:tr>
        <w:trPr>
          <w:cantSplit/>
          <w:tblHeader/>
        </w:trPr>
        <w:tc>
          <w:tcPr>
            <w:tcW w:w="1700" w:type="dxa"/>
            <w:shd w:fill="E6EDF2"/>
            <w:vAlign w:val="center"/>
          </w:tcPr>
          <w:p>
            <w:pPr>
              <w:spacing w:after="0" w:line="240"/>
              <w:jc w:val="left"/>
            </w:pPr>
            <w:r>
              <w:rPr>
                <w:b/>
                <w:sz w:val="18"/>
              </w:rPr>
              <w:t>Triukšmo σ</w:t>
            </w:r>
          </w:p>
        </w:tc>
        <w:tc>
          <w:tcPr>
            <w:tcW w:w="2200" w:type="dxa"/>
            <w:shd w:fill="E6EDF2"/>
            <w:vAlign w:val="center"/>
          </w:tcPr>
          <w:p>
            <w:pPr>
              <w:spacing w:after="0" w:line="240"/>
              <w:jc w:val="center"/>
            </w:pPr>
            <w:r>
              <w:rPr>
                <w:b/>
                <w:sz w:val="18"/>
              </w:rPr>
              <w:t>BA vidurkis</w:t>
            </w:r>
          </w:p>
        </w:tc>
        <w:tc>
          <w:tcPr>
            <w:tcW w:w="1700" w:type="dxa"/>
            <w:shd w:fill="E6EDF2"/>
            <w:vAlign w:val="center"/>
          </w:tcPr>
          <w:p>
            <w:pPr>
              <w:spacing w:after="0" w:line="240"/>
              <w:jc w:val="center"/>
            </w:pPr>
            <w:r>
              <w:rPr>
                <w:b/>
                <w:sz w:val="18"/>
              </w:rPr>
              <w:t>BA SD</w:t>
            </w:r>
          </w:p>
        </w:tc>
        <w:tc>
          <w:tcPr>
            <w:tcW w:w="2200" w:type="dxa"/>
            <w:shd w:fill="E6EDF2"/>
            <w:vAlign w:val="center"/>
          </w:tcPr>
          <w:p>
            <w:pPr>
              <w:spacing w:after="0" w:line="240"/>
              <w:jc w:val="center"/>
            </w:pPr>
            <w:r>
              <w:rPr>
                <w:b/>
                <w:sz w:val="18"/>
              </w:rPr>
              <w:t>F1 vidurkis</w:t>
            </w:r>
          </w:p>
        </w:tc>
        <w:tc>
          <w:tcPr>
            <w:tcW w:w="1800" w:type="dxa"/>
            <w:shd w:fill="E6EDF2"/>
            <w:vAlign w:val="center"/>
          </w:tcPr>
          <w:p>
            <w:pPr>
              <w:spacing w:after="0" w:line="240"/>
              <w:jc w:val="center"/>
            </w:pPr>
            <w:r>
              <w:rPr>
                <w:b/>
                <w:sz w:val="18"/>
              </w:rPr>
              <w:t>BA kritimas</w:t>
            </w:r>
          </w:p>
        </w:tc>
      </w:tr>
      <w:tr>
        <w:trPr>
          <w:cantSplit/>
        </w:trPr>
        <w:tc>
          <w:tcPr>
            <w:tcW w:w="1700" w:type="dxa"/>
            <w:shd w:fill="FFFFFF"/>
            <w:vAlign w:val="center"/>
          </w:tcPr>
          <w:p>
            <w:pPr>
              <w:spacing w:after="0" w:line="240"/>
              <w:jc w:val="left"/>
            </w:pPr>
            <w:r>
              <w:rPr>
                <w:sz w:val="18"/>
              </w:rPr>
              <w:t>0.00</w:t>
            </w:r>
          </w:p>
        </w:tc>
        <w:tc>
          <w:tcPr>
            <w:tcW w:w="2200" w:type="dxa"/>
            <w:shd w:fill="FFFFFF"/>
            <w:vAlign w:val="center"/>
          </w:tcPr>
          <w:p>
            <w:pPr>
              <w:spacing w:after="0" w:line="240"/>
              <w:jc w:val="center"/>
            </w:pPr>
            <w:r>
              <w:rPr>
                <w:sz w:val="18"/>
              </w:rPr>
              <w:t>0.8365</w:t>
            </w:r>
          </w:p>
        </w:tc>
        <w:tc>
          <w:tcPr>
            <w:tcW w:w="1700" w:type="dxa"/>
            <w:shd w:fill="FFFFFF"/>
            <w:vAlign w:val="center"/>
          </w:tcPr>
          <w:p>
            <w:pPr>
              <w:spacing w:after="0" w:line="240"/>
              <w:jc w:val="center"/>
            </w:pPr>
            <w:r>
              <w:rPr>
                <w:sz w:val="18"/>
              </w:rPr>
              <w:t>0.0000</w:t>
            </w:r>
          </w:p>
        </w:tc>
        <w:tc>
          <w:tcPr>
            <w:tcW w:w="2200" w:type="dxa"/>
            <w:shd w:fill="FFFFFF"/>
            <w:vAlign w:val="center"/>
          </w:tcPr>
          <w:p>
            <w:pPr>
              <w:spacing w:after="0" w:line="240"/>
              <w:jc w:val="center"/>
            </w:pPr>
            <w:r>
              <w:rPr>
                <w:sz w:val="18"/>
              </w:rPr>
              <w:t>0.7758</w:t>
            </w:r>
          </w:p>
        </w:tc>
        <w:tc>
          <w:tcPr>
            <w:tcW w:w="1800" w:type="dxa"/>
            <w:shd w:fill="FFFFFF"/>
            <w:vAlign w:val="center"/>
          </w:tcPr>
          <w:p>
            <w:pPr>
              <w:spacing w:after="0" w:line="240"/>
              <w:jc w:val="center"/>
            </w:pPr>
            <w:r>
              <w:rPr>
                <w:sz w:val="18"/>
              </w:rPr>
              <w:t>-0.0000</w:t>
            </w:r>
          </w:p>
        </w:tc>
      </w:tr>
      <w:tr>
        <w:trPr>
          <w:cantSplit/>
        </w:trPr>
        <w:tc>
          <w:tcPr>
            <w:tcW w:w="1700" w:type="dxa"/>
            <w:shd w:fill="F7F9FB"/>
            <w:vAlign w:val="center"/>
          </w:tcPr>
          <w:p>
            <w:pPr>
              <w:spacing w:after="0" w:line="240"/>
              <w:jc w:val="left"/>
            </w:pPr>
            <w:r>
              <w:rPr>
                <w:sz w:val="18"/>
              </w:rPr>
              <w:t>0.10</w:t>
            </w:r>
          </w:p>
        </w:tc>
        <w:tc>
          <w:tcPr>
            <w:tcW w:w="2200" w:type="dxa"/>
            <w:shd w:fill="F7F9FB"/>
            <w:vAlign w:val="center"/>
          </w:tcPr>
          <w:p>
            <w:pPr>
              <w:spacing w:after="0" w:line="240"/>
              <w:jc w:val="center"/>
            </w:pPr>
            <w:r>
              <w:rPr>
                <w:sz w:val="18"/>
              </w:rPr>
              <w:t>0.8168</w:t>
            </w:r>
          </w:p>
        </w:tc>
        <w:tc>
          <w:tcPr>
            <w:tcW w:w="1700" w:type="dxa"/>
            <w:shd w:fill="F7F9FB"/>
            <w:vAlign w:val="center"/>
          </w:tcPr>
          <w:p>
            <w:pPr>
              <w:spacing w:after="0" w:line="240"/>
              <w:jc w:val="center"/>
            </w:pPr>
            <w:r>
              <w:rPr>
                <w:sz w:val="18"/>
              </w:rPr>
              <w:t>0.0066</w:t>
            </w:r>
          </w:p>
        </w:tc>
        <w:tc>
          <w:tcPr>
            <w:tcW w:w="2200" w:type="dxa"/>
            <w:shd w:fill="F7F9FB"/>
            <w:vAlign w:val="center"/>
          </w:tcPr>
          <w:p>
            <w:pPr>
              <w:spacing w:after="0" w:line="240"/>
              <w:jc w:val="center"/>
            </w:pPr>
            <w:r>
              <w:rPr>
                <w:sz w:val="18"/>
              </w:rPr>
              <w:t>0.7465</w:t>
            </w:r>
          </w:p>
        </w:tc>
        <w:tc>
          <w:tcPr>
            <w:tcW w:w="1800" w:type="dxa"/>
            <w:shd w:fill="F7F9FB"/>
            <w:vAlign w:val="center"/>
          </w:tcPr>
          <w:p>
            <w:pPr>
              <w:spacing w:after="0" w:line="240"/>
              <w:jc w:val="center"/>
            </w:pPr>
            <w:r>
              <w:rPr>
                <w:sz w:val="18"/>
              </w:rPr>
              <w:t>0.0196</w:t>
            </w:r>
          </w:p>
        </w:tc>
      </w:tr>
      <w:tr>
        <w:trPr>
          <w:cantSplit/>
        </w:trPr>
        <w:tc>
          <w:tcPr>
            <w:tcW w:w="1700" w:type="dxa"/>
            <w:shd w:fill="FFFFFF"/>
            <w:vAlign w:val="center"/>
          </w:tcPr>
          <w:p>
            <w:pPr>
              <w:spacing w:after="0" w:line="240"/>
              <w:jc w:val="left"/>
            </w:pPr>
            <w:r>
              <w:rPr>
                <w:sz w:val="18"/>
              </w:rPr>
              <w:t>0.25</w:t>
            </w:r>
          </w:p>
        </w:tc>
        <w:tc>
          <w:tcPr>
            <w:tcW w:w="2200" w:type="dxa"/>
            <w:shd w:fill="FFFFFF"/>
            <w:vAlign w:val="center"/>
          </w:tcPr>
          <w:p>
            <w:pPr>
              <w:spacing w:after="0" w:line="240"/>
              <w:jc w:val="center"/>
            </w:pPr>
            <w:r>
              <w:rPr>
                <w:sz w:val="18"/>
              </w:rPr>
              <w:t>0.7537</w:t>
            </w:r>
          </w:p>
        </w:tc>
        <w:tc>
          <w:tcPr>
            <w:tcW w:w="1700" w:type="dxa"/>
            <w:shd w:fill="FFFFFF"/>
            <w:vAlign w:val="center"/>
          </w:tcPr>
          <w:p>
            <w:pPr>
              <w:spacing w:after="0" w:line="240"/>
              <w:jc w:val="center"/>
            </w:pPr>
            <w:r>
              <w:rPr>
                <w:sz w:val="18"/>
              </w:rPr>
              <w:t>0.0128</w:t>
            </w:r>
          </w:p>
        </w:tc>
        <w:tc>
          <w:tcPr>
            <w:tcW w:w="2200" w:type="dxa"/>
            <w:shd w:fill="FFFFFF"/>
            <w:vAlign w:val="center"/>
          </w:tcPr>
          <w:p>
            <w:pPr>
              <w:spacing w:after="0" w:line="240"/>
              <w:jc w:val="center"/>
            </w:pPr>
            <w:r>
              <w:rPr>
                <w:sz w:val="18"/>
              </w:rPr>
              <w:t>0.6540</w:t>
            </w:r>
          </w:p>
        </w:tc>
        <w:tc>
          <w:tcPr>
            <w:tcW w:w="1800" w:type="dxa"/>
            <w:shd w:fill="FFFFFF"/>
            <w:vAlign w:val="center"/>
          </w:tcPr>
          <w:p>
            <w:pPr>
              <w:spacing w:after="0" w:line="240"/>
              <w:jc w:val="center"/>
            </w:pPr>
            <w:r>
              <w:rPr>
                <w:sz w:val="18"/>
              </w:rPr>
              <w:t>0.0828</w:t>
            </w:r>
          </w:p>
        </w:tc>
      </w:tr>
      <w:tr>
        <w:trPr>
          <w:cantSplit/>
        </w:trPr>
        <w:tc>
          <w:tcPr>
            <w:tcW w:w="1700" w:type="dxa"/>
            <w:shd w:fill="F7F9FB"/>
            <w:vAlign w:val="center"/>
          </w:tcPr>
          <w:p>
            <w:pPr>
              <w:spacing w:after="0" w:line="240"/>
              <w:jc w:val="left"/>
            </w:pPr>
            <w:r>
              <w:rPr>
                <w:sz w:val="18"/>
              </w:rPr>
              <w:t>0.50</w:t>
            </w:r>
          </w:p>
        </w:tc>
        <w:tc>
          <w:tcPr>
            <w:tcW w:w="2200" w:type="dxa"/>
            <w:shd w:fill="F7F9FB"/>
            <w:vAlign w:val="center"/>
          </w:tcPr>
          <w:p>
            <w:pPr>
              <w:spacing w:after="0" w:line="240"/>
              <w:jc w:val="center"/>
            </w:pPr>
            <w:r>
              <w:rPr>
                <w:sz w:val="18"/>
              </w:rPr>
              <w:t>0.6655</w:t>
            </w:r>
          </w:p>
        </w:tc>
        <w:tc>
          <w:tcPr>
            <w:tcW w:w="1700" w:type="dxa"/>
            <w:shd w:fill="F7F9FB"/>
            <w:vAlign w:val="center"/>
          </w:tcPr>
          <w:p>
            <w:pPr>
              <w:spacing w:after="0" w:line="240"/>
              <w:jc w:val="center"/>
            </w:pPr>
            <w:r>
              <w:rPr>
                <w:sz w:val="18"/>
              </w:rPr>
              <w:t>0.0150</w:t>
            </w:r>
          </w:p>
        </w:tc>
        <w:tc>
          <w:tcPr>
            <w:tcW w:w="2200" w:type="dxa"/>
            <w:shd w:fill="F7F9FB"/>
            <w:vAlign w:val="center"/>
          </w:tcPr>
          <w:p>
            <w:pPr>
              <w:spacing w:after="0" w:line="240"/>
              <w:jc w:val="center"/>
            </w:pPr>
            <w:r>
              <w:rPr>
                <w:sz w:val="18"/>
              </w:rPr>
              <w:t>0.5247</w:t>
            </w:r>
          </w:p>
        </w:tc>
        <w:tc>
          <w:tcPr>
            <w:tcW w:w="1800" w:type="dxa"/>
            <w:shd w:fill="F7F9FB"/>
            <w:vAlign w:val="center"/>
          </w:tcPr>
          <w:p>
            <w:pPr>
              <w:spacing w:after="0" w:line="240"/>
              <w:jc w:val="center"/>
            </w:pPr>
            <w:r>
              <w:rPr>
                <w:sz w:val="18"/>
              </w:rPr>
              <w:t>0.1710</w:t>
            </w:r>
          </w:p>
        </w:tc>
      </w:tr>
    </w:tbl>
    <w:p>
      <w:pPr>
        <w:spacing w:after="120" w:line="264" w:lineRule="auto"/>
      </w:pPr>
      <w:r>
        <w:t xml:space="preserve"/>
      </w:r>
    </w:p>
    <w:p>
      <w:r>
        <w:t>Lentelėje pateiktas pagrindinis RBF-SVM. Visų algoritmų BA ir F1 vidurkiai, sklaida bei kritimas saugomi noise_summary.csv. Mokymo pavyzdžiai nepakeisti, modeliai iš naujo neparinkti. Sintetinis požymių triukšmas neatstoja akustinio mikrofono triukšmo.</w:t>
      </w:r>
    </w:p>
    <w:p>
      <w:r>
        <w:br w:type="page"/>
      </w:r>
    </w:p>
    <w:p>
      <w:pPr>
        <w:pStyle w:val="Heading1"/>
      </w:pPr>
      <w:r>
        <w:t>Abliacijos ir klaidų analizė</w:t>
      </w:r>
    </w:p>
    <w:tbl>
      <w:tblPr>
        <w:tblW w:w="9600" w:type="dxa"/>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4500"/>
        <w:gridCol w:w="1700"/>
        <w:gridCol w:w="1700"/>
        <w:gridCol w:w="1700"/>
      </w:tblGrid>
      <w:tr>
        <w:trPr>
          <w:cantSplit/>
          <w:tblHeader/>
        </w:trPr>
        <w:tc>
          <w:tcPr>
            <w:tcW w:w="4500" w:type="dxa"/>
            <w:shd w:fill="E6EDF2"/>
            <w:vAlign w:val="center"/>
          </w:tcPr>
          <w:p>
            <w:pPr>
              <w:spacing w:after="0" w:line="240"/>
              <w:jc w:val="left"/>
            </w:pPr>
            <w:r>
              <w:rPr>
                <w:b/>
                <w:sz w:val="18"/>
              </w:rPr>
              <w:t>Variantas</w:t>
            </w:r>
          </w:p>
        </w:tc>
        <w:tc>
          <w:tcPr>
            <w:tcW w:w="1700" w:type="dxa"/>
            <w:shd w:fill="E6EDF2"/>
            <w:vAlign w:val="center"/>
          </w:tcPr>
          <w:p>
            <w:pPr>
              <w:spacing w:after="0" w:line="240"/>
              <w:jc w:val="center"/>
            </w:pPr>
            <w:r>
              <w:rPr>
                <w:b/>
                <w:sz w:val="18"/>
              </w:rPr>
              <w:t>CV BA</w:t>
            </w:r>
          </w:p>
        </w:tc>
        <w:tc>
          <w:tcPr>
            <w:tcW w:w="1700" w:type="dxa"/>
            <w:shd w:fill="E6EDF2"/>
            <w:vAlign w:val="center"/>
          </w:tcPr>
          <w:p>
            <w:pPr>
              <w:spacing w:after="0" w:line="240"/>
              <w:jc w:val="center"/>
            </w:pPr>
            <w:r>
              <w:rPr>
                <w:b/>
                <w:sz w:val="18"/>
              </w:rPr>
              <w:t>SD</w:t>
            </w:r>
          </w:p>
        </w:tc>
        <w:tc>
          <w:tcPr>
            <w:tcW w:w="1700" w:type="dxa"/>
            <w:shd w:fill="E6EDF2"/>
            <w:vAlign w:val="center"/>
          </w:tcPr>
          <w:p>
            <w:pPr>
              <w:spacing w:after="0" w:line="240"/>
              <w:jc w:val="center"/>
            </w:pPr>
            <w:r>
              <w:rPr>
                <w:b/>
                <w:sz w:val="18"/>
              </w:rPr>
              <w:t>BA kritimas</w:t>
            </w:r>
          </w:p>
        </w:tc>
      </w:tr>
      <w:tr>
        <w:trPr>
          <w:cantSplit/>
        </w:trPr>
        <w:tc>
          <w:tcPr>
            <w:tcW w:w="4500" w:type="dxa"/>
            <w:shd w:fill="FFFFFF"/>
            <w:vAlign w:val="center"/>
          </w:tcPr>
          <w:p>
            <w:pPr>
              <w:spacing w:after="0" w:line="240"/>
              <w:jc w:val="left"/>
            </w:pPr>
            <w:r>
              <w:rPr>
                <w:sz w:val="18"/>
              </w:rPr>
              <w:t>control</w:t>
            </w:r>
          </w:p>
        </w:tc>
        <w:tc>
          <w:tcPr>
            <w:tcW w:w="1700" w:type="dxa"/>
            <w:shd w:fill="FFFFFF"/>
            <w:vAlign w:val="center"/>
          </w:tcPr>
          <w:p>
            <w:pPr>
              <w:spacing w:after="0" w:line="240"/>
              <w:jc w:val="center"/>
            </w:pPr>
            <w:r>
              <w:rPr>
                <w:sz w:val="18"/>
              </w:rPr>
              <w:t>0.8599</w:t>
            </w:r>
          </w:p>
        </w:tc>
        <w:tc>
          <w:tcPr>
            <w:tcW w:w="1700" w:type="dxa"/>
            <w:shd w:fill="FFFFFF"/>
            <w:vAlign w:val="center"/>
          </w:tcPr>
          <w:p>
            <w:pPr>
              <w:spacing w:after="0" w:line="240"/>
              <w:jc w:val="center"/>
            </w:pPr>
            <w:r>
              <w:rPr>
                <w:sz w:val="18"/>
              </w:rPr>
              <w:t>0.0064</w:t>
            </w:r>
          </w:p>
        </w:tc>
        <w:tc>
          <w:tcPr>
            <w:tcW w:w="1700" w:type="dxa"/>
            <w:shd w:fill="FFFFFF"/>
            <w:vAlign w:val="center"/>
          </w:tcPr>
          <w:p>
            <w:pPr>
              <w:spacing w:after="0" w:line="240"/>
              <w:jc w:val="center"/>
            </w:pPr>
            <w:r>
              <w:rPr>
                <w:sz w:val="18"/>
              </w:rPr>
              <w:t>0.0000</w:t>
            </w:r>
          </w:p>
        </w:tc>
      </w:tr>
      <w:tr>
        <w:trPr>
          <w:cantSplit/>
        </w:trPr>
        <w:tc>
          <w:tcPr>
            <w:tcW w:w="4500" w:type="dxa"/>
            <w:shd w:fill="F7F9FB"/>
            <w:vAlign w:val="center"/>
          </w:tcPr>
          <w:p>
            <w:pPr>
              <w:spacing w:after="0" w:line="240"/>
              <w:jc w:val="left"/>
            </w:pPr>
            <w:r>
              <w:rPr>
                <w:sz w:val="18"/>
              </w:rPr>
              <w:t>A1_no_standardization</w:t>
            </w:r>
          </w:p>
        </w:tc>
        <w:tc>
          <w:tcPr>
            <w:tcW w:w="1700" w:type="dxa"/>
            <w:shd w:fill="F7F9FB"/>
            <w:vAlign w:val="center"/>
          </w:tcPr>
          <w:p>
            <w:pPr>
              <w:spacing w:after="0" w:line="240"/>
              <w:jc w:val="center"/>
            </w:pPr>
            <w:r>
              <w:rPr>
                <w:sz w:val="18"/>
              </w:rPr>
              <w:t>0.8584</w:t>
            </w:r>
          </w:p>
        </w:tc>
        <w:tc>
          <w:tcPr>
            <w:tcW w:w="1700" w:type="dxa"/>
            <w:shd w:fill="F7F9FB"/>
            <w:vAlign w:val="center"/>
          </w:tcPr>
          <w:p>
            <w:pPr>
              <w:spacing w:after="0" w:line="240"/>
              <w:jc w:val="center"/>
            </w:pPr>
            <w:r>
              <w:rPr>
                <w:sz w:val="18"/>
              </w:rPr>
              <w:t>0.0039</w:t>
            </w:r>
          </w:p>
        </w:tc>
        <w:tc>
          <w:tcPr>
            <w:tcW w:w="1700" w:type="dxa"/>
            <w:shd w:fill="F7F9FB"/>
            <w:vAlign w:val="center"/>
          </w:tcPr>
          <w:p>
            <w:pPr>
              <w:spacing w:after="0" w:line="240"/>
              <w:jc w:val="center"/>
            </w:pPr>
            <w:r>
              <w:rPr>
                <w:sz w:val="18"/>
              </w:rPr>
              <w:t>0.0015</w:t>
            </w:r>
          </w:p>
        </w:tc>
      </w:tr>
      <w:tr>
        <w:trPr>
          <w:cantSplit/>
        </w:trPr>
        <w:tc>
          <w:tcPr>
            <w:tcW w:w="4500" w:type="dxa"/>
            <w:shd w:fill="FFFFFF"/>
            <w:vAlign w:val="center"/>
          </w:tcPr>
          <w:p>
            <w:pPr>
              <w:spacing w:after="0" w:line="240"/>
              <w:jc w:val="left"/>
            </w:pPr>
            <w:r>
              <w:rPr>
                <w:sz w:val="18"/>
              </w:rPr>
              <w:t>A2_drop_1</w:t>
            </w:r>
          </w:p>
        </w:tc>
        <w:tc>
          <w:tcPr>
            <w:tcW w:w="1700" w:type="dxa"/>
            <w:shd w:fill="FFFFFF"/>
            <w:vAlign w:val="center"/>
          </w:tcPr>
          <w:p>
            <w:pPr>
              <w:spacing w:after="0" w:line="240"/>
              <w:jc w:val="center"/>
            </w:pPr>
            <w:r>
              <w:rPr>
                <w:sz w:val="18"/>
              </w:rPr>
              <w:t>0.8271</w:t>
            </w:r>
          </w:p>
        </w:tc>
        <w:tc>
          <w:tcPr>
            <w:tcW w:w="1700" w:type="dxa"/>
            <w:shd w:fill="FFFFFF"/>
            <w:vAlign w:val="center"/>
          </w:tcPr>
          <w:p>
            <w:pPr>
              <w:spacing w:after="0" w:line="240"/>
              <w:jc w:val="center"/>
            </w:pPr>
            <w:r>
              <w:rPr>
                <w:sz w:val="18"/>
              </w:rPr>
              <w:t>0.0042</w:t>
            </w:r>
          </w:p>
        </w:tc>
        <w:tc>
          <w:tcPr>
            <w:tcW w:w="1700" w:type="dxa"/>
            <w:shd w:fill="FFFFFF"/>
            <w:vAlign w:val="center"/>
          </w:tcPr>
          <w:p>
            <w:pPr>
              <w:spacing w:after="0" w:line="240"/>
              <w:jc w:val="center"/>
            </w:pPr>
            <w:r>
              <w:rPr>
                <w:sz w:val="18"/>
              </w:rPr>
              <w:t>0.0328</w:t>
            </w:r>
          </w:p>
        </w:tc>
      </w:tr>
      <w:tr>
        <w:trPr>
          <w:cantSplit/>
        </w:trPr>
        <w:tc>
          <w:tcPr>
            <w:tcW w:w="4500" w:type="dxa"/>
            <w:shd w:fill="F7F9FB"/>
            <w:vAlign w:val="center"/>
          </w:tcPr>
          <w:p>
            <w:pPr>
              <w:spacing w:after="0" w:line="240"/>
              <w:jc w:val="left"/>
            </w:pPr>
            <w:r>
              <w:rPr>
                <w:sz w:val="18"/>
              </w:rPr>
              <w:t>A2_drop_2</w:t>
            </w:r>
          </w:p>
        </w:tc>
        <w:tc>
          <w:tcPr>
            <w:tcW w:w="1700" w:type="dxa"/>
            <w:shd w:fill="F7F9FB"/>
            <w:vAlign w:val="center"/>
          </w:tcPr>
          <w:p>
            <w:pPr>
              <w:spacing w:after="0" w:line="240"/>
              <w:jc w:val="center"/>
            </w:pPr>
            <w:r>
              <w:rPr>
                <w:sz w:val="18"/>
              </w:rPr>
              <w:t>0.8381</w:t>
            </w:r>
          </w:p>
        </w:tc>
        <w:tc>
          <w:tcPr>
            <w:tcW w:w="1700" w:type="dxa"/>
            <w:shd w:fill="F7F9FB"/>
            <w:vAlign w:val="center"/>
          </w:tcPr>
          <w:p>
            <w:pPr>
              <w:spacing w:after="0" w:line="240"/>
              <w:jc w:val="center"/>
            </w:pPr>
            <w:r>
              <w:rPr>
                <w:sz w:val="18"/>
              </w:rPr>
              <w:t>0.0077</w:t>
            </w:r>
          </w:p>
        </w:tc>
        <w:tc>
          <w:tcPr>
            <w:tcW w:w="1700" w:type="dxa"/>
            <w:shd w:fill="F7F9FB"/>
            <w:vAlign w:val="center"/>
          </w:tcPr>
          <w:p>
            <w:pPr>
              <w:spacing w:after="0" w:line="240"/>
              <w:jc w:val="center"/>
            </w:pPr>
            <w:r>
              <w:rPr>
                <w:sz w:val="18"/>
              </w:rPr>
              <w:t>0.0218</w:t>
            </w:r>
          </w:p>
        </w:tc>
      </w:tr>
      <w:tr>
        <w:trPr>
          <w:cantSplit/>
        </w:trPr>
        <w:tc>
          <w:tcPr>
            <w:tcW w:w="4500" w:type="dxa"/>
            <w:shd w:fill="FFFFFF"/>
            <w:vAlign w:val="center"/>
          </w:tcPr>
          <w:p>
            <w:pPr>
              <w:spacing w:after="0" w:line="240"/>
              <w:jc w:val="left"/>
            </w:pPr>
            <w:r>
              <w:rPr>
                <w:sz w:val="18"/>
              </w:rPr>
              <w:t>A2_drop_3</w:t>
            </w:r>
          </w:p>
        </w:tc>
        <w:tc>
          <w:tcPr>
            <w:tcW w:w="1700" w:type="dxa"/>
            <w:shd w:fill="FFFFFF"/>
            <w:vAlign w:val="center"/>
          </w:tcPr>
          <w:p>
            <w:pPr>
              <w:spacing w:after="0" w:line="240"/>
              <w:jc w:val="center"/>
            </w:pPr>
            <w:r>
              <w:rPr>
                <w:sz w:val="18"/>
              </w:rPr>
              <w:t>0.8448</w:t>
            </w:r>
          </w:p>
        </w:tc>
        <w:tc>
          <w:tcPr>
            <w:tcW w:w="1700" w:type="dxa"/>
            <w:shd w:fill="FFFFFF"/>
            <w:vAlign w:val="center"/>
          </w:tcPr>
          <w:p>
            <w:pPr>
              <w:spacing w:after="0" w:line="240"/>
              <w:jc w:val="center"/>
            </w:pPr>
            <w:r>
              <w:rPr>
                <w:sz w:val="18"/>
              </w:rPr>
              <w:t>0.0243</w:t>
            </w:r>
          </w:p>
        </w:tc>
        <w:tc>
          <w:tcPr>
            <w:tcW w:w="1700" w:type="dxa"/>
            <w:shd w:fill="FFFFFF"/>
            <w:vAlign w:val="center"/>
          </w:tcPr>
          <w:p>
            <w:pPr>
              <w:spacing w:after="0" w:line="240"/>
              <w:jc w:val="center"/>
            </w:pPr>
            <w:r>
              <w:rPr>
                <w:sz w:val="18"/>
              </w:rPr>
              <w:t>0.0151</w:t>
            </w:r>
          </w:p>
        </w:tc>
      </w:tr>
      <w:tr>
        <w:trPr>
          <w:cantSplit/>
        </w:trPr>
        <w:tc>
          <w:tcPr>
            <w:tcW w:w="4500" w:type="dxa"/>
            <w:shd w:fill="F7F9FB"/>
            <w:vAlign w:val="center"/>
          </w:tcPr>
          <w:p>
            <w:pPr>
              <w:spacing w:after="0" w:line="240"/>
              <w:jc w:val="left"/>
            </w:pPr>
            <w:r>
              <w:rPr>
                <w:sz w:val="18"/>
              </w:rPr>
              <w:t>A2_drop_4</w:t>
            </w:r>
          </w:p>
        </w:tc>
        <w:tc>
          <w:tcPr>
            <w:tcW w:w="1700" w:type="dxa"/>
            <w:shd w:fill="F7F9FB"/>
            <w:vAlign w:val="center"/>
          </w:tcPr>
          <w:p>
            <w:pPr>
              <w:spacing w:after="0" w:line="240"/>
              <w:jc w:val="center"/>
            </w:pPr>
            <w:r>
              <w:rPr>
                <w:sz w:val="18"/>
              </w:rPr>
              <w:t>0.8573</w:t>
            </w:r>
          </w:p>
        </w:tc>
        <w:tc>
          <w:tcPr>
            <w:tcW w:w="1700" w:type="dxa"/>
            <w:shd w:fill="F7F9FB"/>
            <w:vAlign w:val="center"/>
          </w:tcPr>
          <w:p>
            <w:pPr>
              <w:spacing w:after="0" w:line="240"/>
              <w:jc w:val="center"/>
            </w:pPr>
            <w:r>
              <w:rPr>
                <w:sz w:val="18"/>
              </w:rPr>
              <w:t>0.0120</w:t>
            </w:r>
          </w:p>
        </w:tc>
        <w:tc>
          <w:tcPr>
            <w:tcW w:w="1700" w:type="dxa"/>
            <w:shd w:fill="F7F9FB"/>
            <w:vAlign w:val="center"/>
          </w:tcPr>
          <w:p>
            <w:pPr>
              <w:spacing w:after="0" w:line="240"/>
              <w:jc w:val="center"/>
            </w:pPr>
            <w:r>
              <w:rPr>
                <w:sz w:val="18"/>
              </w:rPr>
              <w:t>0.0026</w:t>
            </w:r>
          </w:p>
        </w:tc>
      </w:tr>
      <w:tr>
        <w:trPr>
          <w:cantSplit/>
        </w:trPr>
        <w:tc>
          <w:tcPr>
            <w:tcW w:w="4500" w:type="dxa"/>
            <w:shd w:fill="FFFFFF"/>
            <w:vAlign w:val="center"/>
          </w:tcPr>
          <w:p>
            <w:pPr>
              <w:spacing w:after="0" w:line="240"/>
              <w:jc w:val="left"/>
            </w:pPr>
            <w:r>
              <w:rPr>
                <w:sz w:val="18"/>
              </w:rPr>
              <w:t>A2_drop_5</w:t>
            </w:r>
          </w:p>
        </w:tc>
        <w:tc>
          <w:tcPr>
            <w:tcW w:w="1700" w:type="dxa"/>
            <w:shd w:fill="FFFFFF"/>
            <w:vAlign w:val="center"/>
          </w:tcPr>
          <w:p>
            <w:pPr>
              <w:spacing w:after="0" w:line="240"/>
              <w:jc w:val="center"/>
            </w:pPr>
            <w:r>
              <w:rPr>
                <w:sz w:val="18"/>
              </w:rPr>
              <w:t>0.8601</w:t>
            </w:r>
          </w:p>
        </w:tc>
        <w:tc>
          <w:tcPr>
            <w:tcW w:w="1700" w:type="dxa"/>
            <w:shd w:fill="FFFFFF"/>
            <w:vAlign w:val="center"/>
          </w:tcPr>
          <w:p>
            <w:pPr>
              <w:spacing w:after="0" w:line="240"/>
              <w:jc w:val="center"/>
            </w:pPr>
            <w:r>
              <w:rPr>
                <w:sz w:val="18"/>
              </w:rPr>
              <w:t>0.0213</w:t>
            </w:r>
          </w:p>
        </w:tc>
        <w:tc>
          <w:tcPr>
            <w:tcW w:w="1700" w:type="dxa"/>
            <w:shd w:fill="FFFFFF"/>
            <w:vAlign w:val="center"/>
          </w:tcPr>
          <w:p>
            <w:pPr>
              <w:spacing w:after="0" w:line="240"/>
              <w:jc w:val="center"/>
            </w:pPr>
            <w:r>
              <w:rPr>
                <w:sz w:val="18"/>
              </w:rPr>
              <w:t>-0.0002</w:t>
            </w:r>
          </w:p>
        </w:tc>
      </w:tr>
    </w:tbl>
    <w:p>
      <w:pPr>
        <w:spacing w:after="120" w:line="264" w:lineRule="auto"/>
      </w:pPr>
      <w:r>
        <w:t xml:space="preserve"/>
      </w:r>
    </w:p>
    <w:p>
      <w:r>
        <w:t>Kontrolė, A1 ir A2 vertinami tais pačiais mokymo CV skaidymais, paliekant pagrindinio modelio parametrus. Teigiamas BA kritimas reiškia pablogėjimą, palyginti su kontrole. A3 visa parametrų jautrumo lentelė pateikta ablation_A3_grid_cv.csv. A4 kalibravimo rezultatai aptarti kalibravimo skyriuje.</w:t>
      </w:r>
    </w:p>
    <w:p>
      <w:pPr>
        <w:spacing w:after="120" w:line="264" w:lineRule="auto"/>
      </w:pPr>
      <w:r>
        <w:t xml:space="preserve">RBF-SVM: FP = 57, FN = 80; klaidingos didelio pasitikėjimo prognozės = 23; įrašų, kurių tikimybė nuo slenksčio skiriasi ne daugiau kaip 0,05, = 29. Originalių eilučių numeriai ir požymiai pateikti error_examples.csv. Klaidų analizė yra aprašomoji ir modelio atrankos nekeičia.</w:t>
      </w:r>
    </w:p>
    <w:p>
      <w:r>
        <w:t>Aukšto pasitikėjimo klaida reiškia klaidingą 1 klasę su tikimybe virš 0,9 arba klaidingą 0 klasę su 1 klasės tikimybe žemiau 0,1. Tai aprašomoji analizė; jos pagrindu modelis nekeičiamas.</w:t>
      </w:r>
    </w:p>
    <w:p>
      <w:r>
        <w:br w:type="page"/>
      </w:r>
    </w:p>
    <w:p>
      <w:pPr>
        <w:pStyle w:val="Heading1"/>
      </w:pPr>
      <w:r>
        <w:t>Išvados ir ribotumai</w:t>
      </w:r>
    </w:p>
    <w:p>
      <w:pPr>
        <w:spacing w:after="120" w:line="264" w:lineRule="auto"/>
      </w:pPr>
      <w:r>
        <w:t xml:space="preserve">Didžiausias atskirų testinių paleidimų BA buvo SVM_calibrated modelio: 0.8365. Tai aprašomasis palyginimas; modelis iš naujo neparenkamas pagal testą.</w:t>
      </w:r>
    </w:p>
    <w:p>
      <w:pPr>
        <w:spacing w:after="120" w:line="264" w:lineRule="auto"/>
      </w:pPr>
      <w:r>
        <w:t xml:space="preserve">Pagrindinis RBF-SVM, palyginti su iš anksto pasirinktu kNN baseline, BA pakeitė 0.0059. H₁ nepatvirtinta: bent vienas būtinas kriterijus neįvykdytas.</w:t>
      </w:r>
    </w:p>
    <w:p>
      <w:pPr>
        <w:spacing w:after="120" w:line="264" w:lineRule="auto"/>
      </w:pPr>
      <w:r>
        <w:t xml:space="preserve">Trijų MLP sėklų vidutinis BA = 0.8237, standartinis nuokrypis = 0.0118. Palankiausia sėkla nenaudojama kaip vienintelis MLP rezultatas.</w:t>
      </w:r>
    </w:p>
    <w:p>
      <w:pPr>
        <w:spacing w:after="120" w:line="264" w:lineRule="auto"/>
      </w:pPr>
      <w:r>
        <w:t xml:space="preserve">Esant didžiausiam σ = 0.50, SVM vidutinis BA = 0.6655, pokytis nuo varianto be triukšmo = -0.1710. Sintetinis triukšmas neįrodo atsparumo realiam mikrofonui.</w:t>
      </w:r>
    </w:p>
    <w:p>
      <w:pPr>
        <w:spacing w:after="120" w:line="264" w:lineRule="auto"/>
      </w:pPr>
      <w:r>
        <w:t xml:space="preserve">Kalbėtojų ir įrašų grupių ID nežinomi. Todėl išvados apribotos šiuo eilučių skaidymu, o bootstrap neapima galimos fragmentų priklausomybės.</w:t>
      </w:r>
    </w:p>
    <w:p>
      <w:pPr>
        <w:spacing w:after="120" w:line="264" w:lineRule="auto"/>
      </w:pPr>
      <w:r>
        <w:t xml:space="preserve">Šio paleidimo laikas iki suvestinės: 22.9 s; išsaugotas CV laikas: 79.7 s; modelio failas: 47089 baitų. Prognozė vienam įrašui: 0.000237 s; 1 000 įrašų: 0.001745 s. Tęsiant po klaidos, šio paleidimo laikas neapima ankstesnio CV. Atmintis registruojama tik pasirinktiems kintamiesiems.</w:t>
      </w:r>
    </w:p>
    <w:p>
      <w:r>
        <w:t>DI naudotas kodui ir tekstui parengti. Šios ataskaitos skaitiniai algoritmų rodikliai paimti iš MATLAB išvesčių. Nežinomi kalbėtojų ID ir galimi susiję fragmentai riboja rezultatų apibendrinimą.</w:t>
      </w:r>
    </w:p>
    <w:p>
      <w:pPr>
        <w:pStyle w:val="Heading2"/>
      </w:pPr>
      <w:r>
        <w:t>Šaltiniai</w:t>
      </w:r>
    </w:p>
    <w:p>
      <w:pPr>
        <w:spacing w:after="120"/>
      </w:pPr>
      <w:r>
        <w:rPr>
          <w:sz w:val="18"/>
        </w:rPr>
        <w:t>Užduoties šaltinis: ISkoliokviumas_A_Petkus_PEPfm26.pdf, 1–7 psl.</w:t>
      </w:r>
    </w:p>
    <w:p>
      <w:pPr>
        <w:spacing w:after="120"/>
      </w:pPr>
      <w:r>
        <w:rPr>
          <w:sz w:val="18"/>
        </w:rPr>
        <w:t>OpenML Phoneme ID 1489, versija 1. https://www.openml.org/d/1489</w:t>
      </w:r>
    </w:p>
    <w:p>
      <w:pPr>
        <w:spacing w:after="120"/>
      </w:pPr>
      <w:r>
        <w:rPr>
          <w:sz w:val="18"/>
        </w:rPr>
        <w:t>Originalus ARFF: https://openml.org/data/v1/download/1592281/phoneme.arff</w:t>
      </w:r>
    </w:p>
    <w:p>
      <w:pPr>
        <w:spacing w:after="120"/>
      </w:pPr>
      <w:r>
        <w:rPr>
          <w:sz w:val="18"/>
        </w:rPr>
        <w:t>MathWorks fitcsvm. https://www.mathworks.com/help/stats/fitcsvm.html</w:t>
      </w:r>
    </w:p>
    <w:p>
      <w:pPr>
        <w:spacing w:after="120"/>
      </w:pPr>
      <w:r>
        <w:rPr>
          <w:sz w:val="18"/>
        </w:rPr>
        <w:t>MathWorks fitPosterior. https://www.mathworks.com/help/stats/classreg.learning.classif.compactclassificationsvm.fitposterior.html</w:t>
      </w:r>
    </w:p>
    <w:p>
      <w:pPr>
        <w:spacing w:after="120"/>
      </w:pPr>
      <w:r>
        <w:rPr>
          <w:sz w:val="18"/>
        </w:rPr>
        <w:t>MathWorks fitcnet. https://www.mathworks.com/help/stats/fitcnet.html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Matlab101" Type="http://schemas.openxmlformats.org/officeDocument/2006/relationships/image" Target="media/matlab_101.png"/><Relationship Id="rIdMatlab102" Type="http://schemas.openxmlformats.org/officeDocument/2006/relationships/image" Target="media/matlab_102.png"/><Relationship Id="rIdMatlab103" Type="http://schemas.openxmlformats.org/officeDocument/2006/relationships/image" Target="media/matlab_103.png"/><Relationship Id="rIdMatlab104" Type="http://schemas.openxmlformats.org/officeDocument/2006/relationships/image" Target="media/matlab_1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Kalbos garso fonemų klasifikavimo įgyvendinimas</dc:title>
  <dc:subject/>
  <dc:creator>Aivaras Petkus</dc:creator>
  <cp:keywords/>
  <dc:description>generated by python-docx</dc:description>
  <cp:lastModifiedBy/>
  <cp:revision>1</cp:revision>
  <dcterms:created xsi:type="dcterms:W3CDTF">2013-12-23T23:15:00Z</dcterms:created>
  <dcterms:modified xsi:type="dcterms:W3CDTF">2013-12-23T23:15:00Z</dcterms:modified>
  <cp:category/>
</cp:coreProperties>
</file>