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7"/>
          </w:tcPr>
          <w:p>
            <w:pPr>
              <w:spacing w:before="0" w:after="60"/>
              <w:keepNext/>
              <w:jc w:val="center"/>
            </w:pPr>
            <w:r>
              <w:rPr>
                <w:rFonts w:ascii="KMR-Apparat-Regular" w:hAnsi="KMR-Apparat-Regular"/>
                <w:sz w:val="14px"/>
              </w:rPr>
              <w:t xml:space="default">Tranche de revenu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20"/>
              </w:rPr>
              <w:t xml:space="default">District électoral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Nombre de ménages propriétaires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&lt; 19 999 $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20 - 39 999 $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40 - 59 999 $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60 - 79 999 $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80 - 99 999 $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100 - 124 999 $ (%)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&gt; 125 000 $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Auteuil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7 240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CE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41,2 %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Marc-Aurèle-Fortin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6 840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9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32,2 %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Marigot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30,8 %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Renaud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D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B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30,4 %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Saint-Bruno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C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42,9 %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Saint-François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E9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8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33,1 %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Saint-Martin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D3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37,2 %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Saint-Vincent-de-Paul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0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40,1 %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Sainte-Dorothée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7 650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5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49,5 %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Sainte-Rose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7 020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C8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46,6 %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Souvenir-Labelle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2 960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2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Chomedey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4 140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D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28,9 %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Val-des-Arbres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4 670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4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50,0 %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Vimont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CF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40,2 %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Concorde-Bois-de-Boulogne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9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31,9 %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Duvernay-Pont-Viau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4 170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9D4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36,4 %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Fabreville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8 260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48,6 %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L'Abord-à-Plouffe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3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23,8 %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L'Orée-des-Bois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6 650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17,0 %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D2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38,0 %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Laval-des-Rapides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30,9 %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Laval-les-Îles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6 100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0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39,6 %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2024-11-02T11:43:54Z</dcterms:modified>
  <cp:category/>
</cp:coreProperties>
</file>