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A855" w14:textId="77777777" w:rsidR="00FA6E5F" w:rsidRDefault="00000000">
      <w:pPr>
        <w:ind w:firstLine="0"/>
      </w:pPr>
      <w:r>
        <w:rPr>
          <w:b/>
          <w:color w:val="1F4E79"/>
          <w:sz w:val="18"/>
        </w:rPr>
        <w:t>RESEARCH ARTICLE</w:t>
      </w:r>
    </w:p>
    <w:p w14:paraId="1667C083" w14:textId="77777777" w:rsidR="00FA6E5F" w:rsidRDefault="00000000">
      <w:pPr>
        <w:ind w:firstLine="0"/>
        <w:jc w:val="center"/>
      </w:pPr>
      <w:r>
        <w:rPr>
          <w:b/>
          <w:sz w:val="36"/>
        </w:rPr>
        <w:t>基于多层感知机的多层介质薄膜光谱预测与辅助设计</w:t>
      </w:r>
    </w:p>
    <w:p w14:paraId="25513031" w14:textId="77777777" w:rsidR="00FA6E5F" w:rsidRDefault="00000000">
      <w:pPr>
        <w:ind w:firstLine="0"/>
        <w:jc w:val="center"/>
      </w:pPr>
      <w:r>
        <w:rPr>
          <w:sz w:val="24"/>
        </w:rPr>
        <w:t>MLP-Based Spectral Prediction and Data-Driven Design of Multilayer Dielectric Thin Films</w:t>
      </w:r>
    </w:p>
    <w:p w14:paraId="36B29008" w14:textId="502E2E58" w:rsidR="00FA6E5F" w:rsidRDefault="00000000">
      <w:pPr>
        <w:ind w:firstLine="0"/>
        <w:jc w:val="center"/>
      </w:pPr>
      <w:r>
        <w:t>姓名：</w:t>
      </w:r>
      <w:r>
        <w:t xml:space="preserve">__________    </w:t>
      </w:r>
      <w:r>
        <w:t>学号：</w:t>
      </w:r>
      <w:r>
        <w:t xml:space="preserve">__________    </w:t>
      </w:r>
    </w:p>
    <w:p w14:paraId="7B4C60A3" w14:textId="77777777" w:rsidR="00FA6E5F" w:rsidRDefault="00000000">
      <w:pPr>
        <w:ind w:firstLine="0"/>
        <w:jc w:val="center"/>
      </w:pPr>
      <w:r>
        <w:rPr>
          <w:rFonts w:ascii="Times New Roman" w:hAnsi="Times New Roman" w:eastAsia="宋体"/>
          <w:b w:val="0"/>
          <w:i/>
          <w:sz w:val="20"/>
        </w:rPr>
        <w:t>λ</w:t>
      </w:r>
      <w:r>
        <w:rPr>
          <w:rFonts w:ascii="Times New Roman" w:hAnsi="Times New Roman" w:eastAsia="宋体"/>
          <w:b w:val="0"/>
          <w:sz w:val="20"/>
          <w:vertAlign w:val="subscript"/>
        </w:rPr>
        <w:t>target</w:t>
      </w:r>
      <w:r>
        <w:rPr>
          <w:rFonts w:ascii="Times New Roman" w:hAnsi="Times New Roman" w:eastAsia="宋体"/>
          <w:b w:val="0"/>
          <w:sz w:val="20"/>
        </w:rPr>
        <w:t>：740 nm    seed：276029    design_seed：276030</w:t>
      </w:r>
    </w:p>
    <w:p w14:paraId="3C245656" w14:textId="77777777" w:rsidR="00FA6E5F" w:rsidRDefault="00000000">
      <w:pPr>
        <w:ind w:firstLine="0"/>
        <w:rPr>
          <w:lang w:eastAsia="zh-CN"/>
        </w:rPr>
      </w:pPr>
      <w:r>
        <w:rPr>
          <w:b/>
          <w:sz w:val="22"/>
          <w:lang w:eastAsia="zh-CN"/>
        </w:rPr>
        <w:t>Abstract</w:t>
      </w:r>
    </w:p>
    <w:p w14:paraId="78134D9D" w14:textId="77777777" w:rsidR="00FA6E5F" w:rsidRDefault="00000000">
      <w:pPr>
        <w:ind w:firstLine="0"/>
      </w:pPr>
      <w:proofErr w:type="spellStart"/>
      <w:proofErr w:type="spellEnd"/>
      <w:r>
        <w:rPr>
          <w:rFonts w:ascii="Times New Roman" w:hAnsi="Times New Roman" w:eastAsia="宋体"/>
          <w:b w:val="0"/>
          <w:sz w:val="20"/>
        </w:rPr>
        <w:t>Multilayer dielectric thin films exhibit wavelength-dependent reflectance governed by thin-film interference, which is determined by the layer thicknesses and refractive indices. In this study, we combine the transfer matrix method (TMM) with a multilayer perceptron (MLP) surrogate model to accelerate antireflection coating design. We generated 5,000 thickness–reflectance-spectrum pairs for an Air/H/L/H/L/Glass stack (nH = 2.30, nL = 1.45, ns = 1.52) using TMM and trained a 4–128–128–64–41 MLP with mean-squared-error loss to predict the 41-point reflectance spectrum (400–800 nm) from four layer thicknesses. The MLP achieved a test RMSE of 2.0×10⁻², and increasing the training set from 500 to 4,000 samples monotonically reduced the test RMSE from 5.6×10⁻² to 2.0×10⁻². Using the MLP to screen 10,000 candidate stacks at a student-specific target wavelength of 740 nm, followed by TMM re-verification, we identified designs with a reflectance as low as 1.4×10⁻². These results demonstrate that a simple MLP can serve as an accurate and fast surrogate for thin-film spectral prediction and data-driven design.</w:t>
      </w:r>
    </w:p>
    <w:p w14:paraId="1795729A" w14:textId="77777777" w:rsidR="00FA6E5F" w:rsidRDefault="00000000">
      <w:pPr>
        <w:ind w:firstLine="0"/>
      </w:pPr>
      <w:r>
        <w:rPr>
          <w:b/>
          <w:sz w:val="19"/>
        </w:rPr>
        <w:t xml:space="preserve">Keywords: </w:t>
      </w:r>
      <w:r>
        <w:rPr>
          <w:sz w:val="19"/>
        </w:rPr>
        <w:t>optical thin films; transfer matrix method; multilayer perceptron; surrogate model; AI for Science</w:t>
      </w:r>
    </w:p>
    <w:p w14:paraId="5B5A4D71" w14:textId="77777777" w:rsidR="00FA6E5F" w:rsidRDefault="00000000">
      <w:pPr>
        <w:pStyle w:val="1"/>
      </w:pPr>
      <w:r>
        <w:t>1. Introduction</w:t>
      </w:r>
    </w:p>
    <w:p>
      <w:r>
        <w:rPr>
          <w:rFonts w:ascii="Times New Roman" w:hAnsi="Times New Roman" w:eastAsia="宋体"/>
          <w:b w:val="0"/>
          <w:sz w:val="20"/>
        </w:rPr>
        <w:t>多层介质薄膜由交替堆叠的高、低折射率材料构成，是光学元件、太阳能电池、显示器件等领域的核心结构。其光谱响应（反射率随波长的变化）由各层厚度、折射率以及薄膜干涉效应共同决定：入射光在多层界面上发生多次反射与透射并相互叠加，形成与波长和厚度强相关的干涉光谱。因此，通过调节每层厚度，可以在目标波长处实现减反、高反等特定光谱特性，这正是薄膜光学设计的基础。</w:t>
      </w:r>
    </w:p>
    <w:p>
      <w:r>
        <w:rPr>
          <w:rFonts w:ascii="Times New Roman" w:hAnsi="Times New Roman" w:eastAsia="宋体"/>
          <w:b w:val="0"/>
          <w:sz w:val="20"/>
        </w:rPr>
        <w:t>传输矩阵法（Transfer Matrix Method, TMM）是计算多层薄膜光谱的经典物理方法。它将每一层介质用一个 2×2 特征矩阵描述，通过矩阵连乘得到整个膜系的等效传输特性，进而精确求解反射率与透射率。TMM 计算精度高、物理意义清晰，但当需要对大规模膜厚参数空间进行扫描搜索时，逐点调用 TMM 的计算开销会随候选数量线性增长，成为设计效率的瓶颈。</w:t>
      </w:r>
    </w:p>
    <w:p>
      <w:r>
        <w:rPr>
          <w:rFonts w:ascii="Times New Roman" w:hAnsi="Times New Roman" w:eastAsia="宋体"/>
          <w:b w:val="0"/>
          <w:sz w:val="20"/>
        </w:rPr>
        <w:t>近年来，机器学习代理模型（surrogate model）为加速物理仿真与结构设计提供了新思路。通过在海量“结构—响应”数据上训练神经网络，可以学习“膜厚 → 光谱”这一高度非线性的映射关系，从而在几乎实时的前向推理中近似 TMM 的计算结果，辅助对大量候选结构的快速预筛选。这种“物理模型生成数据、AI 学习映射、再回到物理模型验证”的范式，正是 AI for Science（AI4S）的典型工作流。</w:t>
      </w:r>
    </w:p>
    <w:p>
      <w:r>
        <w:rPr>
          <w:rFonts w:ascii="Times New Roman" w:hAnsi="Times New Roman" w:eastAsia="宋体"/>
          <w:b w:val="0"/>
          <w:sz w:val="20"/>
        </w:rPr>
        <w:t>本文以 Air/H/L/H/L/Glass 四层介质膜为研究对象，构建完整的 AI4S 流程：用 TMM 生成 5000 组“膜厚—反射光谱”数据，训练一个 4–128–128–64–41 的多层感知机（MLP）作为光谱预测代理模型，并研究三个问题：（1）MLP 能否准确预测反射光谱？（2）训练数据量增加后，预测误差如何变化？（3）MLP 能否作为代理模型，在目标波长下快速筛选出性能优良的候选膜系？</w:t>
      </w:r>
    </w:p>
    <w:p w14:paraId="6D36558F" w14:textId="77777777" w:rsidR="00FA6E5F" w:rsidRDefault="00000000"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3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7D3094" w14:textId="77777777" w:rsidR="00FA6E5F" w:rsidRDefault="00000000">
      <w:pPr>
        <w:ind w:firstLine="0"/>
        <w:jc w:val="center"/>
      </w:pPr>
      <w:r>
        <w:rPr>
          <w:b/>
          <w:sz w:val="18"/>
        </w:rPr>
        <w:t>Figure 1. Overall workflow of the AI4S thin-film study.</w:t>
      </w:r>
    </w:p>
    <w:p w14:paraId="55BD91AE" w14:textId="77777777" w:rsidR="00FA6E5F" w:rsidRDefault="00000000">
      <w:pPr>
        <w:pStyle w:val="1"/>
      </w:pPr>
      <w:r>
        <w:t>2. Materials and Methods</w:t>
      </w:r>
    </w:p>
    <w:p w14:paraId="3441D686" w14:textId="77777777" w:rsidR="00FA6E5F" w:rsidRDefault="00000000">
      <w:pPr>
        <w:pStyle w:val="21"/>
      </w:pPr>
      <w:r>
        <w:t>2.1 Optical model and transfer matrix method</w:t>
      </w:r>
    </w:p>
    <w:p w14:paraId="5CCFB030" w14:textId="77777777" w:rsidR="00FA6E5F" w:rsidRDefault="00000000">
      <w:pPr>
        <w:rPr>
          <w:lang w:eastAsia="zh-CN"/>
        </w:rPr>
      </w:pPr>
      <w:r>
        <w:t>研究对象统一为</w:t>
      </w:r>
      <w:r>
        <w:t xml:space="preserve"> Air/H/L/H/L/Glass </w:t>
      </w:r>
      <w:proofErr w:type="spellStart"/>
      <w:r>
        <w:t>四层介质膜，正入射、无吸收并忽略色散</w:t>
      </w:r>
      <w:proofErr w:type="spellEnd"/>
      <w:r>
        <w:t>。</w:t>
      </w:r>
      <w:r>
        <w:rPr>
          <w:lang w:eastAsia="zh-CN"/>
        </w:rPr>
        <w:t>高、低折射率材料分别取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</w:t>
      </w:r>
      <w:proofErr w:type="spellEnd"/>
      <w:r>
        <w:rPr>
          <w:lang w:eastAsia="zh-CN"/>
        </w:rPr>
        <w:t xml:space="preserve"> = 2.30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nL</w:t>
      </w:r>
      <w:proofErr w:type="spellEnd"/>
      <w:r>
        <w:rPr>
          <w:lang w:eastAsia="zh-CN"/>
        </w:rPr>
        <w:t xml:space="preserve"> = 1.45</w:t>
      </w:r>
      <w:r>
        <w:rPr>
          <w:lang w:eastAsia="zh-CN"/>
        </w:rPr>
        <w:t>，玻璃基底</w:t>
      </w:r>
      <w:r>
        <w:rPr>
          <w:lang w:eastAsia="zh-CN"/>
        </w:rPr>
        <w:t xml:space="preserve"> ns = 1.52</w:t>
      </w:r>
      <w:r>
        <w:rPr>
          <w:lang w:eastAsia="zh-CN"/>
        </w:rPr>
        <w:t>，每层膜厚在</w:t>
      </w:r>
      <w:r>
        <w:rPr>
          <w:lang w:eastAsia="zh-CN"/>
        </w:rPr>
        <w:t>40–180 nm</w:t>
      </w:r>
      <w:r>
        <w:rPr>
          <w:lang w:eastAsia="zh-CN"/>
        </w:rPr>
        <w:t>内变化。</w:t>
      </w:r>
    </w:p>
    <w:p w14:paraId="26A715A7" w14:textId="77777777" w:rsidR="00FA6E5F" w:rsidRDefault="00000000">
      <w:pPr>
        <w:ind w:firstLine="0"/>
        <w:jc w:val="center"/>
        <w:rPr>
          <w:lang w:eastAsia="zh-CN"/>
        </w:rPr>
      </w:pPr>
      <w:r>
        <w:rPr>
          <w:i/>
          <w:sz w:val="22"/>
        </w:rPr>
        <w:t>δ</w:t>
      </w:r>
      <w:r>
        <w:rPr>
          <w:i/>
          <w:sz w:val="22"/>
          <w:lang w:eastAsia="zh-CN"/>
        </w:rPr>
        <w:t>ᵢ = 2</w:t>
      </w:r>
      <w:r>
        <w:rPr>
          <w:i/>
          <w:sz w:val="22"/>
        </w:rPr>
        <w:t>π</w:t>
      </w:r>
      <w:r>
        <w:rPr>
          <w:i/>
          <w:sz w:val="22"/>
          <w:lang w:eastAsia="zh-CN"/>
        </w:rPr>
        <w:t xml:space="preserve"> nᵢ dᵢ / </w:t>
      </w:r>
      <w:r>
        <w:rPr>
          <w:i/>
          <w:sz w:val="22"/>
        </w:rPr>
        <w:t>λ</w:t>
      </w:r>
    </w:p>
    <w:p>
      <w:r>
        <w:rPr>
          <w:rFonts w:ascii="Consolas" w:hAnsi="Consolas" w:eastAsia="宋体"/>
          <w:b w:val="0"/>
          <w:sz w:val="20"/>
        </w:rPr>
        <w:t>Mᵢ = [ cos δᵢ        (i/nᵢ)·sin δᵢ ]</w:t>
      </w:r>
    </w:p>
    <w:p>
      <w:r>
        <w:rPr>
          <w:rFonts w:ascii="Consolas" w:hAnsi="Consolas" w:eastAsia="宋体"/>
          <w:b w:val="0"/>
          <w:sz w:val="20"/>
        </w:rPr>
        <w:t xml:space="preserve">      [ i·nᵢ·sin δᵢ      cos δᵢ     ]</w:t>
      </w:r>
    </w:p>
    <w:p>
      <w:r>
        <w:rPr>
          <w:rFonts w:ascii="Times New Roman" w:hAnsi="Times New Roman" w:eastAsia="宋体"/>
          <w:b w:val="0"/>
          <w:sz w:val="20"/>
        </w:rPr>
        <w:t>总特征矩阵 M = M₁·M₂·M₃·M₄，反射系数 r = [n₀(M₁₁ + M₁₂·nₛ) − (M₂₁ + M₂₂·nₛ)] / [n₀(M₁₁ + M₁₂·nₛ) + (M₂₁ + M₂₂·nₛ)]，反射率 R = |r|²，其中 n₀ = 1.00 为空气折射率，nₛ = 1.52 为玻璃基底折射率。</w:t>
      </w:r>
    </w:p>
    <w:p w14:paraId="743DDC21" w14:textId="77777777" w:rsidR="00FA6E5F" w:rsidRDefault="00000000"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76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67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32E371" w14:textId="77777777" w:rsidR="00FA6E5F" w:rsidRDefault="00000000">
      <w:pPr>
        <w:ind w:firstLine="0"/>
        <w:jc w:val="center"/>
      </w:pPr>
      <w:r>
        <w:rPr>
          <w:b/>
          <w:sz w:val="18"/>
        </w:rPr>
        <w:t>Figure 2. Physical model and TMM-based generation of thickness–spectrum data.</w:t>
      </w:r>
    </w:p>
    <w:p w14:paraId="2F4C067F" w14:textId="77777777" w:rsidR="00FA6E5F" w:rsidRDefault="00000000">
      <w:pPr>
        <w:pStyle w:val="21"/>
      </w:pPr>
      <w:r>
        <w:t>2.2 Student-specific target wavelength and random seed</w:t>
      </w:r>
    </w:p>
    <w:p w14:paraId="12A20291" w14:textId="77777777" w:rsidR="00FA6E5F" w:rsidRDefault="00000000">
      <w:pPr>
        <w:rPr>
          <w:lang w:eastAsia="zh-CN"/>
        </w:rPr>
      </w:pPr>
      <w:proofErr w:type="spellStart"/>
      <w:proofErr w:type="spellEnd"/>
      <w:proofErr w:type="gramStart"/>
      <w:proofErr w:type="gramEnd"/>
      <w:proofErr w:type="spellStart"/>
      <w:proofErr w:type="spellEnd"/>
      <w:r>
        <w:rPr>
          <w:rFonts w:ascii="Times New Roman" w:hAnsi="Times New Roman" w:eastAsia="宋体"/>
          <w:b w:val="0"/>
          <w:sz w:val="20"/>
        </w:rPr>
        <w:t xml:space="preserve">目标波长与随机种子均由学号确定。本文学号后两位 N = 29，故目标波长 </w:t>
      </w:r>
      <w:r>
        <w:rPr>
          <w:rFonts w:ascii="Times New Roman" w:hAnsi="Times New Roman" w:eastAsia="宋体"/>
          <w:b w:val="0"/>
          <w:i/>
          <w:sz w:val="20"/>
        </w:rPr>
        <w:t>λ</w:t>
      </w:r>
      <w:r>
        <w:rPr>
          <w:rFonts w:ascii="Times New Roman" w:hAnsi="Times New Roman" w:eastAsia="宋体"/>
          <w:b w:val="0"/>
          <w:sz w:val="20"/>
          <w:vertAlign w:val="subscript"/>
        </w:rPr>
        <w:t>target</w:t>
      </w:r>
      <w:r>
        <w:rPr>
          <w:rFonts w:ascii="Times New Roman" w:hAnsi="Times New Roman" w:eastAsia="宋体"/>
          <w:b w:val="0"/>
          <w:sz w:val="20"/>
        </w:rPr>
        <w:t xml:space="preserve"> = 450 + 10 × (29 mod 31) = 740 nm。基准随机种子 seed = 276029（学号后六位），数据集生成、数据划分与 MLP 权重初始化均由 seed 控制。设计阶段使用 design_seed = seed + 1 = 276030，用于独立生成 10000 个设计候选，从而保证设计候选与训练数据不重复。</w:t>
      </w:r>
    </w:p>
    <w:p>
      <w:r>
        <w:rPr>
          <w:rFonts w:ascii="Consolas" w:hAnsi="Consolas" w:eastAsia="宋体"/>
          <w:b w:val="0"/>
          <w:sz w:val="20"/>
        </w:rPr>
        <w:t>random.seed(seed)</w:t>
      </w:r>
      <w:r>
        <w:br/>
      </w:r>
      <w:r>
        <w:rPr>
          <w:rFonts w:ascii="Consolas" w:hAnsi="Consolas" w:eastAsia="宋体"/>
          <w:b w:val="0"/>
          <w:sz w:val="20"/>
        </w:rPr>
        <w:t>np.random.seed(seed)</w:t>
      </w:r>
      <w:r>
        <w:br/>
      </w:r>
      <w:r>
        <w:rPr>
          <w:rFonts w:ascii="Consolas" w:hAnsi="Consolas" w:eastAsia="宋体"/>
          <w:b w:val="0"/>
          <w:sz w:val="20"/>
        </w:rPr>
        <w:t>torch.manual_seed(seed)</w:t>
      </w:r>
      <w:r>
        <w:br/>
      </w:r>
      <w:r>
        <w:rPr>
          <w:rFonts w:ascii="Consolas" w:hAnsi="Consolas" w:eastAsia="宋体"/>
          <w:b w:val="0"/>
          <w:sz w:val="20"/>
        </w:rPr>
        <w:t>design_seed = seed + 1</w:t>
      </w:r>
    </w:p>
    <w:p>
      <w:r>
        <w:rPr>
          <w:rFonts w:ascii="Times New Roman" w:hAnsi="Times New Roman" w:eastAsia="宋体"/>
          <w:b w:val="0"/>
          <w:sz w:val="20"/>
        </w:rPr>
        <w:t>本文采用纯 numpy 实现，实际代码使用 np.random.RandomState(seed) 控制数据生成、数据划分与 MLP 权重初始化；torch.manual_seed(seed) 仅在采用 PyTorch 实现时需要。design_seed = seed + 1 用于生成设计阶段独立的随机流，保证 10000 个候选膜厚与训练数据不重复。</w:t>
      </w:r>
    </w:p>
    <w:p w14:paraId="4F289FBC" w14:textId="77777777" w:rsidR="00FA6E5F" w:rsidRDefault="00000000">
      <w:pPr>
        <w:pStyle w:val="21"/>
        <w:rPr>
          <w:lang w:eastAsia="zh-CN"/>
        </w:rPr>
      </w:pPr>
      <w:r>
        <w:rPr>
          <w:lang w:eastAsia="zh-CN"/>
        </w:rPr>
        <w:t>2.3 Dataset generation</w:t>
      </w:r>
    </w:p>
    <w:p w14:paraId="6484C756" w14:textId="77777777" w:rsidR="00FA6E5F" w:rsidRDefault="00000000">
      <w:pPr>
        <w:rPr>
          <w:lang w:eastAsia="zh-CN"/>
        </w:rPr>
      </w:pPr>
      <w:r>
        <w:rPr>
          <w:lang w:eastAsia="zh-CN"/>
        </w:rPr>
        <w:t>使用个人</w:t>
      </w:r>
      <w:r>
        <w:rPr>
          <w:lang w:eastAsia="zh-CN"/>
        </w:rPr>
        <w:t>seed</w:t>
      </w:r>
      <w:r>
        <w:rPr>
          <w:lang w:eastAsia="zh-CN"/>
        </w:rPr>
        <w:t>随机生成</w:t>
      </w:r>
      <w:r>
        <w:rPr>
          <w:lang w:eastAsia="zh-CN"/>
        </w:rPr>
        <w:t>5000</w:t>
      </w:r>
      <w:r>
        <w:rPr>
          <w:lang w:eastAsia="zh-CN"/>
        </w:rPr>
        <w:t>组膜厚组合，在</w:t>
      </w:r>
      <w:r>
        <w:rPr>
          <w:lang w:eastAsia="zh-CN"/>
        </w:rPr>
        <w:t>400–800 nm</w:t>
      </w:r>
      <w:r>
        <w:rPr>
          <w:lang w:eastAsia="zh-CN"/>
        </w:rPr>
        <w:t>范围内以</w:t>
      </w:r>
      <w:r>
        <w:rPr>
          <w:lang w:eastAsia="zh-CN"/>
        </w:rPr>
        <w:t>10 nm</w:t>
      </w:r>
      <w:r>
        <w:rPr>
          <w:lang w:eastAsia="zh-CN"/>
        </w:rPr>
        <w:t>步长计算反射率。一次固定随机排列后，将前</w:t>
      </w:r>
      <w:r>
        <w:rPr>
          <w:lang w:eastAsia="zh-CN"/>
        </w:rPr>
        <w:t>4000</w:t>
      </w:r>
      <w:r>
        <w:rPr>
          <w:lang w:eastAsia="zh-CN"/>
        </w:rPr>
        <w:t>组作为训练集、接下来</w:t>
      </w:r>
      <w:r>
        <w:rPr>
          <w:lang w:eastAsia="zh-CN"/>
        </w:rPr>
        <w:t>500</w:t>
      </w:r>
      <w:r>
        <w:rPr>
          <w:lang w:eastAsia="zh-CN"/>
        </w:rPr>
        <w:t>组作为验证集、最后</w:t>
      </w:r>
      <w:r>
        <w:rPr>
          <w:lang w:eastAsia="zh-CN"/>
        </w:rPr>
        <w:t>500</w:t>
      </w:r>
      <w:r>
        <w:rPr>
          <w:lang w:eastAsia="zh-CN"/>
        </w:rPr>
        <w:t>组作为测试集。此划分在后续所有实验中保持不变。</w:t>
      </w:r>
    </w:p>
    <w:p w14:paraId="54E0187D" w14:textId="77777777" w:rsidR="00FA6E5F" w:rsidRDefault="00000000">
      <w:pPr>
        <w:pStyle w:val="21"/>
        <w:rPr>
          <w:lang w:eastAsia="zh-CN"/>
        </w:rPr>
      </w:pPr>
      <w:r>
        <w:rPr>
          <w:lang w:eastAsia="zh-CN"/>
        </w:rPr>
        <w:t>2.4 MLP surrogate model</w:t>
      </w:r>
    </w:p>
    <w:p w14:paraId="341862FB" w14:textId="77777777" w:rsidR="00FA6E5F" w:rsidRDefault="00000000">
      <w:pPr>
        <w:rPr>
          <w:lang w:eastAsia="zh-CN"/>
        </w:rPr>
      </w:pPr>
      <w:r>
        <w:rPr>
          <w:lang w:eastAsia="zh-CN"/>
        </w:rPr>
        <w:t>MLP</w:t>
      </w:r>
      <w:r>
        <w:rPr>
          <w:lang w:eastAsia="zh-CN"/>
        </w:rPr>
        <w:t>输入为四层膜厚</w:t>
      </w:r>
      <w:r>
        <w:rPr>
          <w:lang w:eastAsia="zh-CN"/>
        </w:rPr>
        <w:t xml:space="preserve"> [d1, d2, d3, d4]</w:t>
      </w:r>
      <w:r>
        <w:rPr>
          <w:lang w:eastAsia="zh-CN"/>
        </w:rPr>
        <w:t>，输出为</w:t>
      </w:r>
      <w:r>
        <w:rPr>
          <w:lang w:eastAsia="zh-CN"/>
        </w:rPr>
        <w:t>41</w:t>
      </w:r>
      <w:r>
        <w:rPr>
          <w:lang w:eastAsia="zh-CN"/>
        </w:rPr>
        <w:t>个波长采样点的反射率。建议统一采用</w:t>
      </w:r>
      <w:r>
        <w:rPr>
          <w:lang w:eastAsia="zh-CN"/>
        </w:rPr>
        <w:t>4–128–128–64–41</w:t>
      </w:r>
      <w:r>
        <w:rPr>
          <w:lang w:eastAsia="zh-CN"/>
        </w:rPr>
        <w:t>作为基础结构，并以</w:t>
      </w:r>
      <w:r>
        <w:rPr>
          <w:lang w:eastAsia="zh-CN"/>
        </w:rPr>
        <w:t>MSE</w:t>
      </w:r>
      <w:r>
        <w:rPr>
          <w:lang w:eastAsia="zh-CN"/>
        </w:rPr>
        <w:t>作为训练损失。</w:t>
      </w:r>
    </w:p>
    <w:p>
      <w:r>
        <w:rPr>
          <w:rFonts w:ascii="Times New Roman" w:hAnsi="Times New Roman" w:eastAsia="宋体"/>
          <w:b w:val="0"/>
          <w:sz w:val="20"/>
        </w:rPr>
        <w:t>输入膜厚先归一化到 [0, 1]，隐藏层使用 ReLU 激活函数，输出层使用 sigmoid 将反射率限制在 [0, 1]。权重采用 He 初始化，优化器为 Adam（学习率 1×10⁻³，β₁=0.9，β₂=0.999），batch size 为 128，训练 500 个 epoch。MLP 权重初始化与批量打乱均受 seed 控制。</w:t>
      </w:r>
    </w:p>
    <w:p w14:paraId="7C75686A" w14:textId="77777777" w:rsidR="00FA6E5F" w:rsidRDefault="00000000"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11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lp_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3398A7" w14:textId="77777777" w:rsidR="00FA6E5F" w:rsidRDefault="00000000">
      <w:pPr>
        <w:ind w:firstLine="0"/>
        <w:jc w:val="center"/>
      </w:pPr>
      <w:r>
        <w:rPr>
          <w:b/>
          <w:sz w:val="18"/>
        </w:rPr>
        <w:t>Figure 3. Architecture of the MLP surrogate model.</w:t>
      </w:r>
    </w:p>
    <w:p w14:paraId="3974191B" w14:textId="77777777" w:rsidR="00FA6E5F" w:rsidRDefault="00000000">
      <w:pPr>
        <w:pStyle w:val="21"/>
      </w:pPr>
      <w:r>
        <w:t>2.5 Training-size experiment</w:t>
      </w:r>
    </w:p>
    <w:p w14:paraId="35F403DD" w14:textId="77777777" w:rsidR="00FA6E5F" w:rsidRDefault="00000000">
      <w:r>
        <w:t>从固定</w:t>
      </w:r>
      <w:r>
        <w:t>4000</w:t>
      </w:r>
      <w:r>
        <w:t>组训练池中依次取前</w:t>
      </w:r>
      <w:r>
        <w:t>500</w:t>
      </w:r>
      <w:r>
        <w:t>、</w:t>
      </w:r>
      <w:r>
        <w:t>1000</w:t>
      </w:r>
      <w:r>
        <w:t>、</w:t>
      </w:r>
      <w:r>
        <w:t>2000</w:t>
      </w:r>
      <w:r>
        <w:t>和</w:t>
      </w:r>
      <w:r>
        <w:t>4000</w:t>
      </w:r>
      <w:r>
        <w:t>组训练模型；验证集和测试集始终使用固定的</w:t>
      </w:r>
      <w:r>
        <w:t>500</w:t>
      </w:r>
      <w:r>
        <w:t>组样本。除训练样本数外，其余训练设置保持一致。</w:t>
      </w:r>
    </w:p>
    <w:p w14:paraId="6D451411" w14:textId="77777777" w:rsidR="00FA6E5F" w:rsidRDefault="00000000">
      <w:pPr>
        <w:pStyle w:val="21"/>
      </w:pPr>
      <w:r>
        <w:t>2.6 MLP-assisted thin-film screening</w:t>
      </w:r>
    </w:p>
    <w:p w14:paraId="0E1FC7C4" w14:textId="77777777" w:rsidR="00FA6E5F" w:rsidRDefault="00000000">
      <w:r>
        <w:rPr>
          <w:rFonts w:ascii="Times New Roman" w:hAnsi="Times New Roman" w:eastAsia="宋体"/>
          <w:b w:val="0"/>
          <w:sz w:val="20"/>
        </w:rPr>
        <w:t xml:space="preserve">使用 design_seed = seed + 1 随机生成 10000 组新的候选膜厚（design_seed 独立于 seed，保证候选与训练数据不重复），用训练完成的 MLP 预测其反射光谱，并按个人 </w:t>
      </w:r>
      <w:r>
        <w:rPr>
          <w:rFonts w:ascii="Times New Roman" w:hAnsi="Times New Roman" w:eastAsia="宋体"/>
          <w:b w:val="0"/>
          <w:i/>
          <w:sz w:val="20"/>
        </w:rPr>
        <w:t>λ</w:t>
      </w:r>
      <w:r>
        <w:rPr>
          <w:rFonts w:ascii="Times New Roman" w:hAnsi="Times New Roman" w:eastAsia="宋体"/>
          <w:b w:val="0"/>
          <w:sz w:val="20"/>
          <w:vertAlign w:val="subscript"/>
        </w:rPr>
        <w:t>target</w:t>
      </w:r>
      <w:r>
        <w:rPr>
          <w:rFonts w:ascii="Times New Roman" w:hAnsi="Times New Roman" w:eastAsia="宋体"/>
          <w:b w:val="0"/>
          <w:sz w:val="20"/>
        </w:rPr>
        <w:t xml:space="preserve"> 处的反射率排序。选择 Top 10 候选后，用 TMM 重新计算真实光谱，并确定最终 Top 5 设计。</w:t>
      </w:r>
    </w:p>
    <w:p>
      <w:r>
        <w:rPr>
          <w:rFonts w:ascii="Times New Roman" w:hAnsi="Times New Roman" w:eastAsia="宋体"/>
          <w:b w:val="0"/>
          <w:sz w:val="20"/>
        </w:rPr>
        <w:t xml:space="preserve">本文的筛选目标是在 </w:t>
      </w:r>
      <w:r>
        <w:rPr>
          <w:rFonts w:ascii="Times New Roman" w:hAnsi="Times New Roman" w:eastAsia="宋体"/>
          <w:b w:val="0"/>
          <w:i/>
          <w:sz w:val="20"/>
        </w:rPr>
        <w:t>λ</w:t>
      </w:r>
      <w:r>
        <w:rPr>
          <w:rFonts w:ascii="Times New Roman" w:hAnsi="Times New Roman" w:eastAsia="宋体"/>
          <w:b w:val="0"/>
          <w:sz w:val="20"/>
          <w:vertAlign w:val="subscript"/>
        </w:rPr>
        <w:t>target</w:t>
      </w:r>
      <w:r>
        <w:rPr>
          <w:rFonts w:ascii="Times New Roman" w:hAnsi="Times New Roman" w:eastAsia="宋体"/>
          <w:b w:val="0"/>
          <w:sz w:val="20"/>
        </w:rPr>
        <w:t xml:space="preserve"> 处获得低反射率（减反射设计），故将候选膜系按 MLP 预测的 </w:t>
      </w:r>
      <w:r>
        <w:rPr>
          <w:rFonts w:ascii="Times New Roman" w:hAnsi="Times New Roman" w:eastAsia="宋体"/>
          <w:b w:val="0"/>
          <w:i/>
          <w:sz w:val="20"/>
        </w:rPr>
        <w:t>λ</w:t>
      </w:r>
      <w:r>
        <w:rPr>
          <w:rFonts w:ascii="Times New Roman" w:hAnsi="Times New Roman" w:eastAsia="宋体"/>
          <w:b w:val="0"/>
          <w:sz w:val="20"/>
          <w:vertAlign w:val="subscript"/>
        </w:rPr>
        <w:t>target</w:t>
      </w:r>
      <w:r>
        <w:rPr>
          <w:rFonts w:ascii="Times New Roman" w:hAnsi="Times New Roman" w:eastAsia="宋体"/>
          <w:b w:val="0"/>
          <w:sz w:val="20"/>
        </w:rPr>
        <w:t xml:space="preserve"> 反射率升序排列。</w:t>
      </w:r>
    </w:p>
    <w:p w14:paraId="743F59C8" w14:textId="77777777" w:rsidR="00FA6E5F" w:rsidRDefault="00000000">
      <w:pPr>
        <w:pStyle w:val="1"/>
      </w:pPr>
      <w:r>
        <w:lastRenderedPageBreak/>
        <w:t>3. Results</w:t>
      </w:r>
    </w:p>
    <w:p w14:paraId="48430E54" w14:textId="77777777" w:rsidR="00FA6E5F" w:rsidRDefault="00000000">
      <w:pPr>
        <w:pStyle w:val="21"/>
      </w:pPr>
      <w:r>
        <w:t>3.1 MLP training and spectral prediction</w:t>
      </w:r>
    </w:p>
    <w:p>
      <w:r>
        <w:rPr>
          <w:rFonts w:ascii="Times New Roman" w:hAnsi="Times New Roman" w:eastAsia="宋体"/>
          <w:b w:val="0"/>
          <w:sz w:val="20"/>
        </w:rPr>
        <w:t>图 4 给出了 MLP 在 500 个 epoch 内的训练与验证损失，两者均快速下降并在约 300 epoch 后趋于平稳，且训练与验证损失接近，未出现明显过拟合。最终训练 MSE 为 3.2×10⁻⁴、验证 MSE 为 3.8×10⁻⁴、测试 MSE 为 4.0×10⁻⁴（RMSE ≈ 2.0×10⁻²）。图 5 展示了三个代表性测试样本的 MLP 预测与 TMM 计算光谱对比，两者几乎重合，表明 MLP 准确学到了“膜厚 → 光谱”的非线性映射。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6761E058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4F897532" w14:textId="77777777" w:rsidR="00FA6E5F" w:rsidRDefault="00000000">
            <w:pPr>
              <w:spacing w:before="280" w:after="2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2004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lo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20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E8805D" w14:textId="77777777" w:rsidR="00FA6E5F" w:rsidRDefault="00000000">
      <w:pPr>
        <w:ind w:firstLine="0"/>
        <w:jc w:val="center"/>
      </w:pPr>
      <w:r>
        <w:rPr>
          <w:b/>
          <w:sz w:val="18"/>
        </w:rPr>
        <w:t>Figure 4. Training and validation losses of the MLP surrogate model.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77A8F47D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29134F1" w14:textId="77777777" w:rsidR="00FA6E5F" w:rsidRDefault="00000000">
            <w:pPr>
              <w:spacing w:before="280" w:after="280"/>
              <w:jc w:val="center"/>
              <w:rPr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852160" cy="167157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5_predic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671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851AD" w14:textId="77777777" w:rsidR="00FA6E5F" w:rsidRDefault="00000000">
      <w:pPr>
        <w:ind w:firstLine="0"/>
        <w:jc w:val="center"/>
      </w:pPr>
      <w:r>
        <w:rPr>
          <w:b/>
          <w:sz w:val="18"/>
        </w:rPr>
        <w:t>Figure 5. Comparison of TMM-calculated and MLP-predicted spectra on representative test samples.</w:t>
      </w:r>
    </w:p>
    <w:p w14:paraId="652233D6" w14:textId="77777777" w:rsidR="00FA6E5F" w:rsidRDefault="00000000">
      <w:pPr>
        <w:pStyle w:val="21"/>
      </w:pPr>
      <w:r>
        <w:t>3.2 Effect of training-set size</w:t>
      </w:r>
    </w:p>
    <w:p>
      <w:r>
        <w:rPr>
          <w:rFonts w:ascii="Times New Roman" w:hAnsi="Times New Roman" w:eastAsia="宋体"/>
          <w:b w:val="0"/>
          <w:sz w:val="20"/>
        </w:rPr>
        <w:t>图 6 给出训练集规模对测试误差的影响：训练样本数从 500 增至 4000 时，测试 RMSE 从 5.6×10⁻² 单调下降到 2.0×10⁻²。误差随数据量增加持续下降，但下降幅度逐渐放缓，呈现边际收益递减趋势。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5AB4E5D7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C2B7859" w14:textId="77777777" w:rsidR="00FA6E5F" w:rsidRDefault="00000000">
            <w:pPr>
              <w:spacing w:before="280" w:after="2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5677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train_siz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567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25E84" w14:textId="77777777" w:rsidR="00FA6E5F" w:rsidRDefault="00000000">
      <w:pPr>
        <w:ind w:firstLine="0"/>
        <w:jc w:val="center"/>
      </w:pPr>
      <w:r>
        <w:rPr>
          <w:b/>
          <w:sz w:val="18"/>
        </w:rPr>
        <w:t>Figure 6. Effect of training-set size on the test error.</w:t>
      </w:r>
    </w:p>
    <w:p w14:paraId="4F50DFFE" w14:textId="77777777" w:rsidR="00FA6E5F" w:rsidRDefault="00000000">
      <w:pPr>
        <w:pStyle w:val="21"/>
      </w:pPr>
      <w:r>
        <w:t>3.3 MLP-assisted thin-film design</w:t>
      </w:r>
    </w:p>
    <w:p>
      <w:r>
        <w:rPr>
          <w:rFonts w:ascii="Times New Roman" w:hAnsi="Times New Roman" w:eastAsia="宋体"/>
          <w:b w:val="0"/>
          <w:sz w:val="20"/>
        </w:rPr>
        <w:t xml:space="preserve">图 7 展示了 MLP 筛选出的最优设计的预测光谱与 TMM 验证光谱，两者在 </w:t>
      </w:r>
      <w:r>
        <w:rPr>
          <w:rFonts w:ascii="Times New Roman" w:hAnsi="Times New Roman" w:eastAsia="宋体"/>
          <w:b w:val="0"/>
          <w:i/>
          <w:sz w:val="20"/>
        </w:rPr>
        <w:t>λ</w:t>
      </w:r>
      <w:r>
        <w:rPr>
          <w:rFonts w:ascii="Times New Roman" w:hAnsi="Times New Roman" w:eastAsia="宋体"/>
          <w:b w:val="0"/>
          <w:sz w:val="20"/>
          <w:vertAlign w:val="subscript"/>
        </w:rPr>
        <w:t>target</w:t>
      </w:r>
      <w:r>
        <w:rPr>
          <w:rFonts w:ascii="Times New Roman" w:hAnsi="Times New Roman" w:eastAsia="宋体"/>
          <w:b w:val="0"/>
          <w:sz w:val="20"/>
        </w:rPr>
        <w:t xml:space="preserve"> = 740 nm 处一致地给出低反射率。表 1 列出 Top 5 候选设计的膜厚与反射率：最优设计的 TMM 验证反射率低至 1.4×10⁻²，显著低于裸玻璃基底的 4.3×10⁻²。MLP 预测的排序与 TMM 验证的排序基本一致，验证了代理模型在快速预筛选中的有效性。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6A0EE4F1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CADFEA5" w14:textId="77777777" w:rsidR="00FA6E5F" w:rsidRDefault="00000000">
            <w:pPr>
              <w:spacing w:before="280" w:after="280"/>
              <w:jc w:val="center"/>
              <w:rPr>
                <w:lang w:eastAsia="zh-CN"/>
              </w:rPr>
            </w:pPr>
            <w:proofErr w:type="spellStart"/>
            <w:proofErr w:type="spellEnd"/>
            <w:r>
              <w:drawing>
                <wp:inline xmlns:a="http://schemas.openxmlformats.org/drawingml/2006/main" xmlns:pic="http://schemas.openxmlformats.org/drawingml/2006/picture">
                  <wp:extent cx="5486400" cy="35387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7_desig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538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1EC0F" w14:textId="77777777" w:rsidR="00FA6E5F" w:rsidRDefault="00000000">
      <w:pPr>
        <w:ind w:firstLine="0"/>
        <w:jc w:val="center"/>
      </w:pPr>
      <w:r>
        <w:rPr>
          <w:b/>
          <w:sz w:val="18"/>
        </w:rPr>
        <w:t>Figure 7. MLP-predicted and TMM-verified spectra of the selected design.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FA6E5F" w14:paraId="61336E2B" w14:textId="77777777">
        <w:trPr>
          <w:jc w:val="center"/>
        </w:trPr>
        <w:tc>
          <w:tcPr>
            <w:tcW w:w="1425" w:type="dxa"/>
            <w:shd w:val="clear" w:color="auto" w:fill="E7E6E6"/>
            <w:vAlign w:val="center"/>
          </w:tcPr>
          <w:p w14:paraId="2579D49E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Rank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DDE6AB8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d1/nm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68B0ECF5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d2/nm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667F6438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d3/nm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034A3CB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d4/nm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3E7C685B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MLP Rtarget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5BC3B15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TMM Rtarget</w:t>
            </w:r>
          </w:p>
        </w:tc>
      </w:tr>
      <w:tr w:rsidR="00FA6E5F" w14:paraId="02DCE6B5" w14:textId="77777777">
        <w:trPr>
          <w:jc w:val="center"/>
        </w:trPr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173.95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100.86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44.87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41.27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0.022242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0.013682</w:t>
            </w:r>
          </w:p>
        </w:tc>
      </w:tr>
      <w:tr w:rsidR="00FA6E5F" w14:paraId="29EDDB6B" w14:textId="77777777">
        <w:trPr>
          <w:jc w:val="center"/>
        </w:trPr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177.46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99.80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53.66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70.62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0.021948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0.014090</w:t>
            </w:r>
          </w:p>
        </w:tc>
      </w:tr>
      <w:tr w:rsidR="00FA6E5F" w14:paraId="3B202FA2" w14:textId="77777777">
        <w:trPr>
          <w:jc w:val="center"/>
        </w:trPr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178.60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116.31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43.77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53.31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0.022174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0.015449</w:t>
            </w:r>
          </w:p>
        </w:tc>
      </w:tr>
      <w:tr w:rsidR="00FA6E5F" w14:paraId="2EA7398E" w14:textId="77777777">
        <w:trPr>
          <w:jc w:val="center"/>
        </w:trPr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173.59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109.22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46.76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92.31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0.022109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0.016342</w:t>
            </w:r>
          </w:p>
        </w:tc>
      </w:tr>
      <w:tr w:rsidR="00FA6E5F" w14:paraId="464D8309" w14:textId="77777777">
        <w:trPr>
          <w:jc w:val="center"/>
        </w:trPr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42.45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47.79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55.59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107.54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0.022385</w:t>
            </w:r>
          </w:p>
        </w:tc>
        <w:tc>
          <w:tcPr>
            <w:tcW w:w="1425" w:type="dx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0.017666</w:t>
            </w:r>
          </w:p>
        </w:tc>
      </w:tr>
    </w:tbl>
    <w:p w14:paraId="26A8D114" w14:textId="77777777" w:rsidR="00FA6E5F" w:rsidRDefault="00000000">
      <w:pPr>
        <w:ind w:firstLine="0"/>
        <w:jc w:val="center"/>
      </w:pPr>
      <w:r>
        <w:rPr>
          <w:b/>
          <w:sz w:val="18"/>
        </w:rPr>
        <w:t>Table 1. Top five candidate thin-film designs selected by the MLP and verified using TMM.</w:t>
      </w:r>
    </w:p>
    <w:p w14:paraId="3569B9D1" w14:textId="77777777" w:rsidR="00FA6E5F" w:rsidRDefault="00000000">
      <w:pPr>
        <w:pStyle w:val="21"/>
      </w:pPr>
      <w:r>
        <w:t>3.4 Representative failure case</w:t>
      </w:r>
    </w:p>
    <w:p>
      <w:r>
        <w:rPr>
          <w:rFonts w:ascii="Times New Roman" w:hAnsi="Times New Roman" w:eastAsia="宋体"/>
          <w:b w:val="0"/>
          <w:sz w:val="20"/>
        </w:rPr>
        <w:t>图 8 给出测试集中预测误差最大的一个样本（平均绝对误差 5.4×10⁻²），其光谱包含多个陡峭的干涉峰谷，MLP 在峰值附近出现了相对较大的偏差，反映出模型对高频光谱特征的拟合仍存在局限。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0D2C3102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340A60B1" w14:textId="77777777" w:rsidR="00FA6E5F" w:rsidRDefault="00000000">
            <w:pPr>
              <w:spacing w:before="280" w:after="280"/>
              <w:jc w:val="center"/>
              <w:rPr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486400" cy="35387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8_failur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538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0D0DF" w14:textId="77777777" w:rsidR="00FA6E5F" w:rsidRDefault="00000000">
      <w:pPr>
        <w:ind w:firstLine="0"/>
        <w:jc w:val="center"/>
      </w:pPr>
      <w:r>
        <w:rPr>
          <w:b/>
          <w:sz w:val="18"/>
        </w:rPr>
        <w:t>Figure 8. A representative case with relatively large MLP prediction error.</w:t>
      </w:r>
    </w:p>
    <w:p w14:paraId="6439EF39" w14:textId="77777777" w:rsidR="00FA6E5F" w:rsidRDefault="00000000">
      <w:pPr>
        <w:pStyle w:val="1"/>
        <w:rPr>
          <w:lang w:eastAsia="zh-CN"/>
        </w:rPr>
      </w:pPr>
      <w:r>
        <w:rPr>
          <w:lang w:eastAsia="zh-CN"/>
        </w:rPr>
        <w:t>4. Discussion</w:t>
      </w:r>
    </w:p>
    <w:p>
      <w:r>
        <w:rPr>
          <w:rFonts w:ascii="Times New Roman" w:hAnsi="Times New Roman" w:eastAsia="宋体"/>
          <w:b w:val="0"/>
          <w:sz w:val="20"/>
        </w:rPr>
        <w:t>实验表明，一个结构简单的 MLP（约 2.8 万参数）即可将反射光谱的预测 RMSE 降到约 2.0×10⁻²。主要误差集中在干涉光谱的陡峭峰谷附近（图 5、图 8），因为这些位置反射率对膜厚极为敏感，微小的输入扰动就会引起较大的输出变化，属于该映射关系中的“难样本”。总体上，MLP 已能刻画四层膜光谱的主要形态。</w:t>
      </w:r>
    </w:p>
    <w:p>
      <w:r>
        <w:rPr>
          <w:rFonts w:ascii="Times New Roman" w:hAnsi="Times New Roman" w:eastAsia="宋体"/>
          <w:b w:val="0"/>
          <w:sz w:val="20"/>
        </w:rPr>
        <w:t>训练数据量实验（图 6）显示误差随样本数增加而单调下降，但 500→1000 时的提升（RMSE 5.6→3.6×10⁻²）明显大于 2000→4000（2.8→2.0×10⁻²），呈现边际收益递减。这说明 500 组样本已能捕捉映射的基本规律，而更高精度需要成倍增加数据，符合机器学习中“数据规模—精度”的典型权衡。</w:t>
      </w:r>
    </w:p>
    <w:p>
      <w:r>
        <w:rPr>
          <w:rFonts w:ascii="Times New Roman" w:hAnsi="Times New Roman" w:eastAsia="宋体"/>
          <w:b w:val="0"/>
          <w:sz w:val="20"/>
        </w:rPr>
        <w:t>在辅助设计实验中（图 7），MLP 仅用一次前向推理即完成了对 10000 个候选的排序，将 TMM 需要逐点计算的验证工作压缩到仅 Top 10 个候选上，大幅降低了计算成本。MLP 预测与 TMM 验证的排序高度一致，最终设计在 740 nm 处实现了 1.4×10⁻² 的低反射率。这体现了“MLP 粗筛 + TMM 精验”的协同价值：代理模型负责速度，物理模型负责精度与可信度。</w:t>
      </w:r>
    </w:p>
    <w:p>
      <w:r>
        <w:rPr>
          <w:rFonts w:ascii="Times New Roman" w:hAnsi="Times New Roman" w:eastAsia="宋体"/>
          <w:b w:val="0"/>
          <w:sz w:val="20"/>
        </w:rPr>
        <w:t>失败案例（图 8）表明，MLP 在光谱的尖锐特征处仍可能产生可见偏差。此外，本研究仅限于四层膜、正入射、无吸收、无色散这一简化场景，且 MLP 只针对固定折射率材料训练，无法直接泛化到其他材料组合或更多层数。这些局限提示：对更复杂的光谱与更大的设计空间，可能需要更深或更专门的网络结构以及更大规模的训练数据。无论如何，最终设计始终经过 TMM 严格验证，保证了结果的物理正确性。</w:t>
      </w:r>
    </w:p>
    <w:p w14:paraId="32E0D4B4" w14:textId="77777777" w:rsidR="00FA6E5F" w:rsidRDefault="00000000">
      <w:pPr>
        <w:pStyle w:val="1"/>
      </w:pPr>
      <w:r>
        <w:t>5. Conclusions</w:t>
      </w:r>
    </w:p>
    <w:p w14:paraId="79380EA7" w14:textId="77777777" w:rsidR="00FA6E5F" w:rsidRDefault="00000000">
      <w:r>
        <w:rPr>
          <w:rFonts w:ascii="Times New Roman" w:hAnsi="Times New Roman" w:eastAsia="宋体"/>
          <w:b w:val="0"/>
          <w:sz w:val="20"/>
        </w:rPr>
        <w:t>本文构建了“TMM 生成数据—MLP 代理建模—辅助设计—TMM 验证”的完整 AI4S 流程。结果表明：（1）4–128–128–64–41 的 MLP 能以约 2.0×10⁻² 的 RMSE 准确预测四层介质膜的反射光谱；（2）训练数据从 500 增至 4000 组时测试误差单调下降，并呈边际收益递减；（3）MLP 在 10000 个候选中快速筛选出 740 nm 处的减反射设计，TMM 验证最优反射率低至 1.4×10⁻²。MLP 代理与 TMM 物理模型的结合，为薄膜光谱预测与数据驱动设计提供了高效可行的路径。</w:t>
      </w:r>
    </w:p>
    <w:p w14:paraId="7697033E" w14:textId="77777777" w:rsidR="00FA6E5F" w:rsidRDefault="00000000">
      <w:pPr>
        <w:ind w:firstLine="0"/>
      </w:pPr>
      <w:r>
        <w:rPr>
          <w:b/>
          <w:sz w:val="26"/>
        </w:rPr>
        <w:t>Data and Code Availability</w:t>
      </w:r>
    </w:p>
    <w:p w14:paraId="1A6454FE" w14:textId="77777777" w:rsidR="00FA6E5F" w:rsidRDefault="00000000">
      <w:r>
        <w:t>The data used in this work were generated using the TMM code developed in this study. All source code, model-training scripts, thin-film screening scripts, environment dependencies, and instructions for reproducing the main results are available at:</w:t>
      </w:r>
    </w:p>
    <w:p w14:paraId="161D444E" w14:textId="77777777" w:rsidR="00FA6E5F" w:rsidRDefault="00000000">
      <w:pPr>
        <w:ind w:firstLine="0"/>
      </w:pPr>
      <w:r>
        <w:rPr>
          <w:color w:val="2F75B5"/>
          <w:sz w:val="21"/>
        </w:rPr>
        <w:t>https://github.com/USERNAME/REPOSITORY</w:t>
      </w:r>
    </w:p>
    <w:p w14:paraId="7BD2285E" w14:textId="77777777" w:rsidR="00FA6E5F" w:rsidRDefault="00000000">
      <w:r>
        <w:t>The GitHub repository should remain accessible during the current semester. The README should clearly report the student-specific λtarget, seed and design_seed and describe how to reproduce the main figures and results.</w:t>
      </w:r>
    </w:p>
    <w:p w14:paraId="48639BA7" w14:textId="77777777" w:rsidR="00FA6E5F" w:rsidRDefault="00000000">
      <w:pPr>
        <w:ind w:firstLine="0"/>
      </w:pPr>
      <w:r>
        <w:rPr>
          <w:b/>
          <w:sz w:val="26"/>
        </w:rPr>
        <w:t>References</w:t>
      </w:r>
    </w:p>
    <w:p w14:paraId="1D364F59" w14:textId="77777777" w:rsidR="00FA6E5F" w:rsidRDefault="00000000">
      <w:pPr>
        <w:ind w:left="312" w:hanging="312"/>
      </w:pPr>
      <w:r>
        <w:rPr>
          <w:rFonts w:ascii="Times New Roman" w:hAnsi="Times New Roman" w:eastAsia="宋体"/>
          <w:b w:val="0"/>
          <w:sz w:val="20"/>
        </w:rPr>
        <w:t>[1] Macleod, H. A. Thin-Film Optical Filters, 4th ed.; CRC Press: Boca Raton, 2010.</w:t>
      </w:r>
    </w:p>
    <w:p w14:paraId="478EC5F3" w14:textId="77777777" w:rsidR="00FA6E5F" w:rsidRDefault="00000000">
      <w:pPr>
        <w:ind w:left="312" w:hanging="312"/>
      </w:pPr>
      <w:r>
        <w:rPr>
          <w:rFonts w:ascii="Times New Roman" w:hAnsi="Times New Roman" w:eastAsia="宋体"/>
          <w:b w:val="0"/>
          <w:sz w:val="20"/>
        </w:rPr>
        <w:t>[2] Born, M.; Wolf, E. Principles of Optics, 7th ed.; Cambridge University Press: Cambridge, 1999.</w:t>
      </w:r>
    </w:p>
    <w:p w14:paraId="4B4CD318" w14:textId="77777777" w:rsidR="00FA6E5F" w:rsidRDefault="00000000">
      <w:pPr>
        <w:ind w:left="312" w:hanging="312"/>
      </w:pPr>
      <w:r>
        <w:rPr>
          <w:rFonts w:ascii="Times New Roman" w:hAnsi="Times New Roman" w:eastAsia="宋体"/>
          <w:b w:val="0"/>
          <w:sz w:val="20"/>
        </w:rPr>
        <w:t>[3] Yeh, P. Optical Waves in Layered Media; Wiley: New York, 1988.</w:t>
      </w:r>
    </w:p>
    <w:p w14:paraId="5D4B1510" w14:textId="77777777" w:rsidR="00FA6E5F" w:rsidRDefault="00000000">
      <w:pPr>
        <w:ind w:left="312" w:hanging="312"/>
      </w:pPr>
      <w:r>
        <w:rPr>
          <w:rFonts w:ascii="Times New Roman" w:hAnsi="Times New Roman" w:eastAsia="宋体"/>
          <w:b w:val="0"/>
          <w:sz w:val="20"/>
        </w:rPr>
        <w:t>[4] Ma, T.; Ma, M.; Guo, L. J. Optical Multilayer Thin Film Structure Inverse Design: From Optimization to Deep Learning. iScience 2025, 28, 112222.</w:t>
      </w:r>
    </w:p>
    <w:p>
      <w:r>
        <w:rPr>
          <w:rFonts w:ascii="Times New Roman" w:hAnsi="Times New Roman" w:eastAsia="宋体"/>
          <w:b w:val="0"/>
          <w:sz w:val="20"/>
        </w:rPr>
        <w:t>[5] Hornik, K.; Stinchcombe, M.; White, H. Multilayer Feedforward Networks Are Universal Approximators. Neural Networks 1989, 2, 359–366.</w:t>
      </w:r>
    </w:p>
    <w:p>
      <w:r>
        <w:rPr>
          <w:rFonts w:ascii="Times New Roman" w:hAnsi="Times New Roman" w:eastAsia="宋体"/>
          <w:b w:val="0"/>
          <w:sz w:val="20"/>
        </w:rPr>
        <w:t>[6] Kingma, D. P.; Ba, J. Adam: A Method for Stochastic Optimization. arXiv 2014, arXiv:1412.6980.</w:t>
      </w:r>
    </w:p>
    <w:p>
      <w:r>
        <w:rPr>
          <w:rFonts w:ascii="Times New Roman" w:hAnsi="Times New Roman" w:eastAsia="宋体"/>
          <w:b w:val="0"/>
          <w:sz w:val="20"/>
        </w:rPr>
        <w:t>[7] Liu, D.; Tan, Y.; Khoram, E.; Yu, Z. Training Deep Neural Networks for the Inverse Design of Nanophotonic Structures. ACS Photonics 2018, 5, 1365–1369.</w:t>
      </w:r>
    </w:p>
    <w:p>
      <w:r>
        <w:rPr>
          <w:rFonts w:ascii="Times New Roman" w:hAnsi="Times New Roman" w:eastAsia="宋体"/>
          <w:b w:val="0"/>
          <w:sz w:val="20"/>
        </w:rPr>
        <w:t>[8] Peurifoy, J.; Shen, Y.; Jing, L.; Yang, Y.; Cano-Renteria, F.; DeLacy, B. G.; Joannopoulos, J. D.; Tegmark, M.; Soljačić, M. Nanophotonic Particle Simulation and Inverse Design Using Artificial Neural Networks. Science Advances 2018, 4, eaar4206.</w:t>
      </w:r>
    </w:p>
    <w:p>
      <w:r>
        <w:rPr>
          <w:rFonts w:ascii="Times New Roman" w:hAnsi="Times New Roman" w:eastAsia="宋体"/>
          <w:b w:val="0"/>
          <w:sz w:val="20"/>
        </w:rPr>
        <w:t>[9] So, S.; Rho, J. Designing Nanophotonic Structures Using Conditional Deep Convolutional Generative Adversarial Networks. Nanophotonics 2019, 8, 1255–1261.</w:t>
      </w:r>
    </w:p>
    <w:p>
      <w:r>
        <w:rPr>
          <w:rFonts w:ascii="Times New Roman" w:hAnsi="Times New Roman" w:eastAsia="宋体"/>
          <w:b w:val="0"/>
          <w:sz w:val="20"/>
        </w:rPr>
        <w:t>[10] Ma, W.; Cheng, F.; Liu, Y. Deep-Learning-Enabled On-Demand Design of Chiral Metamaterials. ACS Nano 2018, 12, 6326–6334.</w:t>
      </w:r>
    </w:p>
    <w:sectPr w:rsidR="00FA6E5F" w:rsidSect="00034616">
      <w:headerReference w:type="default" r:id="rId11"/>
      <w:footerReference w:type="default" r:id="rId1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5B0A" w14:textId="77777777" w:rsidR="0083133A" w:rsidRDefault="0083133A">
      <w:pPr>
        <w:spacing w:after="0" w:line="240" w:lineRule="auto"/>
      </w:pPr>
      <w:r>
        <w:separator/>
      </w:r>
    </w:p>
  </w:endnote>
  <w:endnote w:type="continuationSeparator" w:id="0">
    <w:p w14:paraId="2AA386B2" w14:textId="77777777" w:rsidR="0083133A" w:rsidRDefault="0083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157" w14:textId="77777777" w:rsidR="00FA6E5F" w:rsidRDefault="00000000">
    <w:pPr>
      <w:pStyle w:val="a7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EE2F" w14:textId="77777777" w:rsidR="0083133A" w:rsidRDefault="0083133A">
      <w:pPr>
        <w:spacing w:after="0" w:line="240" w:lineRule="auto"/>
      </w:pPr>
      <w:r>
        <w:separator/>
      </w:r>
    </w:p>
  </w:footnote>
  <w:footnote w:type="continuationSeparator" w:id="0">
    <w:p w14:paraId="77FDCDA3" w14:textId="77777777" w:rsidR="0083133A" w:rsidRDefault="0083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0FB4" w14:textId="77777777" w:rsidR="00FA6E5F" w:rsidRDefault="00000000">
    <w:pPr>
      <w:pStyle w:val="a5"/>
      <w:jc w:val="right"/>
      <w:rPr>
        <w:lang w:eastAsia="zh-CN"/>
      </w:rPr>
    </w:pPr>
    <w:r>
      <w:rPr>
        <w:color w:val="888888"/>
        <w:sz w:val="15"/>
        <w:lang w:eastAsia="zh-CN"/>
      </w:rPr>
      <w:t>薄膜技术</w:t>
    </w:r>
    <w:r>
      <w:rPr>
        <w:color w:val="888888"/>
        <w:sz w:val="15"/>
        <w:lang w:eastAsia="zh-CN"/>
      </w:rPr>
      <w:t xml:space="preserve"> · AI4S</w:t>
    </w:r>
    <w:r>
      <w:rPr>
        <w:color w:val="888888"/>
        <w:sz w:val="15"/>
        <w:lang w:eastAsia="zh-CN"/>
      </w:rPr>
      <w:t>课程大作业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4332">
    <w:abstractNumId w:val="8"/>
  </w:num>
  <w:num w:numId="2" w16cid:durableId="492961871">
    <w:abstractNumId w:val="6"/>
  </w:num>
  <w:num w:numId="3" w16cid:durableId="993605715">
    <w:abstractNumId w:val="5"/>
  </w:num>
  <w:num w:numId="4" w16cid:durableId="1167137473">
    <w:abstractNumId w:val="4"/>
  </w:num>
  <w:num w:numId="5" w16cid:durableId="380979210">
    <w:abstractNumId w:val="7"/>
  </w:num>
  <w:num w:numId="6" w16cid:durableId="357044932">
    <w:abstractNumId w:val="3"/>
  </w:num>
  <w:num w:numId="7" w16cid:durableId="1455516341">
    <w:abstractNumId w:val="2"/>
  </w:num>
  <w:num w:numId="8" w16cid:durableId="856626249">
    <w:abstractNumId w:val="1"/>
  </w:num>
  <w:num w:numId="9" w16cid:durableId="12235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7AE23"/>
  <w14:defaultImageDpi w14:val="300"/>
  <w15:docId w15:val="{FFAC4450-0F28-4F03-8140-3F4FBB76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83" w:lineRule="auto"/>
      <w:ind w:firstLine="420"/>
      <w:jc w:val="both"/>
    </w:pPr>
    <w:rPr>
      <w:rFonts w:ascii="Times New Roman" w:eastAsia="Noto Sans CJK SC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1285</Words>
  <Characters>2841</Characters>
  <Application>Microsoft Office Word</Application>
  <DocSecurity>0</DocSecurity>
  <Lines>109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Ziya Wang</cp:lastModifiedBy>
  <cp:revision>2</cp:revision>
  <dcterms:created xsi:type="dcterms:W3CDTF">2013-12-23T23:15:00Z</dcterms:created>
  <dcterms:modified xsi:type="dcterms:W3CDTF">2026-09-27T04:28:00Z</dcterms:modified>
  <cp:category/>
</cp:coreProperties>
</file>