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3120"/>
      <w:gridCol w:w="3120"/>
      <w:gridCol w:w="3120"/>
    </w:tblGrid>
    <w:tr>
      <w:tc>
        <w:tcPr>
          <w:tcW w:type="dxa" w:w="3120"/>
        </w:tcPr>
        <w:p>
          <w:pPr>
            <w:jc w:val="left"/>
          </w:pPr>
          <w:r>
            <w:rPr>
              <w:sz w:val="18"/>
            </w:rPr>
            <w:t>Specific to Protocol TER-4480-C01</w:t>
          </w:r>
        </w:p>
      </w:tc>
      <w:tc>
        <w:tcPr>
          <w:tcW w:type="dxa" w:w="3120"/>
        </w:tcPr>
        <w:p>
          <w:pPr>
            <w:jc w:val="center"/>
          </w:pPr>
          <w:r>
            <w:rPr>
              <w:b/>
              <w:sz w:val="18"/>
            </w:rPr>
            <w:t>CONFIDENTIAL</w:t>
          </w:r>
        </w:p>
      </w:tc>
      <w:tc>
        <w:tcPr>
          <w:tcW w:type="dxa" w:w="3120"/>
        </w:tcPr>
        <w:p>
          <w:pPr>
            <w:jc w:val="right"/>
          </w:pPr>
          <w:r>
            <w:rPr>
              <w:sz w:val="18"/>
            </w:rPr>
            <w:t xml:space="preserve">Page </w:t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sz w:val="18"/>
            </w:rPr>
            <w:t xml:space="preserve"> of </w:t>
          </w:r>
          <w:r>
            <w:rPr>
              <w:sz w:val="18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Arial" w:hAnsi="Arial"/>
        <w:b/>
        <w:sz w:val="18"/>
      </w:rPr>
      <w:t>eCOA User Requirements Specification</w:t>
    </w:r>
  </w:p>
  <w:p>
    <w:pPr>
      <w:jc w:val="right"/>
    </w:pPr>
    <w:r>
      <w:rPr>
        <w:rFonts w:ascii="Arial" w:hAnsi="Arial"/>
        <w:sz w:val="18"/>
      </w:rPr>
      <w:t>Sponsor: Terremoto Biosciences</w:t>
    </w:r>
  </w:p>
  <w:p>
    <w:pPr>
      <w:jc w:val="right"/>
    </w:pPr>
    <w:r>
      <w:rPr>
        <w:rFonts w:ascii="Arial" w:hAnsi="Arial"/>
        <w:sz w:val="18"/>
      </w:rPr>
      <w:t>Protocol: TER-4480-C01    Version: 1.0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480"/>
      <w:jc w:val="center"/>
    </w:pPr>
    <w:rPr>
      <w:rFonts w:asciiTheme="majorHAnsi" w:eastAsiaTheme="majorEastAsia" w:hAnsiTheme="majorHAnsi" w:cstheme="majorBidi" w:ascii="Arial" w:hAnsi="Arial"/>
      <w:b/>
      <w:bCs/>
      <w:color w:val="1F3A5F"/>
      <w:sz w:val="48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1F3A5F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1F3A5F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i w:val="0"/>
      <w:color w:val="1F3A5F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i/>
      <w:b/>
      <w:bCs/>
      <w:color w:val="1F3A5F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40" w:after="120"/>
      <w:outlineLvl w:val="4"/>
    </w:pPr>
    <w:rPr>
      <w:rFonts w:asciiTheme="majorHAnsi" w:eastAsiaTheme="majorEastAsia" w:hAnsiTheme="majorHAnsi" w:cstheme="majorBidi" w:ascii="Arial" w:hAnsi="Arial"/>
      <w:b w:val="0"/>
      <w:i/>
      <w:iCs/>
      <w:color w:val="404040"/>
      <w:sz w:val="22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