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Oh, this is a sweet way to make a hierarchy. Let's actually look up how much of the bad stuff is in each gram of ingredient (I bet there are already data tables). Then you can visualize what the chemistry and, most importantly, the velocity and severity of the effect are. We can get labels from pictures or whatever and then cross-reference your labs. "How much is this going to hurt and for how long, simulator?" lol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Needs to ingest food data. Needs to be diverse in it’s range of data input. Visual image recognition for label ingredients. Establish a standard measusure. Use know data sets and table of negative reactions to the patients. What is available for reference meterics?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approach to establishing a clear hierarchy of ingredients.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immediate next step should be a thorough investigation to quantify the amount of harmful or problematic substances present per gram of each ingredient.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strongly suspect that comprehensive data tables already exist for this kind of toxicological and compositional analysis, which would significantly streamline the process.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this raw data is compiled, the real power of this methodology will be unleashed through visualization.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then graphically represent the precise chemical composition and, most crucially, model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velocity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severity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effect associated with consumption or exposure.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acquisition phase can involve scraping labels from product images or other reliable sources and meticulously cross-referencing that information with your existing laboratory results.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ultimate goal is to create a sophisticated predictive simulator.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would essentially be building a tool to answer the pivotal question: "How much is this going to hurt and for how long, simulator?" This system would move beyond simple pass/fail categorization to provide a nuanced, quantitative risk assessment, revolutionizing how we understand ingredient impact.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Establishing a Quantitative Framework for Ingredient Risk Assessment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Methodological Shift: From Categorization to Compositional Analysis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proposed initiative represents a fundamental shift in how ingredient impact is evaluated, moving beyond simplistic pass/fail or hazard-labeling systems toward a nuanced, quantitative risk assessment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foundational step is the immediate establishment of a transparent and defensible ingredient hierarchy.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achieve this, the next critical action is a meticulous, forensic investigation to accurately quantify the presence of harmful, problematic, or merely undesirable substances within each constituent ingredient.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about qualitative judgment but about precise measurement: determining the mass of toxicological elements per standardized unit (e.g., per gram) of the ingredient in question.</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I: Data Acquisition and Validation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suspicion that comprehensive toxicological and compositional data tables already exist is a strategic asset.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thorough search across authoritative toxicological databases, regulatory submissions (such as REACH or FDA archives), peer-reviewed scientific literature, and industry-specific compositional analyses should be prioritized.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Leveraging these existing, often-underutilized datasets will dramatically accelerate the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phase must focus on compiling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granular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the concentration (e.g., parts per million, percentage by weight) of known carcinogens, mutagens, endocrine disruptors, allergens, or substances with established adverse effects.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a powerful data acquisition strategy involves modernizing the input stream.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sophisticated label-scraping technology applied to high-resolution product images and packaging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scraped data must then be meticulously cross-referenced and validated against internal, proprietary laboratory results.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triangulation—external scientific data, product label claims, and internal quality control measurements—ensures the highest fidelity and reliability of the final dataset.</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II: The Power of Visualization and Predictive Modeling</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this high-quality, quantitative dataset is fully compiled, its true utility will be unlocked through advanced visualization and predictive modeling.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data sheets will transform into dynamic, interpretable diagrams.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Chemical Composition Mapping: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Visualizations should graphically represent the precise, multi-faceted chemical profile of each ingredient.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allows stakeholders to immediately grasp the complexity and the full spectrum of potentially concerning elements.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Modeling Effect Dynamics: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most crucial innovation lies in developing models to predict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dynamics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effect associated with consumption or exposure.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 simulating and visualizing two key metrics: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Velocity of 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rapidly does the negative outcome manifest after exposure?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effect immediate (high velocity, e.g., acute allergy) or cumulative and delayed (low velocity, e.g., chronic toxicity)?</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Severity of 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quantitative score representing the predicted magnitude of the adverse health outcome.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score should be weighted based on the nature of the harm (e.g., permanent damage scores higher than temporary discomfort).</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Ultimate Goal: A Sophisticated Predictive Simulator</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integration of all these data streams and models culminates in the creation of a sophisticated predictive simulator.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tool is designed to be an objective, analytical instrument, transcending subjective or politically motivated ingredient categorizations.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function of this system is to provide a nuanced, quantitative risk assessment that answers the pivotal question: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much is this going to hurt and for how long, simulator?"</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 will not merely categorize ingredients as "safe" or "unsafe." Instead, it will output a comprehensive risk profile, including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Quantified Risk Index (QRI)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expresses the potential negative impact on a continuous scale, allowing for informed decision-making based on measurable, simulated outcomes.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quantitative approach will revolutionize ingredient impact understanding, providing unprecedented clarity for formulation, regulatory compliance, and consumer transparency.</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Based on the document, here are the answers to your questions: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The two key metrics that will be modeled in Phase II to predict the dynamics of an effect are:</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b w:val="1"/>
          <w:bCs w:val="1"/>
          <w:rtl w:val="0"/>
        </w:rPr>
        <w:t xml:space="preserve">Velocity of Effect:</w:t>
      </w:r>
      <w:r w:rsidDel="00000000" w:rsidR="00000000" w:rsidRPr="00000000">
        <w:rPr>
          <w:rtl w:val="0"/>
        </w:rPr>
        <w:t xml:space="preserve"> How rapidly the negative outcome manifests (immediate vs. cumulative and delayed).</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b w:val="1"/>
          <w:bCs w:val="1"/>
          <w:rtl w:val="0"/>
        </w:rPr>
        <w:t xml:space="preserve">Severity of Effect:</w:t>
      </w:r>
      <w:r w:rsidDel="00000000" w:rsidR="00000000" w:rsidRPr="00000000">
        <w:rPr>
          <w:rtl w:val="0"/>
        </w:rPr>
        <w:t xml:space="preserve"> A quantitative score representing the predicted magnitude of the adverse health outcome.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The ultimate tool or output of the Quantitative Framework for Ingredient Risk Assessment is:</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tl w:val="0"/>
        </w:rPr>
        <w:t xml:space="preserve">The creation of a </w:t>
      </w:r>
      <w:r w:rsidDel="00000000" w:rsidR="00000000" w:rsidRPr="00000000">
        <w:rPr>
          <w:b w:val="1"/>
          <w:bCs w:val="1"/>
          <w:rtl w:val="0"/>
        </w:rPr>
        <w:t xml:space="preserve">Sophisticated Predictive Simulator</w:t>
      </w:r>
      <w:r w:rsidDel="00000000" w:rsidR="00000000" w:rsidRPr="00000000">
        <w:rPr>
          <w:rtl w:val="0"/>
        </w:rPr>
        <w:t xml:space="preserve">.</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Its primary output is a comprehensive risk profile, including a </w:t>
      </w:r>
      <w:r w:rsidDel="00000000" w:rsidR="00000000" w:rsidRPr="00000000">
        <w:rPr>
          <w:b w:val="1"/>
          <w:bCs w:val="1"/>
          <w:rtl w:val="0"/>
        </w:rPr>
        <w:t xml:space="preserve">Quantified Risk Index (QRI)</w:t>
      </w:r>
      <w:r w:rsidDel="00000000" w:rsidR="00000000" w:rsidRPr="00000000">
        <w:rPr>
          <w:rtl w:val="0"/>
        </w:rPr>
        <w:t xml:space="preserv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The three components that will be triangulated in the data acquisition phase to ensure the highest fidelity and reliability of the final dataset are:</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t xml:space="preserve">External scientific data (from toxicological databases, regulatory submissions, etc.)</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rtl w:val="0"/>
        </w:rPr>
        <w:t xml:space="preserve">Product label claims (gathered via sophisticated label-scraping technology)</w:t>
      </w:r>
    </w:p>
    <w:p w:rsidR="00000000" w:rsidDel="00000000" w:rsidP="00000000" w:rsidRDefault="00000000" w:rsidRPr="00000000" w14:paraId="00000031">
      <w:pPr>
        <w:numPr>
          <w:ilvl w:val="1"/>
          <w:numId w:val="1"/>
        </w:numPr>
        <w:spacing w:after="240" w:before="0" w:beforeAutospacing="0" w:lineRule="auto"/>
        <w:ind w:left="1440" w:hanging="360"/>
      </w:pPr>
      <w:r w:rsidDel="00000000" w:rsidR="00000000" w:rsidRPr="00000000">
        <w:rPr>
          <w:rtl w:val="0"/>
        </w:rPr>
        <w:t xml:space="preserve">Internal quality control measurements (proprietary laboratory results)</w:t>
      </w:r>
    </w:p>
    <w:p w:rsidR="00000000" w:rsidDel="00000000" w:rsidP="00000000" w:rsidRDefault="00000000" w:rsidRPr="00000000" w14:paraId="00000032">
      <w:pPr>
        <w:rPr/>
      </w:pPr>
      <w:r w:rsidDel="00000000" w:rsidR="00000000" w:rsidRPr="00000000">
        <w:rPr>
          <w:rtl w:val="0"/>
        </w:rPr>
        <w:t xml:space="preserve">Based on the document, here are the answers to your questions:</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bCs w:val="1"/>
          <w:rtl w:val="0"/>
        </w:rPr>
        <w:t xml:space="preserve">Foundational step of the Quantitative Framework for Ingredient Risk Assessment:</w:t>
        <w:br w:type="textWrapping"/>
      </w:r>
      <w:r w:rsidDel="00000000" w:rsidR="00000000" w:rsidRPr="00000000">
        <w:rPr>
          <w:rtl w:val="0"/>
        </w:rPr>
        <w:t xml:space="preserve">The foundational step is the immediate establishment of a transparent and defensible ingredient hierarchy through a meticulous, forensic investigation to accurately quantify the presence of harmful, problematic, or merely undesirable substances within each constituent ingredient. This represents the shift to compositional analysis: determining the mass of toxicological elements per standardized unit (e.g., per gram).</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Types of harmful substances prioritized for compiling raw, granular data in Phase I:</w:t>
        <w:br w:type="textWrapping"/>
      </w:r>
      <w:r w:rsidDel="00000000" w:rsidR="00000000" w:rsidRPr="00000000">
        <w:rPr>
          <w:rtl w:val="0"/>
        </w:rPr>
        <w:t xml:space="preserve">The prioritization is for substances with established adverse effects, specifically known:</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Carcinogens</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Mutagens</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rtl w:val="0"/>
        </w:rPr>
        <w:t xml:space="preserve">Endocrine disruptors</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rtl w:val="0"/>
        </w:rPr>
        <w:t xml:space="preserve">Allergens</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b w:val="1"/>
          <w:bCs w:val="1"/>
          <w:rtl w:val="0"/>
        </w:rPr>
        <w:t xml:space="preserve">Pivotal question that the sophisticated predictive simulator is designed to answer:</w:t>
        <w:br w:type="textWrapping"/>
      </w:r>
      <w:r w:rsidDel="00000000" w:rsidR="00000000" w:rsidRPr="00000000">
        <w:rPr>
          <w:rtl w:val="0"/>
        </w:rPr>
        <w:t xml:space="preserve">"How much is this going to hurt and for how long, simulator?"</w:t>
      </w:r>
    </w:p>
    <w:p w:rsidR="00000000" w:rsidDel="00000000" w:rsidP="00000000" w:rsidRDefault="00000000" w:rsidRPr="00000000" w14:paraId="0000003A">
      <w:pPr>
        <w:rPr/>
      </w:pPr>
      <w:r w:rsidDel="00000000" w:rsidR="00000000" w:rsidRPr="00000000">
        <w:rPr>
          <w:rtl w:val="0"/>
        </w:rPr>
        <w:t xml:space="preserve">Based on the document, here are the answers to your questions:</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b w:val="1"/>
          <w:bCs w:val="1"/>
          <w:rtl w:val="0"/>
        </w:rPr>
        <w:t xml:space="preserve">Methodological shift proposed by the initiative, and what it moves beyond:</w:t>
        <w:br w:type="textWrapping"/>
      </w:r>
      <w:r w:rsidDel="00000000" w:rsidR="00000000" w:rsidRPr="00000000">
        <w:rPr>
          <w:rtl w:val="0"/>
        </w:rPr>
        <w:t xml:space="preserve">The methodological shift is from simplistic pass/fail or hazard-labeling systems toward a nuanced, quantitative risk assessment model. The shift is summarized as moving </w:t>
      </w:r>
      <w:r w:rsidDel="00000000" w:rsidR="00000000" w:rsidRPr="00000000">
        <w:rPr>
          <w:b w:val="1"/>
          <w:bCs w:val="1"/>
          <w:rtl w:val="0"/>
        </w:rPr>
        <w:t xml:space="preserve">"From Categorization to Compositional Analysis."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Immediate next step in establishing the clear hierarchy of ingredients:</w:t>
        <w:br w:type="textWrapping"/>
      </w:r>
      <w:r w:rsidDel="00000000" w:rsidR="00000000" w:rsidRPr="00000000">
        <w:rPr>
          <w:rtl w:val="0"/>
        </w:rPr>
        <w:t xml:space="preserve">The immediate next step is a meticulous, forensic investigation to </w:t>
      </w:r>
      <w:r w:rsidDel="00000000" w:rsidR="00000000" w:rsidRPr="00000000">
        <w:rPr>
          <w:b w:val="1"/>
          <w:bCs w:val="1"/>
          <w:rtl w:val="0"/>
        </w:rPr>
        <w:t xml:space="preserve">accurately quantify the presence of harmful, problematic, or merely undesirable substances</w:t>
      </w:r>
      <w:r w:rsidDel="00000000" w:rsidR="00000000" w:rsidRPr="00000000">
        <w:rPr>
          <w:rtl w:val="0"/>
        </w:rPr>
        <w:t xml:space="preserve"> within each constituent ingredient, by determining the mass of toxicological elements per standardized unit (e.g., per gram).</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Kind of data to be compiled in Phase I and what to prioritize for the thorough search:</w:t>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b w:val="1"/>
          <w:bCs w:val="1"/>
          <w:rtl w:val="0"/>
        </w:rPr>
        <w:t xml:space="preserve">Data to be compiled:</w:t>
      </w:r>
      <w:r w:rsidDel="00000000" w:rsidR="00000000" w:rsidRPr="00000000">
        <w:rPr>
          <w:rtl w:val="0"/>
        </w:rPr>
        <w:t xml:space="preserve"> </w:t>
      </w:r>
      <w:r w:rsidDel="00000000" w:rsidR="00000000" w:rsidRPr="00000000">
        <w:rPr>
          <w:b w:val="1"/>
          <w:bCs w:val="1"/>
          <w:rtl w:val="0"/>
        </w:rPr>
        <w:t xml:space="preserve">Raw, granular data</w:t>
      </w:r>
      <w:r w:rsidDel="00000000" w:rsidR="00000000" w:rsidRPr="00000000">
        <w:rPr>
          <w:rtl w:val="0"/>
        </w:rPr>
        <w:t xml:space="preserve">, specifically the concentration (e.g., parts per million, percentage by weight) of known carcinogens, mutagens, endocrine disruptors, allergens, or substances with established adverse effects.</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b w:val="1"/>
          <w:bCs w:val="1"/>
          <w:rtl w:val="0"/>
        </w:rPr>
        <w:t xml:space="preserve">Prioritized search targets:</w:t>
      </w:r>
      <w:r w:rsidDel="00000000" w:rsidR="00000000" w:rsidRPr="00000000">
        <w:rPr>
          <w:rtl w:val="0"/>
        </w:rPr>
        <w:t xml:space="preserve"> Authoritative toxicological databases, regulatory submissions (such as REACH or FDA archives), peer-reviewed scientific literature, and industry-specific compositional analyses.</w:t>
      </w:r>
    </w:p>
    <w:p w:rsidR="00000000" w:rsidDel="00000000" w:rsidP="00000000" w:rsidRDefault="00000000" w:rsidRPr="00000000" w14:paraId="00000040">
      <w:pPr>
        <w:numPr>
          <w:ilvl w:val="0"/>
          <w:numId w:val="3"/>
        </w:numPr>
        <w:shd w:fill="ffffff" w:val="clear"/>
        <w:spacing w:line="320" w:lineRule="auto"/>
        <w:ind w:left="720" w:hanging="36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41">
      <w:pPr>
        <w:numPr>
          <w:ilvl w:val="0"/>
          <w:numId w:val="3"/>
        </w:numPr>
        <w:shd w:fill="ffffff" w:val="clear"/>
        <w:ind w:left="720" w:hanging="360"/>
        <w:rPr>
          <w:rFonts w:ascii="Roboto" w:cs="Roboto" w:eastAsia="Roboto" w:hAnsi="Roboto"/>
          <w:color w:val="1f1f1f"/>
          <w:sz w:val="21"/>
          <w:szCs w:val="21"/>
        </w:rPr>
      </w:pPr>
      <w:r w:rsidDel="00000000" w:rsidR="00000000" w:rsidRPr="00000000">
        <w:rPr>
          <w:rFonts w:ascii="Roboto" w:cs="Roboto" w:eastAsia="Roboto" w:hAnsi="Roboto"/>
          <w:color w:val="444746"/>
          <w:sz w:val="18"/>
          <w:szCs w:val="18"/>
          <w:rtl w:val="0"/>
        </w:rPr>
        <w:t xml:space="preserve">What is the specific unit of measurement proposed for determining the mass of toxicological elements in the foundational step of the initiative?</w:t>
      </w:r>
    </w:p>
    <w:p w:rsidR="00000000" w:rsidDel="00000000" w:rsidP="00000000" w:rsidRDefault="00000000" w:rsidRPr="00000000" w14:paraId="00000042">
      <w:pPr>
        <w:numPr>
          <w:ilvl w:val="0"/>
          <w:numId w:val="3"/>
        </w:numPr>
        <w:shd w:fill="ffffff" w:val="clear"/>
        <w:ind w:left="720" w:hanging="360"/>
        <w:rPr>
          <w:rFonts w:ascii="Roboto" w:cs="Roboto" w:eastAsia="Roboto" w:hAnsi="Roboto"/>
          <w:color w:val="1f1f1f"/>
          <w:sz w:val="21"/>
          <w:szCs w:val="21"/>
        </w:rPr>
      </w:pPr>
      <w:r w:rsidDel="00000000" w:rsidR="00000000" w:rsidRPr="00000000">
        <w:rPr>
          <w:rFonts w:ascii="Roboto" w:cs="Roboto" w:eastAsia="Roboto" w:hAnsi="Roboto"/>
          <w:color w:val="444746"/>
          <w:sz w:val="18"/>
          <w:szCs w:val="18"/>
          <w:rtl w:val="0"/>
        </w:rPr>
        <w:t xml:space="preserve">What is the significance of the Quantified Risk Index (QRI) as the output of the predictive simulator?</w:t>
      </w:r>
    </w:p>
    <w:p w:rsidR="00000000" w:rsidDel="00000000" w:rsidP="00000000" w:rsidRDefault="00000000" w:rsidRPr="00000000" w14:paraId="00000043">
      <w:pPr>
        <w:numPr>
          <w:ilvl w:val="0"/>
          <w:numId w:val="3"/>
        </w:numPr>
        <w:shd w:fill="c2e7ff" w:val="clear"/>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18"/>
          <w:szCs w:val="18"/>
          <w:rtl w:val="0"/>
        </w:rPr>
        <w:t xml:space="preserve">What kind of technological tool is included in the data acquisition strategy for modernizing the input stream in Phase I?</w:t>
      </w:r>
    </w:p>
    <w:p w:rsidR="00000000" w:rsidDel="00000000" w:rsidP="00000000" w:rsidRDefault="00000000" w:rsidRPr="00000000" w14:paraId="00000044">
      <w:pPr>
        <w:rPr/>
      </w:pPr>
      <w:r w:rsidDel="00000000" w:rsidR="00000000" w:rsidRPr="00000000">
        <w:rPr>
          <w:rtl w:val="0"/>
        </w:rPr>
        <w:t xml:space="preserve">Based on the document, here are the answers to your questions:</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b w:val="1"/>
          <w:bCs w:val="1"/>
          <w:rtl w:val="0"/>
        </w:rPr>
        <w:t xml:space="preserve">Specific unit of measurement proposed for determining the mass of toxicological elements in the foundational step:</w:t>
        <w:br w:type="textWrapping"/>
      </w:r>
      <w:r w:rsidDel="00000000" w:rsidR="00000000" w:rsidRPr="00000000">
        <w:rPr>
          <w:rtl w:val="0"/>
        </w:rPr>
        <w:t xml:space="preserve">The document proposes determining the mass of toxicological elements per standardized unit, with </w:t>
      </w:r>
      <w:r w:rsidDel="00000000" w:rsidR="00000000" w:rsidRPr="00000000">
        <w:rPr>
          <w:b w:val="1"/>
          <w:bCs w:val="1"/>
          <w:rtl w:val="0"/>
        </w:rPr>
        <w:t xml:space="preserve">per gram</w:t>
      </w:r>
      <w:r w:rsidDel="00000000" w:rsidR="00000000" w:rsidRPr="00000000">
        <w:rPr>
          <w:rtl w:val="0"/>
        </w:rPr>
        <w:t xml:space="preserve"> cited as an example of that unit.</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Significance of the Quantified Risk Index (QRI) as the output of the predictive simulator:</w:t>
        <w:br w:type="textWrapping"/>
      </w:r>
      <w:r w:rsidDel="00000000" w:rsidR="00000000" w:rsidRPr="00000000">
        <w:rPr>
          <w:rtl w:val="0"/>
        </w:rPr>
        <w:t xml:space="preserve">The QRI is significant because it </w:t>
      </w:r>
      <w:r w:rsidDel="00000000" w:rsidR="00000000" w:rsidRPr="00000000">
        <w:rPr>
          <w:b w:val="1"/>
          <w:bCs w:val="1"/>
          <w:rtl w:val="0"/>
        </w:rPr>
        <w:t xml:space="preserve">expresses the potential negative impact on a continuous scale</w:t>
      </w:r>
      <w:r w:rsidDel="00000000" w:rsidR="00000000" w:rsidRPr="00000000">
        <w:rPr>
          <w:rtl w:val="0"/>
        </w:rPr>
        <w:t xml:space="preserve">, which allows for informed decision-making based on measurable, simulated outcomes.</w:t>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b w:val="1"/>
          <w:bCs w:val="1"/>
          <w:rtl w:val="0"/>
        </w:rPr>
        <w:t xml:space="preserve">Kind of technological tool included in the data acquisition strategy for modernizing the input stream in Phase I:</w:t>
        <w:br w:type="textWrapping"/>
      </w:r>
      <w:r w:rsidDel="00000000" w:rsidR="00000000" w:rsidRPr="00000000">
        <w:rPr>
          <w:rtl w:val="0"/>
        </w:rPr>
        <w:t xml:space="preserve">The technological tool included is </w:t>
      </w:r>
      <w:r w:rsidDel="00000000" w:rsidR="00000000" w:rsidRPr="00000000">
        <w:rPr>
          <w:b w:val="1"/>
          <w:bCs w:val="1"/>
          <w:rtl w:val="0"/>
        </w:rPr>
        <w:t xml:space="preserve">sophisticated label-scraping technology</w:t>
      </w:r>
      <w:r w:rsidDel="00000000" w:rsidR="00000000" w:rsidRPr="00000000">
        <w:rPr>
          <w:rtl w:val="0"/>
        </w:rPr>
        <w:t xml:space="preserve">, which is applied to high-resolution product images and packaging information.</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