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Replate: Financial Donor Engagement &amp; Growth Strategy</w:t>
      </w:r>
    </w:p>
    <w:p>
      <w:pPr>
        <w:pStyle w:val="Heading1"/>
      </w:pPr>
      <w:r>
        <w:t>1. Channel-Specific Use Cases (Financial Donors)</w:t>
      </w:r>
    </w:p>
    <w:p>
      <w:pPr>
        <w:pStyle w:val="Heading2"/>
      </w:pPr>
      <w:r>
        <w:t>Use Case: Email - Retention &amp; Affinity Mapping</w:t>
      </w:r>
    </w:p>
    <w:p>
      <w:r>
        <w:t>Goal: Identify the 'Signal' that leads to recurring giving by probing for affinity with different aspects of the mission (Efficiency, Human Impact, Sustainability).</w:t>
      </w:r>
    </w:p>
    <w:p>
      <w:pPr>
        <w:pStyle w:val="Heading2"/>
      </w:pPr>
      <w:r>
        <w:t>Use Case: SMS - Rapid Response &amp; Micro-Giving</w:t>
      </w:r>
    </w:p>
    <w:p>
      <w:r>
        <w:t>Goal: High-conversion, low-friction campaigns such as 'Matching Gift' alerts. Measures 'Time-to-Action' and identifies impulsive vs. deliberate donors.</w:t>
      </w:r>
    </w:p>
    <w:p>
      <w:pPr>
        <w:pStyle w:val="Heading2"/>
      </w:pPr>
      <w:r>
        <w:t>Use Case: Phone - Major Donor Stewardship</w:t>
      </w:r>
    </w:p>
    <w:p>
      <w:r>
        <w:t>Goal: Moving mid-tier donors into the 'Major Gift' category through personalized thank-you calls, extracting qualitative 'Wealth Signals' and specific philanthropic interests. This process is triggered for donors identified in Section 5.</w:t>
      </w:r>
    </w:p>
    <w:p>
      <w:pPr>
        <w:pStyle w:val="Heading1"/>
      </w:pPr>
      <w:r>
        <w:t>2. Category 1 Emails: Proof of Scale (Efficiency)</w:t>
      </w:r>
    </w:p>
    <w:p>
      <w:pPr>
        <w:pStyle w:val="Heading2"/>
      </w:pPr>
      <w:r>
        <w:t>Email 1.1: The Corporate Partner Spotlight</w:t>
      </w:r>
    </w:p>
    <w:p>
      <w:r>
        <w:t>Subject: Why 300+ companies trust Replate with their surplus</w:t>
        <w:br/>
        <w:t>Preheader: Professional food rescue, powered by Onfleet logistics.</w:t>
      </w:r>
    </w:p>
    <w:p>
      <w:r>
        <w:t>For our partners like DoorDash and Chipotle, the barrier to donating food isn't a lack of heart—it’s a lack of time. In a busy kitchen, every second counts.</w:t>
        <w:br/>
        <w:br/>
        <w:t>Replate removes the 'coordination headache' by integrating directly with professional logistics tools like Onfleet. A kitchen manager can schedule a rescue in seconds, and our system automatically routes the nearest available driver, provides real-time GPS tracking, and ensures a seamless drop-off.</w:t>
        <w:br/>
        <w:br/>
        <w:t>By making food rescue as reliable as a professional courier service, we've enabled our partners to recover 4.9 million pounds of food to date.</w:t>
      </w:r>
    </w:p>
    <w:p>
      <w:pPr>
        <w:pStyle w:val="Heading2"/>
      </w:pPr>
      <w:r>
        <w:t>Email 1.2: The Efficiency of Simplicity</w:t>
      </w:r>
    </w:p>
    <w:p>
      <w:r>
        <w:t>Subject: 4.1 million meals—one simple click at a time</w:t>
        <w:br/>
        <w:t>Preheader: Removing friction through automated last-mile logistics.</w:t>
      </w:r>
    </w:p>
    <w:p>
      <w:r>
        <w:t>Being 'tech-enabled' means we’ve replaced phone tags and manual spreadsheets with a direct, automated platform. By leveraging Onfleet for our last-mile delivery management, we provide our rescuers with optimized routing and real-time communication tools.</w:t>
        <w:br/>
        <w:br/>
        <w:t>This high-efficiency approach has allowed us to save 1.3 billion gallons of water and divert 4.5k metric tons of CO2e from landfills. For our donors, it means your support goes into a professional-grade logistics machine.</w:t>
      </w:r>
    </w:p>
    <w:p>
      <w:pPr>
        <w:pStyle w:val="Heading1"/>
      </w:pPr>
      <w:r>
        <w:t>3. AWS Insight Strategy: Mapping Signals to Archetypes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Clicked Link</w:t>
            </w:r>
          </w:p>
        </w:tc>
        <w:tc>
          <w:tcPr>
            <w:tcW w:type="dxa" w:w="2880"/>
          </w:tcPr>
          <w:p>
            <w:r>
              <w:t>Archetype Assigned</w:t>
            </w:r>
          </w:p>
        </w:tc>
        <w:tc>
          <w:tcPr>
            <w:tcW w:type="dxa" w:w="2880"/>
          </w:tcPr>
          <w:p>
            <w:r>
              <w:t>Rationale</w:t>
            </w:r>
          </w:p>
        </w:tc>
      </w:tr>
      <w:tr>
        <w:tc>
          <w:tcPr>
            <w:tcW w:type="dxa" w:w="2880"/>
          </w:tcPr>
          <w:p>
            <w:r>
              <w:t>Partner List</w:t>
            </w:r>
          </w:p>
        </w:tc>
        <w:tc>
          <w:tcPr>
            <w:tcW w:type="dxa" w:w="2880"/>
          </w:tcPr>
          <w:p>
            <w:r>
              <w:t>THE PRAGMATIST</w:t>
            </w:r>
          </w:p>
        </w:tc>
        <w:tc>
          <w:tcPr>
            <w:tcW w:type="dxa" w:w="2880"/>
          </w:tcPr>
          <w:p>
            <w:r>
              <w:t>Values professional validation and corporate-grade reliability.</w:t>
            </w:r>
          </w:p>
        </w:tc>
      </w:tr>
      <w:tr>
        <w:tc>
          <w:tcPr>
            <w:tcW w:type="dxa" w:w="2880"/>
          </w:tcPr>
          <w:p>
            <w:r>
              <w:t>Onfleet Integration Details</w:t>
            </w:r>
          </w:p>
        </w:tc>
        <w:tc>
          <w:tcPr>
            <w:tcW w:type="dxa" w:w="2880"/>
          </w:tcPr>
          <w:p>
            <w:r>
              <w:t>THE INNOVATOR</w:t>
            </w:r>
          </w:p>
        </w:tc>
        <w:tc>
          <w:tcPr>
            <w:tcW w:type="dxa" w:w="2880"/>
          </w:tcPr>
          <w:p>
            <w:r>
              <w:t>Interested in the professional-grade tech engine driving the mission.</w:t>
            </w:r>
          </w:p>
        </w:tc>
      </w:tr>
      <w:tr>
        <w:tc>
          <w:tcPr>
            <w:tcW w:type="dxa" w:w="2880"/>
          </w:tcPr>
          <w:p>
            <w:r>
              <w:t>Why Simplicity Scales</w:t>
            </w:r>
          </w:p>
        </w:tc>
        <w:tc>
          <w:tcPr>
            <w:tcW w:type="dxa" w:w="2880"/>
          </w:tcPr>
          <w:p>
            <w:r>
              <w:t>THE DIRECTOR</w:t>
            </w:r>
          </w:p>
        </w:tc>
        <w:tc>
          <w:tcPr>
            <w:tcW w:type="dxa" w:w="2880"/>
          </w:tcPr>
          <w:p>
            <w:r>
              <w:t>Cares about lean operations and high direct-to-mission speed.</w:t>
            </w:r>
          </w:p>
        </w:tc>
      </w:tr>
      <w:tr>
        <w:tc>
          <w:tcPr>
            <w:tcW w:type="dxa" w:w="2880"/>
          </w:tcPr>
          <w:p>
            <w:r>
              <w:t>Impact Stats</w:t>
            </w:r>
          </w:p>
        </w:tc>
        <w:tc>
          <w:tcPr>
            <w:tcW w:type="dxa" w:w="2880"/>
          </w:tcPr>
          <w:p>
            <w:r>
              <w:t>THE INVESTOR</w:t>
            </w:r>
          </w:p>
        </w:tc>
        <w:tc>
          <w:tcPr>
            <w:tcW w:type="dxa" w:w="2880"/>
          </w:tcPr>
          <w:p>
            <w:r>
              <w:t>Wants to see the environmental and social bottom line (ROI).</w:t>
            </w:r>
          </w:p>
        </w:tc>
      </w:tr>
    </w:tbl>
    <w:p>
      <w:pPr>
        <w:pStyle w:val="Heading1"/>
      </w:pPr>
      <w:r>
        <w:t>4. Next Steps: Meta Growth Engine Integration</w:t>
      </w:r>
    </w:p>
    <w:p>
      <w:r>
        <w:t>Use Amazon Athena/S3 to identify donors who engaged with the 'Pragmatist' or 'Innovator' (Onfleet) content and upload them to the Meta Custom Audience via meta_growth_engine.py.</w:t>
      </w:r>
    </w:p>
    <w:p>
      <w:pPr>
        <w:pStyle w:val="Heading1"/>
      </w:pPr>
      <w:r>
        <w:t>5. Identifying the Mid-Tier (The Strategy)</w:t>
      </w:r>
    </w:p>
    <w:p>
      <w:r>
        <w:t>• Total Annual Giving: $500 – $2,500</w:t>
        <w:br/>
        <w:t>• Recurrence: 2+ gifts in the last 18 months.</w:t>
        <w:br/>
        <w:t>• Stealth VIP Signals: Clicks on technical 'Onfleet' or 'Impact Data' links.</w:t>
      </w:r>
    </w:p>
    <w:p>
      <w:pPr>
        <w:pStyle w:val="Heading1"/>
      </w:pPr>
      <w:r>
        <w:t>6. Appendix: Operational Authenticators</w:t>
      </w:r>
    </w:p>
    <w:p>
      <w:r>
        <w:t>Use these specific details from Replate’s operational history to add authenticity to emails:</w:t>
      </w:r>
    </w:p>
    <w:p>
      <w:pPr>
        <w:pStyle w:val="Heading2"/>
      </w:pPr>
      <w:r>
        <w:t>A. Logistics Keywords</w:t>
      </w:r>
    </w:p>
    <w:p>
      <w:r>
        <w:t>• Onfleet Integration: Real-time GPS, proof-of-delivery photos, and automated recipient SMS.</w:t>
      </w:r>
    </w:p>
    <w:p>
      <w:r>
        <w:t>• Last-Mile Management: Optimized routing to reduce driver idling and fuel waste.</w:t>
      </w:r>
    </w:p>
    <w:p>
      <w:pPr>
        <w:pStyle w:val="Heading2"/>
      </w:pPr>
      <w:r>
        <w:t>B. Human Impact Keywords (From Field Data)</w:t>
      </w:r>
    </w:p>
    <w:p>
      <w:r>
        <w:t>• Visual Descriptions: '11 trays of fresh roasted chicken and mashed potatoes' or 'Salmon salad with green goddess dressing.'</w:t>
      </w:r>
    </w:p>
    <w:p>
      <w:r>
        <w:t>• Direct Metrics: Mentioning 'Trays Donated' alongside 'Pounds Recovered' for a more visceral impact.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