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Detaillierte Bildbeschreibungen</w:t>
      </w:r>
    </w:p>
    <w:p>
      <w:r>
        <w:t>21 anonymisierte Screenshots | Räumliche Beschreibung und Positionsverzeichnis</w:t>
      </w:r>
    </w:p>
    <w:p>
      <w:pPr>
        <w:pStyle w:val="Heading1"/>
      </w:pPr>
      <w:r>
        <w:t>So sind die Positionsangaben zu lesen</w:t>
      </w:r>
    </w:p>
    <w:p>
      <w:r>
        <w:t>Alle Beschreibungen beziehen sich ausschließlich auf die anonymisierten Bilder. Geschwärzte Inhalte werden weder wiedergegeben noch ergänzt. Die ursprüngliche Bildreihenfolge bleibt erhalten. Die Datei enthält keine Originalbilder und keine verdeckten Quelldaten.</w:t>
      </w:r>
    </w:p>
    <w:p>
      <w:r>
        <w:t>Der Ursprung liegt oben links: x läuft nach rechts, y nach unten. Prozentangaben beziehen sich auf die vollständige Bildbreite beziehungsweise Bildhöhe. Die Bereiche in der räumlichen Übersicht sind visuell angenähert. Die Pixelangaben im Positionsverzeichnis bezeichnen den erkannten sichtbaren Text, nicht die gesamte Schaltfläche oder Karte. Beispiel: x 300–410, y 100–115 beschreibt die Textfläche zwischen diesen Bildkoordinaten.</w:t>
      </w:r>
    </w:p>
    <w:p>
      <w:r>
        <w:t>Das Positionsverzeichnis enthält eindeutig lesbare, allgemeine Oberflächenbeschriftungen. Nicht eindeutig lesbare Symbole, abgeschnittene Textreste und verdeckte Wörter werden nicht interpretiert. Wiederholte Beschriftungen erscheinen mehrfach, wenn sie an verschiedenen Stellen sichtbar sind. Das Verzeichnis ist eine zusätzliche Orientierungshilfe, keine Behauptung einer vollständigen Texterkennung.</w:t>
      </w:r>
    </w:p>
    <w:p>
      <w:r>
        <w:br w:type="page"/>
      </w:r>
    </w:p>
    <w:p>
      <w:pPr>
        <w:pStyle w:val="Heading1"/>
      </w:pPr>
      <w:r>
        <w:t>Bild 1: Task Logs: Aufgabenprotokolle</w:t>
      </w:r>
    </w:p>
    <w:p>
      <w:r>
        <w:t>Bildformat: 1914 × 915 Pixel. Die folgenden Positionen beziehen sich auf dieses vollständige Bild.</w:t>
      </w:r>
    </w:p>
    <w:p>
      <w:pPr>
        <w:pStyle w:val="Heading2"/>
      </w:pPr>
      <w:r>
        <w:t>1. Gesamtaufbau und sichtbarer Zustand</w:t>
      </w:r>
    </w:p>
    <w:p>
      <w:pPr>
        <w:pStyle w:val="Heading3"/>
      </w:pPr>
      <w:r>
        <w:t>Gesamtansicht</w:t>
      </w:r>
    </w:p>
    <w:p>
      <w:r>
        <w:t>Eine helle SAP-Datasphere-Oberfläche zeigt die Seite „Task Logs“. Eine schmale vertikale Navigation befindet sich am linken Rand. Rechts daneben nimmt eine breite, mehrspaltige Protokolltabelle den größten Teil des Bildes ein.</w:t>
      </w:r>
    </w:p>
    <w:p>
      <w:pPr>
        <w:pStyle w:val="Heading3"/>
      </w:pPr>
      <w:r>
        <w:t>Links und oben</w:t>
      </w:r>
    </w:p>
    <w:p>
      <w:r>
        <w:t>In der linken Navigation stehen unter anderem Home, Repository Explorer, Monitoring, System and Spaces, Capacities, Task Logs, Expensive Statement Logs und Elastic Compute Nodes. Weiter unten folgen Data Integration, Catalog &amp; Marketplace sowie die Bereiche Business Builder, Data Builder und Connections. Oberhalb der Tabelle sind Filter mit den Bezeichnungen Date and Time Range, Spaces, Statuses und Space Storage Type angeordnet.</w:t>
      </w:r>
    </w:p>
    <w:p>
      <w:pPr>
        <w:pStyle w:val="Heading3"/>
      </w:pPr>
      <w:r>
        <w:t>Tabelle im Hauptbereich</w:t>
      </w:r>
    </w:p>
    <w:p>
      <w:r>
        <w:t>Die Tabellenüberschriften umfassen Start Date and Time, Object Name, Object Type, Space Name, Space Storage Type, Activity, Status, Records und Duration. Die Zeilen zeigen unter anderem die Objekttypen REPLICATION_FLOWS, DATA_FLOWS und TASK_CHAINS. In der Aktivitätsspalte stehen RUN_PERMANENT, RUN und RUN_CHAIN. Die Statusspalte enthält RUNNING, COMPLETED und FAILED. Datums- und Zeitangaben sowie Laufzeiten stehen jeweils in eigenen Spalten.</w:t>
      </w:r>
    </w:p>
    <w:p>
      <w:pPr>
        <w:pStyle w:val="Heading3"/>
      </w:pPr>
      <w:r>
        <w:t>Bedienelemente und Anordnung</w:t>
      </w:r>
    </w:p>
    <w:p>
      <w:r>
        <w:t>Oberhalb der Tabellenzeilen befindet sich rechts „Refresh“. Die Einträge sind horizontal ausgerichtet und durch dezente Zeilentrennungen gegliedert. Am rechten Rand setzt sich die Tabelle mit weiteren Spalten fort. Die sichtbare Oberfläche enthält keine geöffnete Detailansicht oder einen Dialog.</w:t>
      </w:r>
    </w:p>
    <w:p>
      <w:pPr>
        <w:pStyle w:val="Heading2"/>
      </w:pPr>
      <w:r>
        <w:t>2. Räumliche Beschreibung von oben nach unten</w:t>
      </w:r>
    </w:p>
    <w:p>
      <w:pPr>
        <w:pStyle w:val="Heading3"/>
      </w:pPr>
      <w:r>
        <w:t>Linke Navigationsspalte</w:t>
      </w:r>
    </w:p>
    <w:p>
      <w:r>
        <w:rPr>
          <w:b/>
        </w:rPr>
        <w:t xml:space="preserve">Ungefähre Bildregion: </w:t>
      </w:r>
      <w:r>
        <w:t>x 0–13 %, y 5–100 %</w:t>
      </w:r>
    </w:p>
    <w:p>
      <w:r>
        <w:t>Eine durchgehende schmale Spalte mit kleinen Symbolen links und den jeweiligen Textbezeichnungen rechts daneben. Die Monitoring-Einträge stehen im oberen Teil, App- und Verwaltungsbereiche weiter unten.</w:t>
      </w:r>
    </w:p>
    <w:p>
      <w:pPr>
        <w:pStyle w:val="Heading3"/>
      </w:pPr>
      <w:r>
        <w:t>Titel und Filter</w:t>
      </w:r>
    </w:p>
    <w:p>
      <w:r>
        <w:rPr>
          <w:b/>
        </w:rPr>
        <w:t xml:space="preserve">Ungefähre Bildregion: </w:t>
      </w:r>
      <w:r>
        <w:t>x 15–98 %, y 10–25 %</w:t>
      </w:r>
    </w:p>
    <w:p>
      <w:r>
        <w:t>Die Seitenüberschrift liegt links über der Filterreihe. Vier Filtergruppen sind horizontal verteilt. Date and Time Range steht am weitesten links, Spaces folgt rechts davon, dann Statuses und schließlich Space Storage Type.</w:t>
      </w:r>
    </w:p>
    <w:p>
      <w:pPr>
        <w:pStyle w:val="Heading3"/>
      </w:pPr>
      <w:r>
        <w:t>Protokolltabelle</w:t>
      </w:r>
    </w:p>
    <w:p>
      <w:r>
        <w:rPr>
          <w:b/>
        </w:rPr>
        <w:t xml:space="preserve">Ungefähre Bildregion: </w:t>
      </w:r>
      <w:r>
        <w:t>x 16–100 %, y 27–100 %</w:t>
      </w:r>
    </w:p>
    <w:p>
      <w:r>
        <w:t>Die Tabellenkopfzeile liegt oberhalb der ersten Datenzeile. Startzeit, Objekt, Objekttyp, Space, Speicherart, Aktivität, Status, Datensatzanzahl und Laufzeit folgen von links nach rechts. Die Statusspalte liegt rechts der Aktivitätsspalte; Records und Duration folgen weiter rechts.</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Task Logs</w:t>
            </w:r>
          </w:p>
        </w:tc>
        <w:tc>
          <w:tcPr>
            <w:tcW w:type="dxa" w:w="3005"/>
          </w:tcPr>
          <w:p>
            <w:pPr>
              <w:spacing w:after="40"/>
            </w:pPr>
            <w:r>
              <w:rPr>
                <w:sz w:val="18"/>
              </w:rPr>
              <w:t>x 222–286</w:t>
              <w:br/>
              <w:t>y 53–66</w:t>
            </w:r>
          </w:p>
        </w:tc>
        <w:tc>
          <w:tcPr>
            <w:tcW w:type="dxa" w:w="3402"/>
          </w:tcPr>
          <w:p>
            <w:pPr>
              <w:spacing w:after="40"/>
            </w:pPr>
            <w:r>
              <w:rPr>
                <w:sz w:val="18"/>
              </w:rPr>
              <w:t>oben, links</w:t>
              <w:br/>
              <w:t>x 11.6–15.0 %</w:t>
              <w:br/>
              <w:t>y 5.8–7.2 %</w:t>
            </w:r>
          </w:p>
        </w:tc>
      </w:tr>
      <w:tr>
        <w:trPr>
          <w:cantSplit/>
        </w:trPr>
        <w:tc>
          <w:tcPr>
            <w:tcW w:type="dxa" w:w="3288"/>
          </w:tcPr>
          <w:p>
            <w:pPr>
              <w:spacing w:after="40"/>
            </w:pPr>
            <w:r>
              <w:rPr>
                <w:sz w:val="18"/>
              </w:rPr>
              <w:t>Task Logs</w:t>
            </w:r>
          </w:p>
        </w:tc>
        <w:tc>
          <w:tcPr>
            <w:tcW w:type="dxa" w:w="3005"/>
          </w:tcPr>
          <w:p>
            <w:pPr>
              <w:spacing w:after="40"/>
            </w:pPr>
            <w:r>
              <w:rPr>
                <w:sz w:val="18"/>
              </w:rPr>
              <w:t>x 303–418</w:t>
              <w:br/>
              <w:t>y 99–122</w:t>
            </w:r>
          </w:p>
        </w:tc>
        <w:tc>
          <w:tcPr>
            <w:tcW w:type="dxa" w:w="3402"/>
          </w:tcPr>
          <w:p>
            <w:pPr>
              <w:spacing w:after="40"/>
            </w:pPr>
            <w:r>
              <w:rPr>
                <w:sz w:val="18"/>
              </w:rPr>
              <w:t>oben, links</w:t>
              <w:br/>
              <w:t>x 15.8–21.8 %</w:t>
              <w:br/>
              <w:t>y 10.8–13.3 %</w:t>
            </w:r>
          </w:p>
        </w:tc>
      </w:tr>
      <w:tr>
        <w:trPr>
          <w:cantSplit/>
        </w:trPr>
        <w:tc>
          <w:tcPr>
            <w:tcW w:type="dxa" w:w="3288"/>
          </w:tcPr>
          <w:p>
            <w:pPr>
              <w:spacing w:after="40"/>
            </w:pPr>
            <w:r>
              <w:rPr>
                <w:sz w:val="18"/>
              </w:rPr>
              <w:t>Home</w:t>
            </w:r>
          </w:p>
        </w:tc>
        <w:tc>
          <w:tcPr>
            <w:tcW w:type="dxa" w:w="3005"/>
          </w:tcPr>
          <w:p>
            <w:pPr>
              <w:spacing w:after="40"/>
            </w:pPr>
            <w:r>
              <w:rPr>
                <w:sz w:val="18"/>
              </w:rPr>
              <w:t>x 48–84</w:t>
              <w:br/>
              <w:t>y 103–113</w:t>
            </w:r>
          </w:p>
        </w:tc>
        <w:tc>
          <w:tcPr>
            <w:tcW w:type="dxa" w:w="3402"/>
          </w:tcPr>
          <w:p>
            <w:pPr>
              <w:spacing w:after="40"/>
            </w:pPr>
            <w:r>
              <w:rPr>
                <w:sz w:val="18"/>
              </w:rPr>
              <w:t>oben, links</w:t>
              <w:br/>
              <w:t>x 2.5–4.4 %</w:t>
              <w:br/>
              <w:t>y 11.3–12.3 %</w:t>
            </w:r>
          </w:p>
        </w:tc>
      </w:tr>
      <w:tr>
        <w:trPr>
          <w:cantSplit/>
        </w:trPr>
        <w:tc>
          <w:tcPr>
            <w:tcW w:type="dxa" w:w="3288"/>
          </w:tcPr>
          <w:p>
            <w:pPr>
              <w:spacing w:after="40"/>
            </w:pPr>
            <w:r>
              <w:rPr>
                <w:sz w:val="18"/>
              </w:rPr>
              <w:t>Repository Explorer</w:t>
            </w:r>
          </w:p>
        </w:tc>
        <w:tc>
          <w:tcPr>
            <w:tcW w:type="dxa" w:w="3005"/>
          </w:tcPr>
          <w:p>
            <w:pPr>
              <w:spacing w:after="40"/>
            </w:pPr>
            <w:r>
              <w:rPr>
                <w:sz w:val="18"/>
              </w:rPr>
              <w:t>x 48–168</w:t>
              <w:br/>
              <w:t>y 139–152</w:t>
            </w:r>
          </w:p>
        </w:tc>
        <w:tc>
          <w:tcPr>
            <w:tcW w:type="dxa" w:w="3402"/>
          </w:tcPr>
          <w:p>
            <w:pPr>
              <w:spacing w:after="40"/>
            </w:pPr>
            <w:r>
              <w:rPr>
                <w:sz w:val="18"/>
              </w:rPr>
              <w:t>oben, links</w:t>
              <w:br/>
              <w:t>x 2.5–8.8 %</w:t>
              <w:br/>
              <w:t>y 15.2–16.6 %</w:t>
            </w:r>
          </w:p>
        </w:tc>
      </w:tr>
      <w:tr>
        <w:trPr>
          <w:cantSplit/>
        </w:trPr>
        <w:tc>
          <w:tcPr>
            <w:tcW w:type="dxa" w:w="3288"/>
          </w:tcPr>
          <w:p>
            <w:pPr>
              <w:spacing w:after="40"/>
            </w:pPr>
            <w:r>
              <w:rPr>
                <w:sz w:val="18"/>
              </w:rPr>
              <w:t>Date and Time Range</w:t>
            </w:r>
          </w:p>
        </w:tc>
        <w:tc>
          <w:tcPr>
            <w:tcW w:type="dxa" w:w="3005"/>
          </w:tcPr>
          <w:p>
            <w:pPr>
              <w:spacing w:after="40"/>
            </w:pPr>
            <w:r>
              <w:rPr>
                <w:sz w:val="18"/>
              </w:rPr>
              <w:t>x 304–436</w:t>
              <w:br/>
              <w:t>y 154–167</w:t>
            </w:r>
          </w:p>
        </w:tc>
        <w:tc>
          <w:tcPr>
            <w:tcW w:type="dxa" w:w="3402"/>
          </w:tcPr>
          <w:p>
            <w:pPr>
              <w:spacing w:after="40"/>
            </w:pPr>
            <w:r>
              <w:rPr>
                <w:sz w:val="18"/>
              </w:rPr>
              <w:t>oben, links</w:t>
              <w:br/>
              <w:t>x 15.9–22.8 %</w:t>
              <w:br/>
              <w:t>y 16.8–18.3 %</w:t>
            </w:r>
          </w:p>
        </w:tc>
      </w:tr>
      <w:tr>
        <w:trPr>
          <w:cantSplit/>
        </w:trPr>
        <w:tc>
          <w:tcPr>
            <w:tcW w:type="dxa" w:w="3288"/>
          </w:tcPr>
          <w:p>
            <w:pPr>
              <w:spacing w:after="40"/>
            </w:pPr>
            <w:r>
              <w:rPr>
                <w:sz w:val="18"/>
              </w:rPr>
              <w:t>Spaces</w:t>
            </w:r>
          </w:p>
        </w:tc>
        <w:tc>
          <w:tcPr>
            <w:tcW w:type="dxa" w:w="3005"/>
          </w:tcPr>
          <w:p>
            <w:pPr>
              <w:spacing w:after="40"/>
            </w:pPr>
            <w:r>
              <w:rPr>
                <w:sz w:val="18"/>
              </w:rPr>
              <w:t>x 698–742</w:t>
              <w:br/>
              <w:t>y 154–167</w:t>
            </w:r>
          </w:p>
        </w:tc>
        <w:tc>
          <w:tcPr>
            <w:tcW w:type="dxa" w:w="3402"/>
          </w:tcPr>
          <w:p>
            <w:pPr>
              <w:spacing w:after="40"/>
            </w:pPr>
            <w:r>
              <w:rPr>
                <w:sz w:val="18"/>
              </w:rPr>
              <w:t>oben, mittig</w:t>
              <w:br/>
              <w:t>x 36.5–38.8 %</w:t>
              <w:br/>
              <w:t>y 16.8–18.3 %</w:t>
            </w:r>
          </w:p>
        </w:tc>
      </w:tr>
      <w:tr>
        <w:trPr>
          <w:cantSplit/>
        </w:trPr>
        <w:tc>
          <w:tcPr>
            <w:tcW w:type="dxa" w:w="3288"/>
          </w:tcPr>
          <w:p>
            <w:pPr>
              <w:spacing w:after="40"/>
            </w:pPr>
            <w:r>
              <w:rPr>
                <w:sz w:val="18"/>
              </w:rPr>
              <w:t>Statuses</w:t>
            </w:r>
          </w:p>
        </w:tc>
        <w:tc>
          <w:tcPr>
            <w:tcW w:type="dxa" w:w="3005"/>
          </w:tcPr>
          <w:p>
            <w:pPr>
              <w:spacing w:after="40"/>
            </w:pPr>
            <w:r>
              <w:rPr>
                <w:sz w:val="18"/>
              </w:rPr>
              <w:t>x 1092–1144</w:t>
              <w:br/>
              <w:t>y 154–164</w:t>
            </w:r>
          </w:p>
        </w:tc>
        <w:tc>
          <w:tcPr>
            <w:tcW w:type="dxa" w:w="3402"/>
          </w:tcPr>
          <w:p>
            <w:pPr>
              <w:spacing w:after="40"/>
            </w:pPr>
            <w:r>
              <w:rPr>
                <w:sz w:val="18"/>
              </w:rPr>
              <w:t>oben, mittig</w:t>
              <w:br/>
              <w:t>x 57.1–59.7 %</w:t>
              <w:br/>
              <w:t>y 16.8–17.9 %</w:t>
            </w:r>
          </w:p>
        </w:tc>
      </w:tr>
      <w:tr>
        <w:trPr>
          <w:cantSplit/>
        </w:trPr>
        <w:tc>
          <w:tcPr>
            <w:tcW w:type="dxa" w:w="3288"/>
          </w:tcPr>
          <w:p>
            <w:pPr>
              <w:spacing w:after="40"/>
            </w:pPr>
            <w:r>
              <w:rPr>
                <w:sz w:val="18"/>
              </w:rPr>
              <w:t>Space Storage Type</w:t>
            </w:r>
          </w:p>
        </w:tc>
        <w:tc>
          <w:tcPr>
            <w:tcW w:type="dxa" w:w="3005"/>
          </w:tcPr>
          <w:p>
            <w:pPr>
              <w:spacing w:after="40"/>
            </w:pPr>
            <w:r>
              <w:rPr>
                <w:sz w:val="18"/>
              </w:rPr>
              <w:t>x 1486–1608</w:t>
              <w:br/>
              <w:t>y 154–167</w:t>
            </w:r>
          </w:p>
        </w:tc>
        <w:tc>
          <w:tcPr>
            <w:tcW w:type="dxa" w:w="3402"/>
          </w:tcPr>
          <w:p>
            <w:pPr>
              <w:spacing w:after="40"/>
            </w:pPr>
            <w:r>
              <w:rPr>
                <w:sz w:val="18"/>
              </w:rPr>
              <w:t>oben, rechts</w:t>
              <w:br/>
              <w:t>x 77.6–84.0 %</w:t>
              <w:br/>
              <w:t>y 16.8–18.3 %</w:t>
            </w:r>
          </w:p>
        </w:tc>
      </w:tr>
      <w:tr>
        <w:trPr>
          <w:cantSplit/>
        </w:trPr>
        <w:tc>
          <w:tcPr>
            <w:tcW w:type="dxa" w:w="3288"/>
          </w:tcPr>
          <w:p>
            <w:pPr>
              <w:spacing w:after="40"/>
            </w:pPr>
            <w:r>
              <w:rPr>
                <w:sz w:val="18"/>
              </w:rPr>
              <w:t>Monitoring</w:t>
            </w:r>
          </w:p>
        </w:tc>
        <w:tc>
          <w:tcPr>
            <w:tcW w:type="dxa" w:w="3005"/>
          </w:tcPr>
          <w:p>
            <w:pPr>
              <w:spacing w:after="40"/>
            </w:pPr>
            <w:r>
              <w:rPr>
                <w:sz w:val="18"/>
              </w:rPr>
              <w:t>x 48–113</w:t>
              <w:br/>
              <w:t>y 175–188</w:t>
            </w:r>
          </w:p>
        </w:tc>
        <w:tc>
          <w:tcPr>
            <w:tcW w:type="dxa" w:w="3402"/>
          </w:tcPr>
          <w:p>
            <w:pPr>
              <w:spacing w:after="40"/>
            </w:pPr>
            <w:r>
              <w:rPr>
                <w:sz w:val="18"/>
              </w:rPr>
              <w:t>oben, links</w:t>
              <w:br/>
              <w:t>x 2.5–5.9 %</w:t>
              <w:br/>
              <w:t>y 19.1–20.5 %</w:t>
            </w:r>
          </w:p>
        </w:tc>
      </w:tr>
      <w:tr>
        <w:trPr>
          <w:cantSplit/>
        </w:trPr>
        <w:tc>
          <w:tcPr>
            <w:tcW w:type="dxa" w:w="3288"/>
          </w:tcPr>
          <w:p>
            <w:pPr>
              <w:spacing w:after="40"/>
            </w:pPr>
            <w:r>
              <w:rPr>
                <w:sz w:val="18"/>
              </w:rPr>
              <w:t>System and Spaces</w:t>
            </w:r>
          </w:p>
        </w:tc>
        <w:tc>
          <w:tcPr>
            <w:tcW w:type="dxa" w:w="3005"/>
          </w:tcPr>
          <w:p>
            <w:pPr>
              <w:spacing w:after="40"/>
            </w:pPr>
            <w:r>
              <w:rPr>
                <w:sz w:val="18"/>
              </w:rPr>
              <w:t>x 48–168</w:t>
              <w:br/>
              <w:t>y 211–224</w:t>
            </w:r>
          </w:p>
        </w:tc>
        <w:tc>
          <w:tcPr>
            <w:tcW w:type="dxa" w:w="3402"/>
          </w:tcPr>
          <w:p>
            <w:pPr>
              <w:spacing w:after="40"/>
            </w:pPr>
            <w:r>
              <w:rPr>
                <w:sz w:val="18"/>
              </w:rPr>
              <w:t>oben, links</w:t>
              <w:br/>
              <w:t>x 2.5–8.8 %</w:t>
              <w:br/>
              <w:t>y 23.1–24.5 %</w:t>
            </w:r>
          </w:p>
        </w:tc>
      </w:tr>
      <w:tr>
        <w:trPr>
          <w:cantSplit/>
        </w:trPr>
        <w:tc>
          <w:tcPr>
            <w:tcW w:type="dxa" w:w="3288"/>
          </w:tcPr>
          <w:p>
            <w:pPr>
              <w:spacing w:after="40"/>
            </w:pPr>
            <w:r>
              <w:rPr>
                <w:sz w:val="18"/>
              </w:rPr>
              <w:t>Capacities</w:t>
            </w:r>
          </w:p>
        </w:tc>
        <w:tc>
          <w:tcPr>
            <w:tcW w:type="dxa" w:w="3005"/>
          </w:tcPr>
          <w:p>
            <w:pPr>
              <w:spacing w:after="40"/>
            </w:pPr>
            <w:r>
              <w:rPr>
                <w:sz w:val="18"/>
              </w:rPr>
              <w:t>x 47–111</w:t>
              <w:br/>
              <w:t>y 247–260</w:t>
            </w:r>
          </w:p>
        </w:tc>
        <w:tc>
          <w:tcPr>
            <w:tcW w:type="dxa" w:w="3402"/>
          </w:tcPr>
          <w:p>
            <w:pPr>
              <w:spacing w:after="40"/>
            </w:pPr>
            <w:r>
              <w:rPr>
                <w:sz w:val="18"/>
              </w:rPr>
              <w:t>oben, links</w:t>
              <w:br/>
              <w:t>x 2.5–5.8 %</w:t>
              <w:br/>
              <w:t>y 27.0–28.4 %</w:t>
            </w:r>
          </w:p>
        </w:tc>
      </w:tr>
      <w:tr>
        <w:trPr>
          <w:cantSplit/>
        </w:trPr>
        <w:tc>
          <w:tcPr>
            <w:tcW w:type="dxa" w:w="3288"/>
          </w:tcPr>
          <w:p>
            <w:pPr>
              <w:spacing w:after="40"/>
            </w:pPr>
            <w:r>
              <w:rPr>
                <w:sz w:val="18"/>
              </w:rPr>
              <w:t>Task Logs</w:t>
            </w:r>
          </w:p>
        </w:tc>
        <w:tc>
          <w:tcPr>
            <w:tcW w:type="dxa" w:w="3005"/>
          </w:tcPr>
          <w:p>
            <w:pPr>
              <w:spacing w:after="40"/>
            </w:pPr>
            <w:r>
              <w:rPr>
                <w:sz w:val="18"/>
              </w:rPr>
              <w:t>x 319–384</w:t>
              <w:br/>
              <w:t>y 254–267</w:t>
            </w:r>
          </w:p>
        </w:tc>
        <w:tc>
          <w:tcPr>
            <w:tcW w:type="dxa" w:w="3402"/>
          </w:tcPr>
          <w:p>
            <w:pPr>
              <w:spacing w:after="40"/>
            </w:pPr>
            <w:r>
              <w:rPr>
                <w:sz w:val="18"/>
              </w:rPr>
              <w:t>oben, links</w:t>
              <w:br/>
              <w:t>x 16.7–20.1 %</w:t>
              <w:br/>
              <w:t>y 27.8–29.2 %</w:t>
            </w:r>
          </w:p>
        </w:tc>
      </w:tr>
      <w:tr>
        <w:trPr>
          <w:cantSplit/>
        </w:trPr>
        <w:tc>
          <w:tcPr>
            <w:tcW w:type="dxa" w:w="3288"/>
          </w:tcPr>
          <w:p>
            <w:pPr>
              <w:spacing w:after="40"/>
            </w:pPr>
            <w:r>
              <w:rPr>
                <w:sz w:val="18"/>
              </w:rPr>
              <w:t>Refresh</w:t>
            </w:r>
          </w:p>
        </w:tc>
        <w:tc>
          <w:tcPr>
            <w:tcW w:type="dxa" w:w="3005"/>
          </w:tcPr>
          <w:p>
            <w:pPr>
              <w:spacing w:after="40"/>
            </w:pPr>
            <w:r>
              <w:rPr>
                <w:sz w:val="18"/>
              </w:rPr>
              <w:t>x 1753–1799</w:t>
              <w:br/>
              <w:t>y 254–264</w:t>
            </w:r>
          </w:p>
        </w:tc>
        <w:tc>
          <w:tcPr>
            <w:tcW w:type="dxa" w:w="3402"/>
          </w:tcPr>
          <w:p>
            <w:pPr>
              <w:spacing w:after="40"/>
            </w:pPr>
            <w:r>
              <w:rPr>
                <w:sz w:val="18"/>
              </w:rPr>
              <w:t>oben, rechts</w:t>
              <w:br/>
              <w:t>x 91.6–94.0 %</w:t>
              <w:br/>
              <w:t>y 27.8–28.9 %</w:t>
            </w:r>
          </w:p>
        </w:tc>
      </w:tr>
      <w:tr>
        <w:trPr>
          <w:cantSplit/>
        </w:trPr>
        <w:tc>
          <w:tcPr>
            <w:tcW w:type="dxa" w:w="3288"/>
          </w:tcPr>
          <w:p>
            <w:pPr>
              <w:spacing w:after="40"/>
            </w:pPr>
            <w:r>
              <w:rPr>
                <w:sz w:val="18"/>
              </w:rPr>
              <w:t>Task Logs</w:t>
            </w:r>
          </w:p>
        </w:tc>
        <w:tc>
          <w:tcPr>
            <w:tcW w:type="dxa" w:w="3005"/>
          </w:tcPr>
          <w:p>
            <w:pPr>
              <w:spacing w:after="40"/>
            </w:pPr>
            <w:r>
              <w:rPr>
                <w:sz w:val="18"/>
              </w:rPr>
              <w:t>x 47–108</w:t>
              <w:br/>
              <w:t>y 283–296</w:t>
            </w:r>
          </w:p>
        </w:tc>
        <w:tc>
          <w:tcPr>
            <w:tcW w:type="dxa" w:w="3402"/>
          </w:tcPr>
          <w:p>
            <w:pPr>
              <w:spacing w:after="40"/>
            </w:pPr>
            <w:r>
              <w:rPr>
                <w:sz w:val="18"/>
              </w:rPr>
              <w:t>oben, links</w:t>
              <w:br/>
              <w:t>x 2.5–5.6 %</w:t>
              <w:br/>
              <w:t>y 30.9–32.3 %</w:t>
            </w:r>
          </w:p>
        </w:tc>
      </w:tr>
      <w:tr>
        <w:trPr>
          <w:cantSplit/>
        </w:trPr>
        <w:tc>
          <w:tcPr>
            <w:tcW w:type="dxa" w:w="3288"/>
          </w:tcPr>
          <w:p>
            <w:pPr>
              <w:spacing w:after="40"/>
            </w:pPr>
            <w:r>
              <w:rPr>
                <w:sz w:val="18"/>
              </w:rPr>
              <w:t>Start Date and Time</w:t>
            </w:r>
          </w:p>
        </w:tc>
        <w:tc>
          <w:tcPr>
            <w:tcW w:type="dxa" w:w="3005"/>
          </w:tcPr>
          <w:p>
            <w:pPr>
              <w:spacing w:after="40"/>
            </w:pPr>
            <w:r>
              <w:rPr>
                <w:sz w:val="18"/>
              </w:rPr>
              <w:t>x 320–441</w:t>
              <w:br/>
              <w:t>y 288–298</w:t>
            </w:r>
          </w:p>
        </w:tc>
        <w:tc>
          <w:tcPr>
            <w:tcW w:type="dxa" w:w="3402"/>
          </w:tcPr>
          <w:p>
            <w:pPr>
              <w:spacing w:after="40"/>
            </w:pPr>
            <w:r>
              <w:rPr>
                <w:sz w:val="18"/>
              </w:rPr>
              <w:t>oben, links</w:t>
              <w:br/>
              <w:t>x 16.7–23.0 %</w:t>
              <w:br/>
              <w:t>y 31.5–32.6 %</w:t>
            </w:r>
          </w:p>
        </w:tc>
      </w:tr>
      <w:tr>
        <w:trPr>
          <w:cantSplit/>
        </w:trPr>
        <w:tc>
          <w:tcPr>
            <w:tcW w:type="dxa" w:w="3288"/>
          </w:tcPr>
          <w:p>
            <w:pPr>
              <w:spacing w:after="40"/>
            </w:pPr>
            <w:r>
              <w:rPr>
                <w:sz w:val="18"/>
              </w:rPr>
              <w:t>Object Name</w:t>
            </w:r>
          </w:p>
        </w:tc>
        <w:tc>
          <w:tcPr>
            <w:tcW w:type="dxa" w:w="3005"/>
          </w:tcPr>
          <w:p>
            <w:pPr>
              <w:spacing w:after="40"/>
            </w:pPr>
            <w:r>
              <w:rPr>
                <w:sz w:val="18"/>
              </w:rPr>
              <w:t>x 479–559</w:t>
              <w:br/>
              <w:t>y 288–301</w:t>
            </w:r>
          </w:p>
        </w:tc>
        <w:tc>
          <w:tcPr>
            <w:tcW w:type="dxa" w:w="3402"/>
          </w:tcPr>
          <w:p>
            <w:pPr>
              <w:spacing w:after="40"/>
            </w:pPr>
            <w:r>
              <w:rPr>
                <w:sz w:val="18"/>
              </w:rPr>
              <w:t>oben, links</w:t>
              <w:br/>
              <w:t>x 25.0–29.2 %</w:t>
              <w:br/>
              <w:t>y 31.5–32.9 %</w:t>
            </w:r>
          </w:p>
        </w:tc>
      </w:tr>
      <w:tr>
        <w:trPr>
          <w:cantSplit/>
        </w:trPr>
        <w:tc>
          <w:tcPr>
            <w:tcW w:type="dxa" w:w="3288"/>
          </w:tcPr>
          <w:p>
            <w:pPr>
              <w:spacing w:after="40"/>
            </w:pPr>
            <w:r>
              <w:rPr>
                <w:sz w:val="18"/>
              </w:rPr>
              <w:t>Object Type</w:t>
            </w:r>
          </w:p>
        </w:tc>
        <w:tc>
          <w:tcPr>
            <w:tcW w:type="dxa" w:w="3005"/>
          </w:tcPr>
          <w:p>
            <w:pPr>
              <w:spacing w:after="40"/>
            </w:pPr>
            <w:r>
              <w:rPr>
                <w:sz w:val="18"/>
              </w:rPr>
              <w:t>x 639–712</w:t>
              <w:br/>
              <w:t>y 288–301</w:t>
            </w:r>
          </w:p>
        </w:tc>
        <w:tc>
          <w:tcPr>
            <w:tcW w:type="dxa" w:w="3402"/>
          </w:tcPr>
          <w:p>
            <w:pPr>
              <w:spacing w:after="40"/>
            </w:pPr>
            <w:r>
              <w:rPr>
                <w:sz w:val="18"/>
              </w:rPr>
              <w:t>oben, mittig</w:t>
              <w:br/>
              <w:t>x 33.4–37.2 %</w:t>
              <w:br/>
              <w:t>y 31.5–32.9 %</w:t>
            </w:r>
          </w:p>
        </w:tc>
      </w:tr>
      <w:tr>
        <w:trPr>
          <w:cantSplit/>
        </w:trPr>
        <w:tc>
          <w:tcPr>
            <w:tcW w:type="dxa" w:w="3288"/>
          </w:tcPr>
          <w:p>
            <w:pPr>
              <w:spacing w:after="40"/>
            </w:pPr>
            <w:r>
              <w:rPr>
                <w:sz w:val="18"/>
              </w:rPr>
              <w:t>Space Name</w:t>
            </w:r>
          </w:p>
        </w:tc>
        <w:tc>
          <w:tcPr>
            <w:tcW w:type="dxa" w:w="3005"/>
          </w:tcPr>
          <w:p>
            <w:pPr>
              <w:spacing w:after="40"/>
            </w:pPr>
            <w:r>
              <w:rPr>
                <w:sz w:val="18"/>
              </w:rPr>
              <w:t>x 800–878</w:t>
              <w:br/>
              <w:t>y 288–301</w:t>
            </w:r>
          </w:p>
        </w:tc>
        <w:tc>
          <w:tcPr>
            <w:tcW w:type="dxa" w:w="3402"/>
          </w:tcPr>
          <w:p>
            <w:pPr>
              <w:spacing w:after="40"/>
            </w:pPr>
            <w:r>
              <w:rPr>
                <w:sz w:val="18"/>
              </w:rPr>
              <w:t>oben, mittig</w:t>
              <w:br/>
              <w:t>x 41.8–45.9 %</w:t>
              <w:br/>
              <w:t>y 31.5–32.9 %</w:t>
            </w:r>
          </w:p>
        </w:tc>
      </w:tr>
      <w:tr>
        <w:trPr>
          <w:cantSplit/>
        </w:trPr>
        <w:tc>
          <w:tcPr>
            <w:tcW w:type="dxa" w:w="3288"/>
          </w:tcPr>
          <w:p>
            <w:pPr>
              <w:spacing w:after="40"/>
            </w:pPr>
            <w:r>
              <w:rPr>
                <w:sz w:val="18"/>
              </w:rPr>
              <w:t>Space Storage Type</w:t>
            </w:r>
          </w:p>
        </w:tc>
        <w:tc>
          <w:tcPr>
            <w:tcW w:type="dxa" w:w="3005"/>
          </w:tcPr>
          <w:p>
            <w:pPr>
              <w:spacing w:after="40"/>
            </w:pPr>
            <w:r>
              <w:rPr>
                <w:sz w:val="18"/>
              </w:rPr>
              <w:t>x 960–1082</w:t>
              <w:br/>
              <w:t>y 288–301</w:t>
            </w:r>
          </w:p>
        </w:tc>
        <w:tc>
          <w:tcPr>
            <w:tcW w:type="dxa" w:w="3402"/>
          </w:tcPr>
          <w:p>
            <w:pPr>
              <w:spacing w:after="40"/>
            </w:pPr>
            <w:r>
              <w:rPr>
                <w:sz w:val="18"/>
              </w:rPr>
              <w:t>oben, mittig</w:t>
              <w:br/>
              <w:t>x 50.1–56.5 %</w:t>
              <w:br/>
              <w:t>y 31.5–32.9 %</w:t>
            </w:r>
          </w:p>
        </w:tc>
      </w:tr>
      <w:tr>
        <w:trPr>
          <w:cantSplit/>
        </w:trPr>
        <w:tc>
          <w:tcPr>
            <w:tcW w:type="dxa" w:w="3288"/>
          </w:tcPr>
          <w:p>
            <w:pPr>
              <w:spacing w:after="40"/>
            </w:pPr>
            <w:r>
              <w:rPr>
                <w:sz w:val="18"/>
              </w:rPr>
              <w:t>Activity</w:t>
            </w:r>
          </w:p>
        </w:tc>
        <w:tc>
          <w:tcPr>
            <w:tcW w:type="dxa" w:w="3005"/>
          </w:tcPr>
          <w:p>
            <w:pPr>
              <w:spacing w:after="40"/>
            </w:pPr>
            <w:r>
              <w:rPr>
                <w:sz w:val="18"/>
              </w:rPr>
              <w:t>x 1119–1163</w:t>
              <w:br/>
              <w:t>y 288–301</w:t>
            </w:r>
          </w:p>
        </w:tc>
        <w:tc>
          <w:tcPr>
            <w:tcW w:type="dxa" w:w="3402"/>
          </w:tcPr>
          <w:p>
            <w:pPr>
              <w:spacing w:after="40"/>
            </w:pPr>
            <w:r>
              <w:rPr>
                <w:sz w:val="18"/>
              </w:rPr>
              <w:t>oben, mittig</w:t>
              <w:br/>
              <w:t>x 58.5–60.8 %</w:t>
              <w:br/>
              <w:t>y 31.5–32.9 %</w:t>
            </w:r>
          </w:p>
        </w:tc>
      </w:tr>
      <w:tr>
        <w:trPr>
          <w:cantSplit/>
        </w:trPr>
        <w:tc>
          <w:tcPr>
            <w:tcW w:type="dxa" w:w="3288"/>
          </w:tcPr>
          <w:p>
            <w:pPr>
              <w:spacing w:after="40"/>
            </w:pPr>
            <w:r>
              <w:rPr>
                <w:sz w:val="18"/>
              </w:rPr>
              <w:t>Status</w:t>
            </w:r>
          </w:p>
        </w:tc>
        <w:tc>
          <w:tcPr>
            <w:tcW w:type="dxa" w:w="3005"/>
          </w:tcPr>
          <w:p>
            <w:pPr>
              <w:spacing w:after="40"/>
            </w:pPr>
            <w:r>
              <w:rPr>
                <w:sz w:val="18"/>
              </w:rPr>
              <w:t>x 1280–1318</w:t>
              <w:br/>
              <w:t>y 288–298</w:t>
            </w:r>
          </w:p>
        </w:tc>
        <w:tc>
          <w:tcPr>
            <w:tcW w:type="dxa" w:w="3402"/>
          </w:tcPr>
          <w:p>
            <w:pPr>
              <w:spacing w:after="40"/>
            </w:pPr>
            <w:r>
              <w:rPr>
                <w:sz w:val="18"/>
              </w:rPr>
              <w:t>oben, rechts</w:t>
              <w:br/>
              <w:t>x 66.8–68.8 %</w:t>
              <w:br/>
              <w:t>y 31.5–32.6 %</w:t>
            </w:r>
          </w:p>
        </w:tc>
      </w:tr>
      <w:tr>
        <w:trPr>
          <w:cantSplit/>
        </w:trPr>
        <w:tc>
          <w:tcPr>
            <w:tcW w:type="dxa" w:w="3288"/>
          </w:tcPr>
          <w:p>
            <w:pPr>
              <w:spacing w:after="40"/>
            </w:pPr>
            <w:r>
              <w:rPr>
                <w:sz w:val="18"/>
              </w:rPr>
              <w:t>Records</w:t>
            </w:r>
          </w:p>
        </w:tc>
        <w:tc>
          <w:tcPr>
            <w:tcW w:type="dxa" w:w="3005"/>
          </w:tcPr>
          <w:p>
            <w:pPr>
              <w:spacing w:after="40"/>
            </w:pPr>
            <w:r>
              <w:rPr>
                <w:sz w:val="18"/>
              </w:rPr>
              <w:t>x 1440–1489</w:t>
              <w:br/>
              <w:t>y 288–298</w:t>
            </w:r>
          </w:p>
        </w:tc>
        <w:tc>
          <w:tcPr>
            <w:tcW w:type="dxa" w:w="3402"/>
          </w:tcPr>
          <w:p>
            <w:pPr>
              <w:spacing w:after="40"/>
            </w:pPr>
            <w:r>
              <w:rPr>
                <w:sz w:val="18"/>
              </w:rPr>
              <w:t>oben, rechts</w:t>
              <w:br/>
              <w:t>x 75.2–77.8 %</w:t>
              <w:br/>
              <w:t>y 31.5–32.6 %</w:t>
            </w:r>
          </w:p>
        </w:tc>
      </w:tr>
      <w:tr>
        <w:trPr>
          <w:cantSplit/>
        </w:trPr>
        <w:tc>
          <w:tcPr>
            <w:tcW w:type="dxa" w:w="3288"/>
          </w:tcPr>
          <w:p>
            <w:pPr>
              <w:spacing w:after="40"/>
            </w:pPr>
            <w:r>
              <w:rPr>
                <w:sz w:val="18"/>
              </w:rPr>
              <w:t>Duration</w:t>
            </w:r>
          </w:p>
        </w:tc>
        <w:tc>
          <w:tcPr>
            <w:tcW w:type="dxa" w:w="3005"/>
          </w:tcPr>
          <w:p>
            <w:pPr>
              <w:spacing w:after="40"/>
            </w:pPr>
            <w:r>
              <w:rPr>
                <w:sz w:val="18"/>
              </w:rPr>
              <w:t>x 1600–1651</w:t>
              <w:br/>
              <w:t>y 288–298</w:t>
            </w:r>
          </w:p>
        </w:tc>
        <w:tc>
          <w:tcPr>
            <w:tcW w:type="dxa" w:w="3402"/>
          </w:tcPr>
          <w:p>
            <w:pPr>
              <w:spacing w:after="40"/>
            </w:pPr>
            <w:r>
              <w:rPr>
                <w:sz w:val="18"/>
              </w:rPr>
              <w:t>oben, rechts</w:t>
              <w:br/>
              <w:t>x 83.6–86.3 %</w:t>
              <w:br/>
              <w:t>y 31.5–32.6 %</w:t>
            </w:r>
          </w:p>
        </w:tc>
      </w:tr>
      <w:tr>
        <w:trPr>
          <w:cantSplit/>
        </w:trPr>
        <w:tc>
          <w:tcPr>
            <w:tcW w:type="dxa" w:w="3288"/>
          </w:tcPr>
          <w:p>
            <w:pPr>
              <w:spacing w:after="40"/>
            </w:pPr>
            <w:r>
              <w:rPr>
                <w:sz w:val="18"/>
              </w:rPr>
              <w:t>SAP HANA</w:t>
            </w:r>
          </w:p>
        </w:tc>
        <w:tc>
          <w:tcPr>
            <w:tcW w:type="dxa" w:w="3005"/>
          </w:tcPr>
          <w:p>
            <w:pPr>
              <w:spacing w:after="40"/>
            </w:pPr>
            <w:r>
              <w:rPr>
                <w:sz w:val="18"/>
              </w:rPr>
              <w:t>x 1760–1826</w:t>
              <w:br/>
              <w:t>y 288–298</w:t>
            </w:r>
          </w:p>
        </w:tc>
        <w:tc>
          <w:tcPr>
            <w:tcW w:type="dxa" w:w="3402"/>
          </w:tcPr>
          <w:p>
            <w:pPr>
              <w:spacing w:after="40"/>
            </w:pPr>
            <w:r>
              <w:rPr>
                <w:sz w:val="18"/>
              </w:rPr>
              <w:t>oben, rechts</w:t>
              <w:br/>
              <w:t>x 91.9–95.4 %</w:t>
              <w:br/>
              <w:t>y 31.5–32.6 %</w:t>
            </w:r>
          </w:p>
        </w:tc>
      </w:tr>
      <w:tr>
        <w:trPr>
          <w:cantSplit/>
        </w:trPr>
        <w:tc>
          <w:tcPr>
            <w:tcW w:type="dxa" w:w="3288"/>
          </w:tcPr>
          <w:p>
            <w:pPr>
              <w:spacing w:after="40"/>
            </w:pPr>
            <w:r>
              <w:rPr>
                <w:sz w:val="18"/>
              </w:rPr>
              <w:t>Expensive Statement Logs</w:t>
            </w:r>
          </w:p>
        </w:tc>
        <w:tc>
          <w:tcPr>
            <w:tcW w:type="dxa" w:w="3005"/>
          </w:tcPr>
          <w:p>
            <w:pPr>
              <w:spacing w:after="40"/>
            </w:pPr>
            <w:r>
              <w:rPr>
                <w:sz w:val="18"/>
              </w:rPr>
              <w:t>x 48–210</w:t>
              <w:br/>
              <w:t>y 319–332</w:t>
            </w:r>
          </w:p>
        </w:tc>
        <w:tc>
          <w:tcPr>
            <w:tcW w:type="dxa" w:w="3402"/>
          </w:tcPr>
          <w:p>
            <w:pPr>
              <w:spacing w:after="40"/>
            </w:pPr>
            <w:r>
              <w:rPr>
                <w:sz w:val="18"/>
              </w:rPr>
              <w:t>auf mittlerer Höhe, links</w:t>
              <w:br/>
              <w:t>x 2.5–11.0 %</w:t>
              <w:br/>
              <w:t>y 34.9–36.3 %</w:t>
            </w:r>
          </w:p>
        </w:tc>
      </w:tr>
      <w:tr>
        <w:trPr>
          <w:cantSplit/>
        </w:trPr>
        <w:tc>
          <w:tcPr>
            <w:tcW w:type="dxa" w:w="3288"/>
          </w:tcPr>
          <w:p>
            <w:pPr>
              <w:spacing w:after="40"/>
            </w:pPr>
            <w:r>
              <w:rPr>
                <w:sz w:val="18"/>
              </w:rPr>
              <w:t>REPLICATION_FLOWS</w:t>
            </w:r>
          </w:p>
        </w:tc>
        <w:tc>
          <w:tcPr>
            <w:tcW w:type="dxa" w:w="3005"/>
          </w:tcPr>
          <w:p>
            <w:pPr>
              <w:spacing w:after="40"/>
            </w:pPr>
            <w:r>
              <w:rPr>
                <w:sz w:val="18"/>
              </w:rPr>
              <w:t>x 640–779</w:t>
              <w:br/>
              <w:t>y 321–333</w:t>
            </w:r>
          </w:p>
        </w:tc>
        <w:tc>
          <w:tcPr>
            <w:tcW w:type="dxa" w:w="3402"/>
          </w:tcPr>
          <w:p>
            <w:pPr>
              <w:spacing w:after="40"/>
            </w:pPr>
            <w:r>
              <w:rPr>
                <w:sz w:val="18"/>
              </w:rPr>
              <w:t>auf mittlerer Höhe, mittig</w:t>
              <w:br/>
              <w:t>x 33.4–40.7 %</w:t>
              <w:br/>
              <w:t>y 35.1–36.4 %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321–331</w:t>
            </w:r>
          </w:p>
        </w:tc>
        <w:tc>
          <w:tcPr>
            <w:tcW w:type="dxa" w:w="3402"/>
          </w:tcPr>
          <w:p>
            <w:pPr>
              <w:spacing w:after="40"/>
            </w:pPr>
            <w:r>
              <w:rPr>
                <w:sz w:val="18"/>
              </w:rPr>
              <w:t>auf mittlerer Höhe, mittig</w:t>
              <w:br/>
              <w:t>x 50.1–56.8 %</w:t>
              <w:br/>
              <w:t>y 35.1–36.2 %</w:t>
            </w:r>
          </w:p>
        </w:tc>
      </w:tr>
      <w:tr>
        <w:trPr>
          <w:cantSplit/>
        </w:trPr>
        <w:tc>
          <w:tcPr>
            <w:tcW w:type="dxa" w:w="3288"/>
          </w:tcPr>
          <w:p>
            <w:pPr>
              <w:spacing w:after="40"/>
            </w:pPr>
            <w:r>
              <w:rPr>
                <w:sz w:val="18"/>
              </w:rPr>
              <w:t>RUN_PERMANENT</w:t>
            </w:r>
          </w:p>
        </w:tc>
        <w:tc>
          <w:tcPr>
            <w:tcW w:type="dxa" w:w="3005"/>
          </w:tcPr>
          <w:p>
            <w:pPr>
              <w:spacing w:after="40"/>
            </w:pPr>
            <w:r>
              <w:rPr>
                <w:sz w:val="18"/>
              </w:rPr>
              <w:t>x 1120–1238</w:t>
              <w:br/>
              <w:t>y 321–333</w:t>
            </w:r>
          </w:p>
        </w:tc>
        <w:tc>
          <w:tcPr>
            <w:tcW w:type="dxa" w:w="3402"/>
          </w:tcPr>
          <w:p>
            <w:pPr>
              <w:spacing w:after="40"/>
            </w:pPr>
            <w:r>
              <w:rPr>
                <w:sz w:val="18"/>
              </w:rPr>
              <w:t>auf mittlerer Höhe, mittig</w:t>
              <w:br/>
              <w:t>x 58.5–64.7 %</w:t>
              <w:br/>
              <w:t>y 35.1–36.4 %</w:t>
            </w:r>
          </w:p>
        </w:tc>
      </w:tr>
      <w:tr>
        <w:trPr>
          <w:cantSplit/>
        </w:trPr>
        <w:tc>
          <w:tcPr>
            <w:tcW w:type="dxa" w:w="3288"/>
          </w:tcPr>
          <w:p>
            <w:pPr>
              <w:spacing w:after="40"/>
            </w:pPr>
            <w:r>
              <w:rPr>
                <w:sz w:val="18"/>
              </w:rPr>
              <w:t>RUNNING</w:t>
            </w:r>
          </w:p>
        </w:tc>
        <w:tc>
          <w:tcPr>
            <w:tcW w:type="dxa" w:w="3005"/>
          </w:tcPr>
          <w:p>
            <w:pPr>
              <w:spacing w:after="40"/>
            </w:pPr>
            <w:r>
              <w:rPr>
                <w:sz w:val="18"/>
              </w:rPr>
              <w:t>x 1280–1341</w:t>
              <w:br/>
              <w:t>y 321–331</w:t>
            </w:r>
          </w:p>
        </w:tc>
        <w:tc>
          <w:tcPr>
            <w:tcW w:type="dxa" w:w="3402"/>
          </w:tcPr>
          <w:p>
            <w:pPr>
              <w:spacing w:after="40"/>
            </w:pPr>
            <w:r>
              <w:rPr>
                <w:sz w:val="18"/>
              </w:rPr>
              <w:t>auf mittlerer Höhe, rechts</w:t>
              <w:br/>
              <w:t>x 66.9–70.1 %</w:t>
              <w:br/>
              <w:t>y 35.1–36.2 %</w:t>
            </w:r>
          </w:p>
        </w:tc>
      </w:tr>
      <w:tr>
        <w:trPr>
          <w:cantSplit/>
        </w:trPr>
        <w:tc>
          <w:tcPr>
            <w:tcW w:type="dxa" w:w="3288"/>
          </w:tcPr>
          <w:p>
            <w:pPr>
              <w:spacing w:after="40"/>
            </w:pPr>
            <w:r>
              <w:rPr>
                <w:sz w:val="18"/>
              </w:rPr>
              <w:t>Elastic Compute Nodes</w:t>
            </w:r>
          </w:p>
        </w:tc>
        <w:tc>
          <w:tcPr>
            <w:tcW w:type="dxa" w:w="3005"/>
          </w:tcPr>
          <w:p>
            <w:pPr>
              <w:spacing w:after="40"/>
            </w:pPr>
            <w:r>
              <w:rPr>
                <w:sz w:val="18"/>
              </w:rPr>
              <w:t>x 48–191</w:t>
              <w:br/>
              <w:t>y 355–368</w:t>
            </w:r>
          </w:p>
        </w:tc>
        <w:tc>
          <w:tcPr>
            <w:tcW w:type="dxa" w:w="3402"/>
          </w:tcPr>
          <w:p>
            <w:pPr>
              <w:spacing w:after="40"/>
            </w:pPr>
            <w:r>
              <w:rPr>
                <w:sz w:val="18"/>
              </w:rPr>
              <w:t>auf mittlerer Höhe, links</w:t>
              <w:br/>
              <w:t>x 2.5–10.0 %</w:t>
              <w:br/>
              <w:t>y 38.8–40.2 %</w:t>
            </w:r>
          </w:p>
        </w:tc>
      </w:tr>
      <w:tr>
        <w:trPr>
          <w:cantSplit/>
        </w:trPr>
        <w:tc>
          <w:tcPr>
            <w:tcW w:type="dxa" w:w="3288"/>
          </w:tcPr>
          <w:p>
            <w:pPr>
              <w:spacing w:after="40"/>
            </w:pPr>
            <w:r>
              <w:rPr>
                <w:sz w:val="18"/>
              </w:rPr>
              <w:t>REPLICATION_FLOWS</w:t>
            </w:r>
          </w:p>
        </w:tc>
        <w:tc>
          <w:tcPr>
            <w:tcW w:type="dxa" w:w="3005"/>
          </w:tcPr>
          <w:p>
            <w:pPr>
              <w:spacing w:after="40"/>
            </w:pPr>
            <w:r>
              <w:rPr>
                <w:sz w:val="18"/>
              </w:rPr>
              <w:t>x 640–779</w:t>
              <w:br/>
              <w:t>y 354–366</w:t>
            </w:r>
          </w:p>
        </w:tc>
        <w:tc>
          <w:tcPr>
            <w:tcW w:type="dxa" w:w="3402"/>
          </w:tcPr>
          <w:p>
            <w:pPr>
              <w:spacing w:after="40"/>
            </w:pPr>
            <w:r>
              <w:rPr>
                <w:sz w:val="18"/>
              </w:rPr>
              <w:t>auf mittlerer Höhe, mittig</w:t>
              <w:br/>
              <w:t>x 33.4–40.7 %</w:t>
              <w:br/>
              <w:t>y 38.7–40.0 %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354–364</w:t>
            </w:r>
          </w:p>
        </w:tc>
        <w:tc>
          <w:tcPr>
            <w:tcW w:type="dxa" w:w="3402"/>
          </w:tcPr>
          <w:p>
            <w:pPr>
              <w:spacing w:after="40"/>
            </w:pPr>
            <w:r>
              <w:rPr>
                <w:sz w:val="18"/>
              </w:rPr>
              <w:t>auf mittlerer Höhe, mittig</w:t>
              <w:br/>
              <w:t>x 50.1–56.8 %</w:t>
              <w:br/>
              <w:t>y 38.7–39.8 %</w:t>
            </w:r>
          </w:p>
        </w:tc>
      </w:tr>
      <w:tr>
        <w:trPr>
          <w:cantSplit/>
        </w:trPr>
        <w:tc>
          <w:tcPr>
            <w:tcW w:type="dxa" w:w="3288"/>
          </w:tcPr>
          <w:p>
            <w:pPr>
              <w:spacing w:after="40"/>
            </w:pPr>
            <w:r>
              <w:rPr>
                <w:sz w:val="18"/>
              </w:rPr>
              <w:t>RUN_PERMANENT</w:t>
            </w:r>
          </w:p>
        </w:tc>
        <w:tc>
          <w:tcPr>
            <w:tcW w:type="dxa" w:w="3005"/>
          </w:tcPr>
          <w:p>
            <w:pPr>
              <w:spacing w:after="40"/>
            </w:pPr>
            <w:r>
              <w:rPr>
                <w:sz w:val="18"/>
              </w:rPr>
              <w:t>x 1120–1238</w:t>
              <w:br/>
              <w:t>y 354–366</w:t>
            </w:r>
          </w:p>
        </w:tc>
        <w:tc>
          <w:tcPr>
            <w:tcW w:type="dxa" w:w="3402"/>
          </w:tcPr>
          <w:p>
            <w:pPr>
              <w:spacing w:after="40"/>
            </w:pPr>
            <w:r>
              <w:rPr>
                <w:sz w:val="18"/>
              </w:rPr>
              <w:t>auf mittlerer Höhe, mittig</w:t>
              <w:br/>
              <w:t>x 58.5–64.7 %</w:t>
              <w:br/>
              <w:t>y 38.7–40.0 %</w:t>
            </w:r>
          </w:p>
        </w:tc>
      </w:tr>
      <w:tr>
        <w:trPr>
          <w:cantSplit/>
        </w:trPr>
        <w:tc>
          <w:tcPr>
            <w:tcW w:type="dxa" w:w="3288"/>
          </w:tcPr>
          <w:p>
            <w:pPr>
              <w:spacing w:after="40"/>
            </w:pPr>
            <w:r>
              <w:rPr>
                <w:sz w:val="18"/>
              </w:rPr>
              <w:t>RUNNING</w:t>
            </w:r>
          </w:p>
        </w:tc>
        <w:tc>
          <w:tcPr>
            <w:tcW w:type="dxa" w:w="3005"/>
          </w:tcPr>
          <w:p>
            <w:pPr>
              <w:spacing w:after="40"/>
            </w:pPr>
            <w:r>
              <w:rPr>
                <w:sz w:val="18"/>
              </w:rPr>
              <w:t>x 1280–1341</w:t>
              <w:br/>
              <w:t>y 354–364</w:t>
            </w:r>
          </w:p>
        </w:tc>
        <w:tc>
          <w:tcPr>
            <w:tcW w:type="dxa" w:w="3402"/>
          </w:tcPr>
          <w:p>
            <w:pPr>
              <w:spacing w:after="40"/>
            </w:pPr>
            <w:r>
              <w:rPr>
                <w:sz w:val="18"/>
              </w:rPr>
              <w:t>auf mittlerer Höhe, rechts</w:t>
              <w:br/>
              <w:t>x 66.9–70.1 %</w:t>
              <w:br/>
              <w:t>y 38.7–39.8 %</w:t>
            </w:r>
          </w:p>
        </w:tc>
      </w:tr>
      <w:tr>
        <w:trPr>
          <w:cantSplit/>
        </w:trPr>
        <w:tc>
          <w:tcPr>
            <w:tcW w:type="dxa" w:w="3288"/>
          </w:tcPr>
          <w:p>
            <w:pPr>
              <w:spacing w:after="40"/>
            </w:pPr>
            <w:r>
              <w:rPr>
                <w:sz w:val="18"/>
              </w:rPr>
              <w:t>DATA_FLOWS</w:t>
            </w:r>
          </w:p>
        </w:tc>
        <w:tc>
          <w:tcPr>
            <w:tcW w:type="dxa" w:w="3005"/>
          </w:tcPr>
          <w:p>
            <w:pPr>
              <w:spacing w:after="40"/>
            </w:pPr>
            <w:r>
              <w:rPr>
                <w:sz w:val="18"/>
              </w:rPr>
              <w:t>x 640–726</w:t>
              <w:br/>
              <w:t>y 387–399</w:t>
            </w:r>
          </w:p>
        </w:tc>
        <w:tc>
          <w:tcPr>
            <w:tcW w:type="dxa" w:w="3402"/>
          </w:tcPr>
          <w:p>
            <w:pPr>
              <w:spacing w:after="40"/>
            </w:pPr>
            <w:r>
              <w:rPr>
                <w:sz w:val="18"/>
              </w:rPr>
              <w:t>auf mittlerer Höhe, mittig</w:t>
              <w:br/>
              <w:t>x 33.4–37.9 %</w:t>
              <w:br/>
              <w:t>y 42.3–43.6 %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387–397</w:t>
            </w:r>
          </w:p>
        </w:tc>
        <w:tc>
          <w:tcPr>
            <w:tcW w:type="dxa" w:w="3402"/>
          </w:tcPr>
          <w:p>
            <w:pPr>
              <w:spacing w:after="40"/>
            </w:pPr>
            <w:r>
              <w:rPr>
                <w:sz w:val="18"/>
              </w:rPr>
              <w:t>auf mittlerer Höhe, mittig</w:t>
              <w:br/>
              <w:t>x 50.1–56.8 %</w:t>
              <w:br/>
              <w:t>y 42.3–43.4 %</w:t>
            </w:r>
          </w:p>
        </w:tc>
      </w:tr>
      <w:tr>
        <w:trPr>
          <w:cantSplit/>
        </w:trPr>
        <w:tc>
          <w:tcPr>
            <w:tcW w:type="dxa" w:w="3288"/>
          </w:tcPr>
          <w:p>
            <w:pPr>
              <w:spacing w:after="40"/>
            </w:pPr>
            <w:r>
              <w:rPr>
                <w:sz w:val="18"/>
              </w:rPr>
              <w:t>RUN</w:t>
            </w:r>
          </w:p>
        </w:tc>
        <w:tc>
          <w:tcPr>
            <w:tcW w:type="dxa" w:w="3005"/>
          </w:tcPr>
          <w:p>
            <w:pPr>
              <w:spacing w:after="40"/>
            </w:pPr>
            <w:r>
              <w:rPr>
                <w:sz w:val="18"/>
              </w:rPr>
              <w:t>x 1120–1147</w:t>
              <w:br/>
              <w:t>y 387–397</w:t>
            </w:r>
          </w:p>
        </w:tc>
        <w:tc>
          <w:tcPr>
            <w:tcW w:type="dxa" w:w="3402"/>
          </w:tcPr>
          <w:p>
            <w:pPr>
              <w:spacing w:after="40"/>
            </w:pPr>
            <w:r>
              <w:rPr>
                <w:sz w:val="18"/>
              </w:rPr>
              <w:t>auf mittlerer Höhe, mittig</w:t>
              <w:br/>
              <w:t>x 58.5–59.9 %</w:t>
              <w:br/>
              <w:t>y 42.3–43.4 %</w:t>
            </w:r>
          </w:p>
        </w:tc>
      </w:tr>
      <w:tr>
        <w:trPr>
          <w:cantSplit/>
        </w:trPr>
        <w:tc>
          <w:tcPr>
            <w:tcW w:type="dxa" w:w="3288"/>
          </w:tcPr>
          <w:p>
            <w:pPr>
              <w:spacing w:after="40"/>
            </w:pPr>
            <w:r>
              <w:rPr>
                <w:sz w:val="18"/>
              </w:rPr>
              <w:t>COMPLETED</w:t>
            </w:r>
          </w:p>
        </w:tc>
        <w:tc>
          <w:tcPr>
            <w:tcW w:type="dxa" w:w="3005"/>
          </w:tcPr>
          <w:p>
            <w:pPr>
              <w:spacing w:after="40"/>
            </w:pPr>
            <w:r>
              <w:rPr>
                <w:sz w:val="18"/>
              </w:rPr>
              <w:t>x 1279–1360</w:t>
              <w:br/>
              <w:t>y 387–397</w:t>
            </w:r>
          </w:p>
        </w:tc>
        <w:tc>
          <w:tcPr>
            <w:tcW w:type="dxa" w:w="3402"/>
          </w:tcPr>
          <w:p>
            <w:pPr>
              <w:spacing w:after="40"/>
            </w:pPr>
            <w:r>
              <w:rPr>
                <w:sz w:val="18"/>
              </w:rPr>
              <w:t>auf mittlerer Höhe, rechts</w:t>
              <w:br/>
              <w:t>x 66.8–71.1 %</w:t>
              <w:br/>
              <w:t>y 42.3–43.4 %</w:t>
            </w:r>
          </w:p>
        </w:tc>
      </w:tr>
      <w:tr>
        <w:trPr>
          <w:cantSplit/>
        </w:trPr>
        <w:tc>
          <w:tcPr>
            <w:tcW w:type="dxa" w:w="3288"/>
          </w:tcPr>
          <w:p>
            <w:pPr>
              <w:spacing w:after="40"/>
            </w:pPr>
            <w:r>
              <w:rPr>
                <w:sz w:val="18"/>
              </w:rPr>
              <w:t>Data Integration</w:t>
            </w:r>
          </w:p>
        </w:tc>
        <w:tc>
          <w:tcPr>
            <w:tcW w:type="dxa" w:w="3005"/>
          </w:tcPr>
          <w:p>
            <w:pPr>
              <w:spacing w:after="40"/>
            </w:pPr>
            <w:r>
              <w:rPr>
                <w:sz w:val="18"/>
              </w:rPr>
              <w:t>x 48–146</w:t>
              <w:br/>
              <w:t>y 391–404</w:t>
            </w:r>
          </w:p>
        </w:tc>
        <w:tc>
          <w:tcPr>
            <w:tcW w:type="dxa" w:w="3402"/>
          </w:tcPr>
          <w:p>
            <w:pPr>
              <w:spacing w:after="40"/>
            </w:pPr>
            <w:r>
              <w:rPr>
                <w:sz w:val="18"/>
              </w:rPr>
              <w:t>auf mittlerer Höhe, links</w:t>
              <w:br/>
              <w:t>x 2.5–7.6 %</w:t>
              <w:br/>
              <w:t>y 42.7–44.2 %</w:t>
            </w:r>
          </w:p>
        </w:tc>
      </w:tr>
      <w:tr>
        <w:trPr>
          <w:cantSplit/>
        </w:trPr>
        <w:tc>
          <w:tcPr>
            <w:tcW w:type="dxa" w:w="3288"/>
          </w:tcPr>
          <w:p>
            <w:pPr>
              <w:spacing w:after="40"/>
            </w:pPr>
            <w:r>
              <w:rPr>
                <w:sz w:val="18"/>
              </w:rPr>
              <w:t>DATA_FLOWS</w:t>
            </w:r>
          </w:p>
        </w:tc>
        <w:tc>
          <w:tcPr>
            <w:tcW w:type="dxa" w:w="3005"/>
          </w:tcPr>
          <w:p>
            <w:pPr>
              <w:spacing w:after="40"/>
            </w:pPr>
            <w:r>
              <w:rPr>
                <w:sz w:val="18"/>
              </w:rPr>
              <w:t>x 640–726</w:t>
              <w:br/>
              <w:t>y 420–432</w:t>
            </w:r>
          </w:p>
        </w:tc>
        <w:tc>
          <w:tcPr>
            <w:tcW w:type="dxa" w:w="3402"/>
          </w:tcPr>
          <w:p>
            <w:pPr>
              <w:spacing w:after="40"/>
            </w:pPr>
            <w:r>
              <w:rPr>
                <w:sz w:val="18"/>
              </w:rPr>
              <w:t>auf mittlerer Höhe, mittig</w:t>
              <w:br/>
              <w:t>x 33.4–37.9 %</w:t>
              <w:br/>
              <w:t>y 45.9–47.2 %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420–430</w:t>
            </w:r>
          </w:p>
        </w:tc>
        <w:tc>
          <w:tcPr>
            <w:tcW w:type="dxa" w:w="3402"/>
          </w:tcPr>
          <w:p>
            <w:pPr>
              <w:spacing w:after="40"/>
            </w:pPr>
            <w:r>
              <w:rPr>
                <w:sz w:val="18"/>
              </w:rPr>
              <w:t>auf mittlerer Höhe, mittig</w:t>
              <w:br/>
              <w:t>x 50.1–56.8 %</w:t>
              <w:br/>
              <w:t>y 45.9–47.0 %</w:t>
            </w:r>
          </w:p>
        </w:tc>
      </w:tr>
      <w:tr>
        <w:trPr>
          <w:cantSplit/>
        </w:trPr>
        <w:tc>
          <w:tcPr>
            <w:tcW w:type="dxa" w:w="3288"/>
          </w:tcPr>
          <w:p>
            <w:pPr>
              <w:spacing w:after="40"/>
            </w:pPr>
            <w:r>
              <w:rPr>
                <w:sz w:val="18"/>
              </w:rPr>
              <w:t>RUN</w:t>
            </w:r>
          </w:p>
        </w:tc>
        <w:tc>
          <w:tcPr>
            <w:tcW w:type="dxa" w:w="3005"/>
          </w:tcPr>
          <w:p>
            <w:pPr>
              <w:spacing w:after="40"/>
            </w:pPr>
            <w:r>
              <w:rPr>
                <w:sz w:val="18"/>
              </w:rPr>
              <w:t>x 1120–1147</w:t>
              <w:br/>
              <w:t>y 420–430</w:t>
            </w:r>
          </w:p>
        </w:tc>
        <w:tc>
          <w:tcPr>
            <w:tcW w:type="dxa" w:w="3402"/>
          </w:tcPr>
          <w:p>
            <w:pPr>
              <w:spacing w:after="40"/>
            </w:pPr>
            <w:r>
              <w:rPr>
                <w:sz w:val="18"/>
              </w:rPr>
              <w:t>auf mittlerer Höhe, mittig</w:t>
              <w:br/>
              <w:t>x 58.5–59.9 %</w:t>
              <w:br/>
              <w:t>y 45.9–47.0 %</w:t>
            </w:r>
          </w:p>
        </w:tc>
      </w:tr>
      <w:tr>
        <w:trPr>
          <w:cantSplit/>
        </w:trPr>
        <w:tc>
          <w:tcPr>
            <w:tcW w:type="dxa" w:w="3288"/>
          </w:tcPr>
          <w:p>
            <w:pPr>
              <w:spacing w:after="40"/>
            </w:pPr>
            <w:r>
              <w:rPr>
                <w:sz w:val="18"/>
              </w:rPr>
              <w:t>COMPLETED</w:t>
            </w:r>
          </w:p>
        </w:tc>
        <w:tc>
          <w:tcPr>
            <w:tcW w:type="dxa" w:w="3005"/>
          </w:tcPr>
          <w:p>
            <w:pPr>
              <w:spacing w:after="40"/>
            </w:pPr>
            <w:r>
              <w:rPr>
                <w:sz w:val="18"/>
              </w:rPr>
              <w:t>x 1279–1360</w:t>
              <w:br/>
              <w:t>y 420–430</w:t>
            </w:r>
          </w:p>
        </w:tc>
        <w:tc>
          <w:tcPr>
            <w:tcW w:type="dxa" w:w="3402"/>
          </w:tcPr>
          <w:p>
            <w:pPr>
              <w:spacing w:after="40"/>
            </w:pPr>
            <w:r>
              <w:rPr>
                <w:sz w:val="18"/>
              </w:rPr>
              <w:t>auf mittlerer Höhe, rechts</w:t>
              <w:br/>
              <w:t>x 66.8–71.1 %</w:t>
              <w:br/>
              <w:t>y 45.9–47.0 %</w:t>
            </w:r>
          </w:p>
        </w:tc>
      </w:tr>
      <w:tr>
        <w:trPr>
          <w:cantSplit/>
        </w:trPr>
        <w:tc>
          <w:tcPr>
            <w:tcW w:type="dxa" w:w="3288"/>
          </w:tcPr>
          <w:p>
            <w:pPr>
              <w:spacing w:after="40"/>
            </w:pPr>
            <w:r>
              <w:rPr>
                <w:sz w:val="18"/>
              </w:rPr>
              <w:t>TASK_CHAINS</w:t>
            </w:r>
          </w:p>
        </w:tc>
        <w:tc>
          <w:tcPr>
            <w:tcW w:type="dxa" w:w="3005"/>
          </w:tcPr>
          <w:p>
            <w:pPr>
              <w:spacing w:after="40"/>
            </w:pPr>
            <w:r>
              <w:rPr>
                <w:sz w:val="18"/>
              </w:rPr>
              <w:t>x 639–730</w:t>
              <w:br/>
              <w:t>y 453–465</w:t>
            </w:r>
          </w:p>
        </w:tc>
        <w:tc>
          <w:tcPr>
            <w:tcW w:type="dxa" w:w="3402"/>
          </w:tcPr>
          <w:p>
            <w:pPr>
              <w:spacing w:after="40"/>
            </w:pPr>
            <w:r>
              <w:rPr>
                <w:sz w:val="18"/>
              </w:rPr>
              <w:t>auf mittlerer Höhe, mittig</w:t>
              <w:br/>
              <w:t>x 33.4–38.1 %</w:t>
              <w:br/>
              <w:t>y 49.5–50.8 %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453–463</w:t>
            </w:r>
          </w:p>
        </w:tc>
        <w:tc>
          <w:tcPr>
            <w:tcW w:type="dxa" w:w="3402"/>
          </w:tcPr>
          <w:p>
            <w:pPr>
              <w:spacing w:after="40"/>
            </w:pPr>
            <w:r>
              <w:rPr>
                <w:sz w:val="18"/>
              </w:rPr>
              <w:t>auf mittlerer Höhe, mittig</w:t>
              <w:br/>
              <w:t>x 50.1–56.8 %</w:t>
              <w:br/>
              <w:t>y 49.5–50.6 %</w:t>
            </w:r>
          </w:p>
        </w:tc>
      </w:tr>
      <w:tr>
        <w:trPr>
          <w:cantSplit/>
        </w:trPr>
        <w:tc>
          <w:tcPr>
            <w:tcW w:type="dxa" w:w="3288"/>
          </w:tcPr>
          <w:p>
            <w:pPr>
              <w:spacing w:after="40"/>
            </w:pPr>
            <w:r>
              <w:rPr>
                <w:sz w:val="18"/>
              </w:rPr>
              <w:t>RUN_CHAIN</w:t>
            </w:r>
          </w:p>
        </w:tc>
        <w:tc>
          <w:tcPr>
            <w:tcW w:type="dxa" w:w="3005"/>
          </w:tcPr>
          <w:p>
            <w:pPr>
              <w:spacing w:after="40"/>
            </w:pPr>
            <w:r>
              <w:rPr>
                <w:sz w:val="18"/>
              </w:rPr>
              <w:t>x 1120–1197</w:t>
              <w:br/>
              <w:t>y 453–465</w:t>
            </w:r>
          </w:p>
        </w:tc>
        <w:tc>
          <w:tcPr>
            <w:tcW w:type="dxa" w:w="3402"/>
          </w:tcPr>
          <w:p>
            <w:pPr>
              <w:spacing w:after="40"/>
            </w:pPr>
            <w:r>
              <w:rPr>
                <w:sz w:val="18"/>
              </w:rPr>
              <w:t>auf mittlerer Höhe, mittig</w:t>
              <w:br/>
              <w:t>x 58.5–62.5 %</w:t>
              <w:br/>
              <w:t>y 49.5–50.8 %</w:t>
            </w:r>
          </w:p>
        </w:tc>
      </w:tr>
      <w:tr>
        <w:trPr>
          <w:cantSplit/>
        </w:trPr>
        <w:tc>
          <w:tcPr>
            <w:tcW w:type="dxa" w:w="3288"/>
          </w:tcPr>
          <w:p>
            <w:pPr>
              <w:spacing w:after="40"/>
            </w:pPr>
            <w:r>
              <w:rPr>
                <w:sz w:val="18"/>
              </w:rPr>
              <w:t>COMPLETED</w:t>
            </w:r>
          </w:p>
        </w:tc>
        <w:tc>
          <w:tcPr>
            <w:tcW w:type="dxa" w:w="3005"/>
          </w:tcPr>
          <w:p>
            <w:pPr>
              <w:spacing w:after="40"/>
            </w:pPr>
            <w:r>
              <w:rPr>
                <w:sz w:val="18"/>
              </w:rPr>
              <w:t>x 1279–1360</w:t>
              <w:br/>
              <w:t>y 453–463</w:t>
            </w:r>
          </w:p>
        </w:tc>
        <w:tc>
          <w:tcPr>
            <w:tcW w:type="dxa" w:w="3402"/>
          </w:tcPr>
          <w:p>
            <w:pPr>
              <w:spacing w:after="40"/>
            </w:pPr>
            <w:r>
              <w:rPr>
                <w:sz w:val="18"/>
              </w:rPr>
              <w:t>auf mittlerer Höhe, rechts</w:t>
              <w:br/>
              <w:t>x 66.8–71.1 %</w:t>
              <w:br/>
              <w:t>y 49.5–50.6 %</w:t>
            </w:r>
          </w:p>
        </w:tc>
      </w:tr>
      <w:tr>
        <w:trPr>
          <w:cantSplit/>
        </w:trPr>
        <w:tc>
          <w:tcPr>
            <w:tcW w:type="dxa" w:w="3288"/>
          </w:tcPr>
          <w:p>
            <w:pPr>
              <w:spacing w:after="40"/>
            </w:pPr>
            <w:r>
              <w:rPr>
                <w:sz w:val="18"/>
              </w:rPr>
              <w:t>DATA_FLOWS</w:t>
            </w:r>
          </w:p>
        </w:tc>
        <w:tc>
          <w:tcPr>
            <w:tcW w:type="dxa" w:w="3005"/>
          </w:tcPr>
          <w:p>
            <w:pPr>
              <w:spacing w:after="40"/>
            </w:pPr>
            <w:r>
              <w:rPr>
                <w:sz w:val="18"/>
              </w:rPr>
              <w:t>x 640–726</w:t>
              <w:br/>
              <w:t>y 486–498</w:t>
            </w:r>
          </w:p>
        </w:tc>
        <w:tc>
          <w:tcPr>
            <w:tcW w:type="dxa" w:w="3402"/>
          </w:tcPr>
          <w:p>
            <w:pPr>
              <w:spacing w:after="40"/>
            </w:pPr>
            <w:r>
              <w:rPr>
                <w:sz w:val="18"/>
              </w:rPr>
              <w:t>auf mittlerer Höhe, mittig</w:t>
              <w:br/>
              <w:t>x 33.4–37.9 %</w:t>
              <w:br/>
              <w:t>y 53.1–54.4 %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486–496</w:t>
            </w:r>
          </w:p>
        </w:tc>
        <w:tc>
          <w:tcPr>
            <w:tcW w:type="dxa" w:w="3402"/>
          </w:tcPr>
          <w:p>
            <w:pPr>
              <w:spacing w:after="40"/>
            </w:pPr>
            <w:r>
              <w:rPr>
                <w:sz w:val="18"/>
              </w:rPr>
              <w:t>auf mittlerer Höhe, mittig</w:t>
              <w:br/>
              <w:t>x 50.1–56.8 %</w:t>
              <w:br/>
              <w:t>y 53.1–54.2 %</w:t>
            </w:r>
          </w:p>
        </w:tc>
      </w:tr>
      <w:tr>
        <w:trPr>
          <w:cantSplit/>
        </w:trPr>
        <w:tc>
          <w:tcPr>
            <w:tcW w:type="dxa" w:w="3288"/>
          </w:tcPr>
          <w:p>
            <w:pPr>
              <w:spacing w:after="40"/>
            </w:pPr>
            <w:r>
              <w:rPr>
                <w:sz w:val="18"/>
              </w:rPr>
              <w:t>RUN</w:t>
            </w:r>
          </w:p>
        </w:tc>
        <w:tc>
          <w:tcPr>
            <w:tcW w:type="dxa" w:w="3005"/>
          </w:tcPr>
          <w:p>
            <w:pPr>
              <w:spacing w:after="40"/>
            </w:pPr>
            <w:r>
              <w:rPr>
                <w:sz w:val="18"/>
              </w:rPr>
              <w:t>x 1120–1147</w:t>
              <w:br/>
              <w:t>y 486–496</w:t>
            </w:r>
          </w:p>
        </w:tc>
        <w:tc>
          <w:tcPr>
            <w:tcW w:type="dxa" w:w="3402"/>
          </w:tcPr>
          <w:p>
            <w:pPr>
              <w:spacing w:after="40"/>
            </w:pPr>
            <w:r>
              <w:rPr>
                <w:sz w:val="18"/>
              </w:rPr>
              <w:t>auf mittlerer Höhe, mittig</w:t>
              <w:br/>
              <w:t>x 58.5–59.9 %</w:t>
              <w:br/>
              <w:t>y 53.1–54.2 %</w:t>
            </w:r>
          </w:p>
        </w:tc>
      </w:tr>
      <w:tr>
        <w:trPr>
          <w:cantSplit/>
        </w:trPr>
        <w:tc>
          <w:tcPr>
            <w:tcW w:type="dxa" w:w="3288"/>
          </w:tcPr>
          <w:p>
            <w:pPr>
              <w:spacing w:after="40"/>
            </w:pPr>
            <w:r>
              <w:rPr>
                <w:sz w:val="18"/>
              </w:rPr>
              <w:t>COMPLETED</w:t>
            </w:r>
          </w:p>
        </w:tc>
        <w:tc>
          <w:tcPr>
            <w:tcW w:type="dxa" w:w="3005"/>
          </w:tcPr>
          <w:p>
            <w:pPr>
              <w:spacing w:after="40"/>
            </w:pPr>
            <w:r>
              <w:rPr>
                <w:sz w:val="18"/>
              </w:rPr>
              <w:t>x 1279–1360</w:t>
              <w:br/>
              <w:t>y 486–496</w:t>
            </w:r>
          </w:p>
        </w:tc>
        <w:tc>
          <w:tcPr>
            <w:tcW w:type="dxa" w:w="3402"/>
          </w:tcPr>
          <w:p>
            <w:pPr>
              <w:spacing w:after="40"/>
            </w:pPr>
            <w:r>
              <w:rPr>
                <w:sz w:val="18"/>
              </w:rPr>
              <w:t>auf mittlerer Höhe, rechts</w:t>
              <w:br/>
              <w:t>x 66.8–71.1 %</w:t>
              <w:br/>
              <w:t>y 53.1–54.2 %</w:t>
            </w:r>
          </w:p>
        </w:tc>
      </w:tr>
      <w:tr>
        <w:trPr>
          <w:cantSplit/>
        </w:trPr>
        <w:tc>
          <w:tcPr>
            <w:tcW w:type="dxa" w:w="3288"/>
          </w:tcPr>
          <w:p>
            <w:pPr>
              <w:spacing w:after="40"/>
            </w:pPr>
            <w:r>
              <w:rPr>
                <w:sz w:val="18"/>
              </w:rPr>
              <w:t>Apps</w:t>
            </w:r>
          </w:p>
        </w:tc>
        <w:tc>
          <w:tcPr>
            <w:tcW w:type="dxa" w:w="3005"/>
          </w:tcPr>
          <w:p>
            <w:pPr>
              <w:spacing w:after="40"/>
            </w:pPr>
            <w:r>
              <w:rPr>
                <w:sz w:val="18"/>
              </w:rPr>
              <w:t>x 23–54</w:t>
              <w:br/>
              <w:t>y 489–502</w:t>
            </w:r>
          </w:p>
        </w:tc>
        <w:tc>
          <w:tcPr>
            <w:tcW w:type="dxa" w:w="3402"/>
          </w:tcPr>
          <w:p>
            <w:pPr>
              <w:spacing w:after="40"/>
            </w:pPr>
            <w:r>
              <w:rPr>
                <w:sz w:val="18"/>
              </w:rPr>
              <w:t>auf mittlerer Höhe, links</w:t>
              <w:br/>
              <w:t>x 1.2–2.8 %</w:t>
              <w:br/>
              <w:t>y 53.4–54.9 %</w:t>
            </w:r>
          </w:p>
        </w:tc>
      </w:tr>
      <w:tr>
        <w:trPr>
          <w:cantSplit/>
        </w:trPr>
        <w:tc>
          <w:tcPr>
            <w:tcW w:type="dxa" w:w="3288"/>
          </w:tcPr>
          <w:p>
            <w:pPr>
              <w:spacing w:after="40"/>
            </w:pPr>
            <w:r>
              <w:rPr>
                <w:sz w:val="18"/>
              </w:rPr>
              <w:t>DATA_FLOWS</w:t>
            </w:r>
          </w:p>
        </w:tc>
        <w:tc>
          <w:tcPr>
            <w:tcW w:type="dxa" w:w="3005"/>
          </w:tcPr>
          <w:p>
            <w:pPr>
              <w:spacing w:after="40"/>
            </w:pPr>
            <w:r>
              <w:rPr>
                <w:sz w:val="18"/>
              </w:rPr>
              <w:t>x 640–726</w:t>
              <w:br/>
              <w:t>y 519–531</w:t>
            </w:r>
          </w:p>
        </w:tc>
        <w:tc>
          <w:tcPr>
            <w:tcW w:type="dxa" w:w="3402"/>
          </w:tcPr>
          <w:p>
            <w:pPr>
              <w:spacing w:after="40"/>
            </w:pPr>
            <w:r>
              <w:rPr>
                <w:sz w:val="18"/>
              </w:rPr>
              <w:t>auf mittlerer Höhe, mittig</w:t>
              <w:br/>
              <w:t>x 33.4–37.9 %</w:t>
              <w:br/>
              <w:t>y 56.7–58.0 %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519–529</w:t>
            </w:r>
          </w:p>
        </w:tc>
        <w:tc>
          <w:tcPr>
            <w:tcW w:type="dxa" w:w="3402"/>
          </w:tcPr>
          <w:p>
            <w:pPr>
              <w:spacing w:after="40"/>
            </w:pPr>
            <w:r>
              <w:rPr>
                <w:sz w:val="18"/>
              </w:rPr>
              <w:t>auf mittlerer Höhe, mittig</w:t>
              <w:br/>
              <w:t>x 50.1–56.8 %</w:t>
              <w:br/>
              <w:t>y 56.7–57.8 %</w:t>
            </w:r>
          </w:p>
        </w:tc>
      </w:tr>
      <w:tr>
        <w:trPr>
          <w:cantSplit/>
        </w:trPr>
        <w:tc>
          <w:tcPr>
            <w:tcW w:type="dxa" w:w="3288"/>
          </w:tcPr>
          <w:p>
            <w:pPr>
              <w:spacing w:after="40"/>
            </w:pPr>
            <w:r>
              <w:rPr>
                <w:sz w:val="18"/>
              </w:rPr>
              <w:t>RUN</w:t>
            </w:r>
          </w:p>
        </w:tc>
        <w:tc>
          <w:tcPr>
            <w:tcW w:type="dxa" w:w="3005"/>
          </w:tcPr>
          <w:p>
            <w:pPr>
              <w:spacing w:after="40"/>
            </w:pPr>
            <w:r>
              <w:rPr>
                <w:sz w:val="18"/>
              </w:rPr>
              <w:t>x 1120–1147</w:t>
              <w:br/>
              <w:t>y 519–529</w:t>
            </w:r>
          </w:p>
        </w:tc>
        <w:tc>
          <w:tcPr>
            <w:tcW w:type="dxa" w:w="3402"/>
          </w:tcPr>
          <w:p>
            <w:pPr>
              <w:spacing w:after="40"/>
            </w:pPr>
            <w:r>
              <w:rPr>
                <w:sz w:val="18"/>
              </w:rPr>
              <w:t>auf mittlerer Höhe, mittig</w:t>
              <w:br/>
              <w:t>x 58.5–59.9 %</w:t>
              <w:br/>
              <w:t>y 56.7–57.8 %</w:t>
            </w:r>
          </w:p>
        </w:tc>
      </w:tr>
      <w:tr>
        <w:trPr>
          <w:cantSplit/>
        </w:trPr>
        <w:tc>
          <w:tcPr>
            <w:tcW w:type="dxa" w:w="3288"/>
          </w:tcPr>
          <w:p>
            <w:pPr>
              <w:spacing w:after="40"/>
            </w:pPr>
            <w:r>
              <w:rPr>
                <w:sz w:val="18"/>
              </w:rPr>
              <w:t>COMPLETED</w:t>
            </w:r>
          </w:p>
        </w:tc>
        <w:tc>
          <w:tcPr>
            <w:tcW w:type="dxa" w:w="3005"/>
          </w:tcPr>
          <w:p>
            <w:pPr>
              <w:spacing w:after="40"/>
            </w:pPr>
            <w:r>
              <w:rPr>
                <w:sz w:val="18"/>
              </w:rPr>
              <w:t>x 1279–1360</w:t>
              <w:br/>
              <w:t>y 519–529</w:t>
            </w:r>
          </w:p>
        </w:tc>
        <w:tc>
          <w:tcPr>
            <w:tcW w:type="dxa" w:w="3402"/>
          </w:tcPr>
          <w:p>
            <w:pPr>
              <w:spacing w:after="40"/>
            </w:pPr>
            <w:r>
              <w:rPr>
                <w:sz w:val="18"/>
              </w:rPr>
              <w:t>auf mittlerer Höhe, rechts</w:t>
              <w:br/>
              <w:t>x 66.8–71.1 %</w:t>
              <w:br/>
              <w:t>y 56.7–57.8 %</w:t>
            </w:r>
          </w:p>
        </w:tc>
      </w:tr>
      <w:tr>
        <w:trPr>
          <w:cantSplit/>
        </w:trPr>
        <w:tc>
          <w:tcPr>
            <w:tcW w:type="dxa" w:w="3288"/>
          </w:tcPr>
          <w:p>
            <w:pPr>
              <w:spacing w:after="40"/>
            </w:pPr>
            <w:r>
              <w:rPr>
                <w:sz w:val="18"/>
              </w:rPr>
              <w:t>Semantic Onboarding</w:t>
            </w:r>
          </w:p>
        </w:tc>
        <w:tc>
          <w:tcPr>
            <w:tcW w:type="dxa" w:w="3005"/>
          </w:tcPr>
          <w:p>
            <w:pPr>
              <w:spacing w:after="40"/>
            </w:pPr>
            <w:r>
              <w:rPr>
                <w:sz w:val="18"/>
              </w:rPr>
              <w:t>x 48–181</w:t>
              <w:br/>
              <w:t>y 525–538</w:t>
            </w:r>
          </w:p>
        </w:tc>
        <w:tc>
          <w:tcPr>
            <w:tcW w:type="dxa" w:w="3402"/>
          </w:tcPr>
          <w:p>
            <w:pPr>
              <w:spacing w:after="40"/>
            </w:pPr>
            <w:r>
              <w:rPr>
                <w:sz w:val="18"/>
              </w:rPr>
              <w:t>auf mittlerer Höhe, links</w:t>
              <w:br/>
              <w:t>x 2.5–9.5 %</w:t>
              <w:br/>
              <w:t>y 57.4–58.8 %</w:t>
            </w:r>
          </w:p>
        </w:tc>
      </w:tr>
      <w:tr>
        <w:trPr>
          <w:cantSplit/>
        </w:trPr>
        <w:tc>
          <w:tcPr>
            <w:tcW w:type="dxa" w:w="3288"/>
          </w:tcPr>
          <w:p>
            <w:pPr>
              <w:spacing w:after="40"/>
            </w:pPr>
            <w:r>
              <w:rPr>
                <w:sz w:val="18"/>
              </w:rPr>
              <w:t>TASK_CHAINS</w:t>
            </w:r>
          </w:p>
        </w:tc>
        <w:tc>
          <w:tcPr>
            <w:tcW w:type="dxa" w:w="3005"/>
          </w:tcPr>
          <w:p>
            <w:pPr>
              <w:spacing w:after="40"/>
            </w:pPr>
            <w:r>
              <w:rPr>
                <w:sz w:val="18"/>
              </w:rPr>
              <w:t>x 639–730</w:t>
              <w:br/>
              <w:t>y 552–564</w:t>
            </w:r>
          </w:p>
        </w:tc>
        <w:tc>
          <w:tcPr>
            <w:tcW w:type="dxa" w:w="3402"/>
          </w:tcPr>
          <w:p>
            <w:pPr>
              <w:spacing w:after="40"/>
            </w:pPr>
            <w:r>
              <w:rPr>
                <w:sz w:val="18"/>
              </w:rPr>
              <w:t>auf mittlerer Höhe, mittig</w:t>
              <w:br/>
              <w:t>x 33.4–38.1 %</w:t>
              <w:br/>
              <w:t>y 60.3–61.6 %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552–562</w:t>
            </w:r>
          </w:p>
        </w:tc>
        <w:tc>
          <w:tcPr>
            <w:tcW w:type="dxa" w:w="3402"/>
          </w:tcPr>
          <w:p>
            <w:pPr>
              <w:spacing w:after="40"/>
            </w:pPr>
            <w:r>
              <w:rPr>
                <w:sz w:val="18"/>
              </w:rPr>
              <w:t>auf mittlerer Höhe, mittig</w:t>
              <w:br/>
              <w:t>x 50.1–56.8 %</w:t>
              <w:br/>
              <w:t>y 60.3–61.4 %</w:t>
            </w:r>
          </w:p>
        </w:tc>
      </w:tr>
      <w:tr>
        <w:trPr>
          <w:cantSplit/>
        </w:trPr>
        <w:tc>
          <w:tcPr>
            <w:tcW w:type="dxa" w:w="3288"/>
          </w:tcPr>
          <w:p>
            <w:pPr>
              <w:spacing w:after="40"/>
            </w:pPr>
            <w:r>
              <w:rPr>
                <w:sz w:val="18"/>
              </w:rPr>
              <w:t>RUN_CHAIN</w:t>
            </w:r>
          </w:p>
        </w:tc>
        <w:tc>
          <w:tcPr>
            <w:tcW w:type="dxa" w:w="3005"/>
          </w:tcPr>
          <w:p>
            <w:pPr>
              <w:spacing w:after="40"/>
            </w:pPr>
            <w:r>
              <w:rPr>
                <w:sz w:val="18"/>
              </w:rPr>
              <w:t>x 1120–1197</w:t>
              <w:br/>
              <w:t>y 552–564</w:t>
            </w:r>
          </w:p>
        </w:tc>
        <w:tc>
          <w:tcPr>
            <w:tcW w:type="dxa" w:w="3402"/>
          </w:tcPr>
          <w:p>
            <w:pPr>
              <w:spacing w:after="40"/>
            </w:pPr>
            <w:r>
              <w:rPr>
                <w:sz w:val="18"/>
              </w:rPr>
              <w:t>auf mittlerer Höhe, mittig</w:t>
              <w:br/>
              <w:t>x 58.5–62.5 %</w:t>
              <w:br/>
              <w:t>y 60.3–61.6 %</w:t>
            </w:r>
          </w:p>
        </w:tc>
      </w:tr>
      <w:tr>
        <w:trPr>
          <w:cantSplit/>
        </w:trPr>
        <w:tc>
          <w:tcPr>
            <w:tcW w:type="dxa" w:w="3288"/>
          </w:tcPr>
          <w:p>
            <w:pPr>
              <w:spacing w:after="40"/>
            </w:pPr>
            <w:r>
              <w:rPr>
                <w:sz w:val="18"/>
              </w:rPr>
              <w:t>COMPLETED</w:t>
            </w:r>
          </w:p>
        </w:tc>
        <w:tc>
          <w:tcPr>
            <w:tcW w:type="dxa" w:w="3005"/>
          </w:tcPr>
          <w:p>
            <w:pPr>
              <w:spacing w:after="40"/>
            </w:pPr>
            <w:r>
              <w:rPr>
                <w:sz w:val="18"/>
              </w:rPr>
              <w:t>x 1279–1360</w:t>
              <w:br/>
              <w:t>y 552–562</w:t>
            </w:r>
          </w:p>
        </w:tc>
        <w:tc>
          <w:tcPr>
            <w:tcW w:type="dxa" w:w="3402"/>
          </w:tcPr>
          <w:p>
            <w:pPr>
              <w:spacing w:after="40"/>
            </w:pPr>
            <w:r>
              <w:rPr>
                <w:sz w:val="18"/>
              </w:rPr>
              <w:t>auf mittlerer Höhe, rechts</w:t>
              <w:br/>
              <w:t>x 66.8–71.1 %</w:t>
              <w:br/>
              <w:t>y 60.3–61.4 %</w:t>
            </w:r>
          </w:p>
        </w:tc>
      </w:tr>
      <w:tr>
        <w:trPr>
          <w:cantSplit/>
        </w:trPr>
        <w:tc>
          <w:tcPr>
            <w:tcW w:type="dxa" w:w="3288"/>
          </w:tcPr>
          <w:p>
            <w:pPr>
              <w:spacing w:after="40"/>
            </w:pPr>
            <w:r>
              <w:rPr>
                <w:sz w:val="18"/>
              </w:rPr>
              <w:t>Business Builder</w:t>
            </w:r>
          </w:p>
        </w:tc>
        <w:tc>
          <w:tcPr>
            <w:tcW w:type="dxa" w:w="3005"/>
          </w:tcPr>
          <w:p>
            <w:pPr>
              <w:spacing w:after="40"/>
            </w:pPr>
            <w:r>
              <w:rPr>
                <w:sz w:val="18"/>
              </w:rPr>
              <w:t>x 48–150</w:t>
              <w:br/>
              <w:t>y 561–571</w:t>
            </w:r>
          </w:p>
        </w:tc>
        <w:tc>
          <w:tcPr>
            <w:tcW w:type="dxa" w:w="3402"/>
          </w:tcPr>
          <w:p>
            <w:pPr>
              <w:spacing w:after="40"/>
            </w:pPr>
            <w:r>
              <w:rPr>
                <w:sz w:val="18"/>
              </w:rPr>
              <w:t>auf mittlerer Höhe, links</w:t>
              <w:br/>
              <w:t>x 2.5–7.8 %</w:t>
              <w:br/>
              <w:t>y 61.3–62.4 %</w:t>
            </w:r>
          </w:p>
        </w:tc>
      </w:tr>
      <w:tr>
        <w:trPr>
          <w:cantSplit/>
        </w:trPr>
        <w:tc>
          <w:tcPr>
            <w:tcW w:type="dxa" w:w="3288"/>
          </w:tcPr>
          <w:p>
            <w:pPr>
              <w:spacing w:after="40"/>
            </w:pPr>
            <w:r>
              <w:rPr>
                <w:sz w:val="18"/>
              </w:rPr>
              <w:t>DATA_FLOWS</w:t>
            </w:r>
          </w:p>
        </w:tc>
        <w:tc>
          <w:tcPr>
            <w:tcW w:type="dxa" w:w="3005"/>
          </w:tcPr>
          <w:p>
            <w:pPr>
              <w:spacing w:after="40"/>
            </w:pPr>
            <w:r>
              <w:rPr>
                <w:sz w:val="18"/>
              </w:rPr>
              <w:t>x 640–726</w:t>
              <w:br/>
              <w:t>y 585–597</w:t>
            </w:r>
          </w:p>
        </w:tc>
        <w:tc>
          <w:tcPr>
            <w:tcW w:type="dxa" w:w="3402"/>
          </w:tcPr>
          <w:p>
            <w:pPr>
              <w:spacing w:after="40"/>
            </w:pPr>
            <w:r>
              <w:rPr>
                <w:sz w:val="18"/>
              </w:rPr>
              <w:t>auf mittlerer Höhe, mittig</w:t>
              <w:br/>
              <w:t>x 33.4–37.9 %</w:t>
              <w:br/>
              <w:t>y 63.9–65.2 %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585–595</w:t>
            </w:r>
          </w:p>
        </w:tc>
        <w:tc>
          <w:tcPr>
            <w:tcW w:type="dxa" w:w="3402"/>
          </w:tcPr>
          <w:p>
            <w:pPr>
              <w:spacing w:after="40"/>
            </w:pPr>
            <w:r>
              <w:rPr>
                <w:sz w:val="18"/>
              </w:rPr>
              <w:t>auf mittlerer Höhe, mittig</w:t>
              <w:br/>
              <w:t>x 50.1–56.8 %</w:t>
              <w:br/>
              <w:t>y 63.9–65.0 %</w:t>
            </w:r>
          </w:p>
        </w:tc>
      </w:tr>
      <w:tr>
        <w:trPr>
          <w:cantSplit/>
        </w:trPr>
        <w:tc>
          <w:tcPr>
            <w:tcW w:type="dxa" w:w="3288"/>
          </w:tcPr>
          <w:p>
            <w:pPr>
              <w:spacing w:after="40"/>
            </w:pPr>
            <w:r>
              <w:rPr>
                <w:sz w:val="18"/>
              </w:rPr>
              <w:t>RUN</w:t>
            </w:r>
          </w:p>
        </w:tc>
        <w:tc>
          <w:tcPr>
            <w:tcW w:type="dxa" w:w="3005"/>
          </w:tcPr>
          <w:p>
            <w:pPr>
              <w:spacing w:after="40"/>
            </w:pPr>
            <w:r>
              <w:rPr>
                <w:sz w:val="18"/>
              </w:rPr>
              <w:t>x 1120–1147</w:t>
              <w:br/>
              <w:t>y 585–595</w:t>
            </w:r>
          </w:p>
        </w:tc>
        <w:tc>
          <w:tcPr>
            <w:tcW w:type="dxa" w:w="3402"/>
          </w:tcPr>
          <w:p>
            <w:pPr>
              <w:spacing w:after="40"/>
            </w:pPr>
            <w:r>
              <w:rPr>
                <w:sz w:val="18"/>
              </w:rPr>
              <w:t>auf mittlerer Höhe, mittig</w:t>
              <w:br/>
              <w:t>x 58.5–59.9 %</w:t>
              <w:br/>
              <w:t>y 63.9–65.0 %</w:t>
            </w:r>
          </w:p>
        </w:tc>
      </w:tr>
      <w:tr>
        <w:trPr>
          <w:cantSplit/>
        </w:trPr>
        <w:tc>
          <w:tcPr>
            <w:tcW w:type="dxa" w:w="3288"/>
          </w:tcPr>
          <w:p>
            <w:pPr>
              <w:spacing w:after="40"/>
            </w:pPr>
            <w:r>
              <w:rPr>
                <w:sz w:val="18"/>
              </w:rPr>
              <w:t>FAILED</w:t>
            </w:r>
          </w:p>
        </w:tc>
        <w:tc>
          <w:tcPr>
            <w:tcW w:type="dxa" w:w="3005"/>
          </w:tcPr>
          <w:p>
            <w:pPr>
              <w:spacing w:after="40"/>
            </w:pPr>
            <w:r>
              <w:rPr>
                <w:sz w:val="18"/>
              </w:rPr>
              <w:t>x 1280–1323</w:t>
              <w:br/>
              <w:t>y 585–595</w:t>
            </w:r>
          </w:p>
        </w:tc>
        <w:tc>
          <w:tcPr>
            <w:tcW w:type="dxa" w:w="3402"/>
          </w:tcPr>
          <w:p>
            <w:pPr>
              <w:spacing w:after="40"/>
            </w:pPr>
            <w:r>
              <w:rPr>
                <w:sz w:val="18"/>
              </w:rPr>
              <w:t>auf mittlerer Höhe, rechts</w:t>
              <w:br/>
              <w:t>x 66.9–69.1 %</w:t>
              <w:br/>
              <w:t>y 63.9–65.0 %</w:t>
            </w:r>
          </w:p>
        </w:tc>
      </w:tr>
      <w:tr>
        <w:trPr>
          <w:cantSplit/>
        </w:trPr>
        <w:tc>
          <w:tcPr>
            <w:tcW w:type="dxa" w:w="3288"/>
          </w:tcPr>
          <w:p>
            <w:pPr>
              <w:spacing w:after="40"/>
            </w:pPr>
            <w:r>
              <w:rPr>
                <w:sz w:val="18"/>
              </w:rPr>
              <w:t>Data Builder</w:t>
            </w:r>
          </w:p>
        </w:tc>
        <w:tc>
          <w:tcPr>
            <w:tcW w:type="dxa" w:w="3005"/>
          </w:tcPr>
          <w:p>
            <w:pPr>
              <w:spacing w:after="40"/>
            </w:pPr>
            <w:r>
              <w:rPr>
                <w:sz w:val="18"/>
              </w:rPr>
              <w:t>x 48–124</w:t>
              <w:br/>
              <w:t>y 597–607</w:t>
            </w:r>
          </w:p>
        </w:tc>
        <w:tc>
          <w:tcPr>
            <w:tcW w:type="dxa" w:w="3402"/>
          </w:tcPr>
          <w:p>
            <w:pPr>
              <w:spacing w:after="40"/>
            </w:pPr>
            <w:r>
              <w:rPr>
                <w:sz w:val="18"/>
              </w:rPr>
              <w:t>auf mittlerer Höhe, links</w:t>
              <w:br/>
              <w:t>x 2.5–6.5 %</w:t>
              <w:br/>
              <w:t>y 65.2–66.3 %</w:t>
            </w:r>
          </w:p>
        </w:tc>
      </w:tr>
      <w:tr>
        <w:trPr>
          <w:cantSplit/>
        </w:trPr>
        <w:tc>
          <w:tcPr>
            <w:tcW w:type="dxa" w:w="3288"/>
          </w:tcPr>
          <w:p>
            <w:pPr>
              <w:spacing w:after="40"/>
            </w:pPr>
            <w:r>
              <w:rPr>
                <w:sz w:val="18"/>
              </w:rPr>
              <w:t>DATA_FLOWS</w:t>
            </w:r>
          </w:p>
        </w:tc>
        <w:tc>
          <w:tcPr>
            <w:tcW w:type="dxa" w:w="3005"/>
          </w:tcPr>
          <w:p>
            <w:pPr>
              <w:spacing w:after="40"/>
            </w:pPr>
            <w:r>
              <w:rPr>
                <w:sz w:val="18"/>
              </w:rPr>
              <w:t>x 640–726</w:t>
              <w:br/>
              <w:t>y 618–630</w:t>
            </w:r>
          </w:p>
        </w:tc>
        <w:tc>
          <w:tcPr>
            <w:tcW w:type="dxa" w:w="3402"/>
          </w:tcPr>
          <w:p>
            <w:pPr>
              <w:spacing w:after="40"/>
            </w:pPr>
            <w:r>
              <w:rPr>
                <w:sz w:val="18"/>
              </w:rPr>
              <w:t>unten, mittig</w:t>
              <w:br/>
              <w:t>x 33.4–37.9 %</w:t>
              <w:br/>
              <w:t>y 67.5–68.9 %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618–628</w:t>
            </w:r>
          </w:p>
        </w:tc>
        <w:tc>
          <w:tcPr>
            <w:tcW w:type="dxa" w:w="3402"/>
          </w:tcPr>
          <w:p>
            <w:pPr>
              <w:spacing w:after="40"/>
            </w:pPr>
            <w:r>
              <w:rPr>
                <w:sz w:val="18"/>
              </w:rPr>
              <w:t>unten, mittig</w:t>
              <w:br/>
              <w:t>x 50.1–56.8 %</w:t>
              <w:br/>
              <w:t>y 67.5–68.6 %</w:t>
            </w:r>
          </w:p>
        </w:tc>
      </w:tr>
      <w:tr>
        <w:trPr>
          <w:cantSplit/>
        </w:trPr>
        <w:tc>
          <w:tcPr>
            <w:tcW w:type="dxa" w:w="3288"/>
          </w:tcPr>
          <w:p>
            <w:pPr>
              <w:spacing w:after="40"/>
            </w:pPr>
            <w:r>
              <w:rPr>
                <w:sz w:val="18"/>
              </w:rPr>
              <w:t>RUN</w:t>
            </w:r>
          </w:p>
        </w:tc>
        <w:tc>
          <w:tcPr>
            <w:tcW w:type="dxa" w:w="3005"/>
          </w:tcPr>
          <w:p>
            <w:pPr>
              <w:spacing w:after="40"/>
            </w:pPr>
            <w:r>
              <w:rPr>
                <w:sz w:val="18"/>
              </w:rPr>
              <w:t>x 1120–1147</w:t>
              <w:br/>
              <w:t>y 618–628</w:t>
            </w:r>
          </w:p>
        </w:tc>
        <w:tc>
          <w:tcPr>
            <w:tcW w:type="dxa" w:w="3402"/>
          </w:tcPr>
          <w:p>
            <w:pPr>
              <w:spacing w:after="40"/>
            </w:pPr>
            <w:r>
              <w:rPr>
                <w:sz w:val="18"/>
              </w:rPr>
              <w:t>unten, mittig</w:t>
              <w:br/>
              <w:t>x 58.5–59.9 %</w:t>
              <w:br/>
              <w:t>y 67.5–68.6 %</w:t>
            </w:r>
          </w:p>
        </w:tc>
      </w:tr>
      <w:tr>
        <w:trPr>
          <w:cantSplit/>
        </w:trPr>
        <w:tc>
          <w:tcPr>
            <w:tcW w:type="dxa" w:w="3288"/>
          </w:tcPr>
          <w:p>
            <w:pPr>
              <w:spacing w:after="40"/>
            </w:pPr>
            <w:r>
              <w:rPr>
                <w:sz w:val="18"/>
              </w:rPr>
              <w:t>FAILED</w:t>
            </w:r>
          </w:p>
        </w:tc>
        <w:tc>
          <w:tcPr>
            <w:tcW w:type="dxa" w:w="3005"/>
          </w:tcPr>
          <w:p>
            <w:pPr>
              <w:spacing w:after="40"/>
            </w:pPr>
            <w:r>
              <w:rPr>
                <w:sz w:val="18"/>
              </w:rPr>
              <w:t>x 1280–1323</w:t>
              <w:br/>
              <w:t>y 618–628</w:t>
            </w:r>
          </w:p>
        </w:tc>
        <w:tc>
          <w:tcPr>
            <w:tcW w:type="dxa" w:w="3402"/>
          </w:tcPr>
          <w:p>
            <w:pPr>
              <w:spacing w:after="40"/>
            </w:pPr>
            <w:r>
              <w:rPr>
                <w:sz w:val="18"/>
              </w:rPr>
              <w:t>unten, rechts</w:t>
              <w:br/>
              <w:t>x 66.9–69.1 %</w:t>
              <w:br/>
              <w:t>y 67.5–68.6 %</w:t>
            </w:r>
          </w:p>
        </w:tc>
      </w:tr>
      <w:tr>
        <w:trPr>
          <w:cantSplit/>
        </w:trPr>
        <w:tc>
          <w:tcPr>
            <w:tcW w:type="dxa" w:w="3288"/>
          </w:tcPr>
          <w:p>
            <w:pPr>
              <w:spacing w:after="40"/>
            </w:pPr>
            <w:r>
              <w:rPr>
                <w:sz w:val="18"/>
              </w:rPr>
              <w:t>Connections</w:t>
            </w:r>
          </w:p>
        </w:tc>
        <w:tc>
          <w:tcPr>
            <w:tcW w:type="dxa" w:w="3005"/>
          </w:tcPr>
          <w:p>
            <w:pPr>
              <w:spacing w:after="40"/>
            </w:pPr>
            <w:r>
              <w:rPr>
                <w:sz w:val="18"/>
              </w:rPr>
              <w:t>x 47–124</w:t>
              <w:br/>
              <w:t>y 633–643</w:t>
            </w:r>
          </w:p>
        </w:tc>
        <w:tc>
          <w:tcPr>
            <w:tcW w:type="dxa" w:w="3402"/>
          </w:tcPr>
          <w:p>
            <w:pPr>
              <w:spacing w:after="40"/>
            </w:pPr>
            <w:r>
              <w:rPr>
                <w:sz w:val="18"/>
              </w:rPr>
              <w:t>unten, links</w:t>
              <w:br/>
              <w:t>x 2.5–6.5 %</w:t>
              <w:br/>
              <w:t>y 69.2–70.3 %</w:t>
            </w:r>
          </w:p>
        </w:tc>
      </w:tr>
      <w:tr>
        <w:trPr>
          <w:cantSplit/>
        </w:trPr>
        <w:tc>
          <w:tcPr>
            <w:tcW w:type="dxa" w:w="3288"/>
          </w:tcPr>
          <w:p>
            <w:pPr>
              <w:spacing w:after="40"/>
            </w:pPr>
            <w:r>
              <w:rPr>
                <w:sz w:val="18"/>
              </w:rPr>
              <w:t>TASK_CHAINS</w:t>
            </w:r>
          </w:p>
        </w:tc>
        <w:tc>
          <w:tcPr>
            <w:tcW w:type="dxa" w:w="3005"/>
          </w:tcPr>
          <w:p>
            <w:pPr>
              <w:spacing w:after="40"/>
            </w:pPr>
            <w:r>
              <w:rPr>
                <w:sz w:val="18"/>
              </w:rPr>
              <w:t>x 639–730</w:t>
              <w:br/>
              <w:t>y 651–663</w:t>
            </w:r>
          </w:p>
        </w:tc>
        <w:tc>
          <w:tcPr>
            <w:tcW w:type="dxa" w:w="3402"/>
          </w:tcPr>
          <w:p>
            <w:pPr>
              <w:spacing w:after="40"/>
            </w:pPr>
            <w:r>
              <w:rPr>
                <w:sz w:val="18"/>
              </w:rPr>
              <w:t>unten, mittig</w:t>
              <w:br/>
              <w:t>x 33.4–38.1 %</w:t>
              <w:br/>
              <w:t>y 71.1–72.5 %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651–661</w:t>
            </w:r>
          </w:p>
        </w:tc>
        <w:tc>
          <w:tcPr>
            <w:tcW w:type="dxa" w:w="3402"/>
          </w:tcPr>
          <w:p>
            <w:pPr>
              <w:spacing w:after="40"/>
            </w:pPr>
            <w:r>
              <w:rPr>
                <w:sz w:val="18"/>
              </w:rPr>
              <w:t>unten, mittig</w:t>
              <w:br/>
              <w:t>x 50.1–56.8 %</w:t>
              <w:br/>
              <w:t>y 71.1–72.2 %</w:t>
            </w:r>
          </w:p>
        </w:tc>
      </w:tr>
      <w:tr>
        <w:trPr>
          <w:cantSplit/>
        </w:trPr>
        <w:tc>
          <w:tcPr>
            <w:tcW w:type="dxa" w:w="3288"/>
          </w:tcPr>
          <w:p>
            <w:pPr>
              <w:spacing w:after="40"/>
            </w:pPr>
            <w:r>
              <w:rPr>
                <w:sz w:val="18"/>
              </w:rPr>
              <w:t>RUN_CHAIN</w:t>
            </w:r>
          </w:p>
        </w:tc>
        <w:tc>
          <w:tcPr>
            <w:tcW w:type="dxa" w:w="3005"/>
          </w:tcPr>
          <w:p>
            <w:pPr>
              <w:spacing w:after="40"/>
            </w:pPr>
            <w:r>
              <w:rPr>
                <w:sz w:val="18"/>
              </w:rPr>
              <w:t>x 1120–1197</w:t>
              <w:br/>
              <w:t>y 651–663</w:t>
            </w:r>
          </w:p>
        </w:tc>
        <w:tc>
          <w:tcPr>
            <w:tcW w:type="dxa" w:w="3402"/>
          </w:tcPr>
          <w:p>
            <w:pPr>
              <w:spacing w:after="40"/>
            </w:pPr>
            <w:r>
              <w:rPr>
                <w:sz w:val="18"/>
              </w:rPr>
              <w:t>unten, mittig</w:t>
              <w:br/>
              <w:t>x 58.5–62.5 %</w:t>
              <w:br/>
              <w:t>y 71.1–72.5 %</w:t>
            </w:r>
          </w:p>
        </w:tc>
      </w:tr>
      <w:tr>
        <w:trPr>
          <w:cantSplit/>
        </w:trPr>
        <w:tc>
          <w:tcPr>
            <w:tcW w:type="dxa" w:w="3288"/>
          </w:tcPr>
          <w:p>
            <w:pPr>
              <w:spacing w:after="40"/>
            </w:pPr>
            <w:r>
              <w:rPr>
                <w:sz w:val="18"/>
              </w:rPr>
              <w:t>FAILED</w:t>
            </w:r>
          </w:p>
        </w:tc>
        <w:tc>
          <w:tcPr>
            <w:tcW w:type="dxa" w:w="3005"/>
          </w:tcPr>
          <w:p>
            <w:pPr>
              <w:spacing w:after="40"/>
            </w:pPr>
            <w:r>
              <w:rPr>
                <w:sz w:val="18"/>
              </w:rPr>
              <w:t>x 1280–1323</w:t>
              <w:br/>
              <w:t>y 651–661</w:t>
            </w:r>
          </w:p>
        </w:tc>
        <w:tc>
          <w:tcPr>
            <w:tcW w:type="dxa" w:w="3402"/>
          </w:tcPr>
          <w:p>
            <w:pPr>
              <w:spacing w:after="40"/>
            </w:pPr>
            <w:r>
              <w:rPr>
                <w:sz w:val="18"/>
              </w:rPr>
              <w:t>unten, rechts</w:t>
              <w:br/>
              <w:t>x 66.9–69.1 %</w:t>
              <w:br/>
              <w:t>y 71.1–72.2 %</w:t>
            </w:r>
          </w:p>
        </w:tc>
      </w:tr>
      <w:tr>
        <w:trPr>
          <w:cantSplit/>
        </w:trPr>
        <w:tc>
          <w:tcPr>
            <w:tcW w:type="dxa" w:w="3288"/>
          </w:tcPr>
          <w:p>
            <w:pPr>
              <w:spacing w:after="40"/>
            </w:pPr>
            <w:r>
              <w:rPr>
                <w:sz w:val="18"/>
              </w:rPr>
              <w:t>Utilities</w:t>
            </w:r>
          </w:p>
        </w:tc>
        <w:tc>
          <w:tcPr>
            <w:tcW w:type="dxa" w:w="3005"/>
          </w:tcPr>
          <w:p>
            <w:pPr>
              <w:spacing w:after="40"/>
            </w:pPr>
            <w:r>
              <w:rPr>
                <w:sz w:val="18"/>
              </w:rPr>
              <w:t>x 24–68</w:t>
              <w:br/>
              <w:t>y 679–689</w:t>
            </w:r>
          </w:p>
        </w:tc>
        <w:tc>
          <w:tcPr>
            <w:tcW w:type="dxa" w:w="3402"/>
          </w:tcPr>
          <w:p>
            <w:pPr>
              <w:spacing w:after="40"/>
            </w:pPr>
            <w:r>
              <w:rPr>
                <w:sz w:val="18"/>
              </w:rPr>
              <w:t>unten, links</w:t>
              <w:br/>
              <w:t>x 1.3–3.6 %</w:t>
              <w:br/>
              <w:t>y 74.2–75.3 %</w:t>
            </w:r>
          </w:p>
        </w:tc>
      </w:tr>
      <w:tr>
        <w:trPr>
          <w:cantSplit/>
        </w:trPr>
        <w:tc>
          <w:tcPr>
            <w:tcW w:type="dxa" w:w="3288"/>
          </w:tcPr>
          <w:p>
            <w:pPr>
              <w:spacing w:after="40"/>
            </w:pPr>
            <w:r>
              <w:rPr>
                <w:sz w:val="18"/>
              </w:rPr>
              <w:t>TASK_CHAINS</w:t>
            </w:r>
          </w:p>
        </w:tc>
        <w:tc>
          <w:tcPr>
            <w:tcW w:type="dxa" w:w="3005"/>
          </w:tcPr>
          <w:p>
            <w:pPr>
              <w:spacing w:after="40"/>
            </w:pPr>
            <w:r>
              <w:rPr>
                <w:sz w:val="18"/>
              </w:rPr>
              <w:t>x 639–730</w:t>
              <w:br/>
              <w:t>y 684–696</w:t>
            </w:r>
          </w:p>
        </w:tc>
        <w:tc>
          <w:tcPr>
            <w:tcW w:type="dxa" w:w="3402"/>
          </w:tcPr>
          <w:p>
            <w:pPr>
              <w:spacing w:after="40"/>
            </w:pPr>
            <w:r>
              <w:rPr>
                <w:sz w:val="18"/>
              </w:rPr>
              <w:t>unten, mittig</w:t>
              <w:br/>
              <w:t>x 33.4–38.1 %</w:t>
              <w:br/>
              <w:t>y 74.8–76.1 %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684–694</w:t>
            </w:r>
          </w:p>
        </w:tc>
        <w:tc>
          <w:tcPr>
            <w:tcW w:type="dxa" w:w="3402"/>
          </w:tcPr>
          <w:p>
            <w:pPr>
              <w:spacing w:after="40"/>
            </w:pPr>
            <w:r>
              <w:rPr>
                <w:sz w:val="18"/>
              </w:rPr>
              <w:t>unten, mittig</w:t>
              <w:br/>
              <w:t>x 50.1–56.8 %</w:t>
              <w:br/>
              <w:t>y 74.8–75.8 %</w:t>
            </w:r>
          </w:p>
        </w:tc>
      </w:tr>
      <w:tr>
        <w:trPr>
          <w:cantSplit/>
        </w:trPr>
        <w:tc>
          <w:tcPr>
            <w:tcW w:type="dxa" w:w="3288"/>
          </w:tcPr>
          <w:p>
            <w:pPr>
              <w:spacing w:after="40"/>
            </w:pPr>
            <w:r>
              <w:rPr>
                <w:sz w:val="18"/>
              </w:rPr>
              <w:t>RUN_CHAIN</w:t>
            </w:r>
          </w:p>
        </w:tc>
        <w:tc>
          <w:tcPr>
            <w:tcW w:type="dxa" w:w="3005"/>
          </w:tcPr>
          <w:p>
            <w:pPr>
              <w:spacing w:after="40"/>
            </w:pPr>
            <w:r>
              <w:rPr>
                <w:sz w:val="18"/>
              </w:rPr>
              <w:t>x 1120–1197</w:t>
              <w:br/>
              <w:t>y 684–696</w:t>
            </w:r>
          </w:p>
        </w:tc>
        <w:tc>
          <w:tcPr>
            <w:tcW w:type="dxa" w:w="3402"/>
          </w:tcPr>
          <w:p>
            <w:pPr>
              <w:spacing w:after="40"/>
            </w:pPr>
            <w:r>
              <w:rPr>
                <w:sz w:val="18"/>
              </w:rPr>
              <w:t>unten, mittig</w:t>
              <w:br/>
              <w:t>x 58.5–62.5 %</w:t>
              <w:br/>
              <w:t>y 74.8–76.1 %</w:t>
            </w:r>
          </w:p>
        </w:tc>
      </w:tr>
      <w:tr>
        <w:trPr>
          <w:cantSplit/>
        </w:trPr>
        <w:tc>
          <w:tcPr>
            <w:tcW w:type="dxa" w:w="3288"/>
          </w:tcPr>
          <w:p>
            <w:pPr>
              <w:spacing w:after="40"/>
            </w:pPr>
            <w:r>
              <w:rPr>
                <w:sz w:val="18"/>
              </w:rPr>
              <w:t>FAILED</w:t>
            </w:r>
          </w:p>
        </w:tc>
        <w:tc>
          <w:tcPr>
            <w:tcW w:type="dxa" w:w="3005"/>
          </w:tcPr>
          <w:p>
            <w:pPr>
              <w:spacing w:after="40"/>
            </w:pPr>
            <w:r>
              <w:rPr>
                <w:sz w:val="18"/>
              </w:rPr>
              <w:t>x 1280–1323</w:t>
              <w:br/>
              <w:t>y 684–694</w:t>
            </w:r>
          </w:p>
        </w:tc>
        <w:tc>
          <w:tcPr>
            <w:tcW w:type="dxa" w:w="3402"/>
          </w:tcPr>
          <w:p>
            <w:pPr>
              <w:spacing w:after="40"/>
            </w:pPr>
            <w:r>
              <w:rPr>
                <w:sz w:val="18"/>
              </w:rPr>
              <w:t>unten, rechts</w:t>
              <w:br/>
              <w:t>x 66.9–69.1 %</w:t>
              <w:br/>
              <w:t>y 74.8–75.8 %</w:t>
            </w:r>
          </w:p>
        </w:tc>
      </w:tr>
      <w:tr>
        <w:trPr>
          <w:cantSplit/>
        </w:trPr>
        <w:tc>
          <w:tcPr>
            <w:tcW w:type="dxa" w:w="3288"/>
          </w:tcPr>
          <w:p>
            <w:pPr>
              <w:spacing w:after="40"/>
            </w:pPr>
            <w:r>
              <w:rPr>
                <w:sz w:val="18"/>
              </w:rPr>
              <w:t>Space Management</w:t>
            </w:r>
          </w:p>
        </w:tc>
        <w:tc>
          <w:tcPr>
            <w:tcW w:type="dxa" w:w="3005"/>
          </w:tcPr>
          <w:p>
            <w:pPr>
              <w:spacing w:after="40"/>
            </w:pPr>
            <w:r>
              <w:rPr>
                <w:sz w:val="18"/>
              </w:rPr>
              <w:t>x 48–170</w:t>
              <w:br/>
              <w:t>y 715–728</w:t>
            </w:r>
          </w:p>
        </w:tc>
        <w:tc>
          <w:tcPr>
            <w:tcW w:type="dxa" w:w="3402"/>
          </w:tcPr>
          <w:p>
            <w:pPr>
              <w:spacing w:after="40"/>
            </w:pPr>
            <w:r>
              <w:rPr>
                <w:sz w:val="18"/>
              </w:rPr>
              <w:t>unten, links</w:t>
              <w:br/>
              <w:t>x 2.5–8.9 %</w:t>
              <w:br/>
              <w:t>y 78.1–79.6 %</w:t>
            </w:r>
          </w:p>
        </w:tc>
      </w:tr>
      <w:tr>
        <w:trPr>
          <w:cantSplit/>
        </w:trPr>
        <w:tc>
          <w:tcPr>
            <w:tcW w:type="dxa" w:w="3288"/>
          </w:tcPr>
          <w:p>
            <w:pPr>
              <w:spacing w:after="40"/>
            </w:pPr>
            <w:r>
              <w:rPr>
                <w:sz w:val="18"/>
              </w:rPr>
              <w:t>DATA_FLOWS</w:t>
            </w:r>
          </w:p>
        </w:tc>
        <w:tc>
          <w:tcPr>
            <w:tcW w:type="dxa" w:w="3005"/>
          </w:tcPr>
          <w:p>
            <w:pPr>
              <w:spacing w:after="40"/>
            </w:pPr>
            <w:r>
              <w:rPr>
                <w:sz w:val="18"/>
              </w:rPr>
              <w:t>x 640–726</w:t>
              <w:br/>
              <w:t>y 717–729</w:t>
            </w:r>
          </w:p>
        </w:tc>
        <w:tc>
          <w:tcPr>
            <w:tcW w:type="dxa" w:w="3402"/>
          </w:tcPr>
          <w:p>
            <w:pPr>
              <w:spacing w:after="40"/>
            </w:pPr>
            <w:r>
              <w:rPr>
                <w:sz w:val="18"/>
              </w:rPr>
              <w:t>unten, mittig</w:t>
              <w:br/>
              <w:t>x 33.4–37.9 %</w:t>
              <w:br/>
              <w:t>y 78.4–79.7 %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717–727</w:t>
            </w:r>
          </w:p>
        </w:tc>
        <w:tc>
          <w:tcPr>
            <w:tcW w:type="dxa" w:w="3402"/>
          </w:tcPr>
          <w:p>
            <w:pPr>
              <w:spacing w:after="40"/>
            </w:pPr>
            <w:r>
              <w:rPr>
                <w:sz w:val="18"/>
              </w:rPr>
              <w:t>unten, mittig</w:t>
              <w:br/>
              <w:t>x 50.1–56.8 %</w:t>
              <w:br/>
              <w:t>y 78.4–79.5 %</w:t>
            </w:r>
          </w:p>
        </w:tc>
      </w:tr>
      <w:tr>
        <w:trPr>
          <w:cantSplit/>
        </w:trPr>
        <w:tc>
          <w:tcPr>
            <w:tcW w:type="dxa" w:w="3288"/>
          </w:tcPr>
          <w:p>
            <w:pPr>
              <w:spacing w:after="40"/>
            </w:pPr>
            <w:r>
              <w:rPr>
                <w:sz w:val="18"/>
              </w:rPr>
              <w:t>RUN</w:t>
            </w:r>
          </w:p>
        </w:tc>
        <w:tc>
          <w:tcPr>
            <w:tcW w:type="dxa" w:w="3005"/>
          </w:tcPr>
          <w:p>
            <w:pPr>
              <w:spacing w:after="40"/>
            </w:pPr>
            <w:r>
              <w:rPr>
                <w:sz w:val="18"/>
              </w:rPr>
              <w:t>x 1120–1147</w:t>
              <w:br/>
              <w:t>y 717–727</w:t>
            </w:r>
          </w:p>
        </w:tc>
        <w:tc>
          <w:tcPr>
            <w:tcW w:type="dxa" w:w="3402"/>
          </w:tcPr>
          <w:p>
            <w:pPr>
              <w:spacing w:after="40"/>
            </w:pPr>
            <w:r>
              <w:rPr>
                <w:sz w:val="18"/>
              </w:rPr>
              <w:t>unten, mittig</w:t>
              <w:br/>
              <w:t>x 58.5–59.9 %</w:t>
              <w:br/>
              <w:t>y 78.4–79.5 %</w:t>
            </w:r>
          </w:p>
        </w:tc>
      </w:tr>
      <w:tr>
        <w:trPr>
          <w:cantSplit/>
        </w:trPr>
        <w:tc>
          <w:tcPr>
            <w:tcW w:type="dxa" w:w="3288"/>
          </w:tcPr>
          <w:p>
            <w:pPr>
              <w:spacing w:after="40"/>
            </w:pPr>
            <w:r>
              <w:rPr>
                <w:sz w:val="18"/>
              </w:rPr>
              <w:t>COMPLETED</w:t>
            </w:r>
          </w:p>
        </w:tc>
        <w:tc>
          <w:tcPr>
            <w:tcW w:type="dxa" w:w="3005"/>
          </w:tcPr>
          <w:p>
            <w:pPr>
              <w:spacing w:after="40"/>
            </w:pPr>
            <w:r>
              <w:rPr>
                <w:sz w:val="18"/>
              </w:rPr>
              <w:t>x 1279–1360</w:t>
              <w:br/>
              <w:t>y 717–727</w:t>
            </w:r>
          </w:p>
        </w:tc>
        <w:tc>
          <w:tcPr>
            <w:tcW w:type="dxa" w:w="3402"/>
          </w:tcPr>
          <w:p>
            <w:pPr>
              <w:spacing w:after="40"/>
            </w:pPr>
            <w:r>
              <w:rPr>
                <w:sz w:val="18"/>
              </w:rPr>
              <w:t>unten, rechts</w:t>
              <w:br/>
              <w:t>x 66.8–71.1 %</w:t>
              <w:br/>
              <w:t>y 78.4–79.5 %</w:t>
            </w:r>
          </w:p>
        </w:tc>
      </w:tr>
      <w:tr>
        <w:trPr>
          <w:cantSplit/>
        </w:trPr>
        <w:tc>
          <w:tcPr>
            <w:tcW w:type="dxa" w:w="3288"/>
          </w:tcPr>
          <w:p>
            <w:pPr>
              <w:spacing w:after="40"/>
            </w:pPr>
            <w:r>
              <w:rPr>
                <w:sz w:val="18"/>
              </w:rPr>
              <w:t>DATA_FLOWS</w:t>
            </w:r>
          </w:p>
        </w:tc>
        <w:tc>
          <w:tcPr>
            <w:tcW w:type="dxa" w:w="3005"/>
          </w:tcPr>
          <w:p>
            <w:pPr>
              <w:spacing w:after="40"/>
            </w:pPr>
            <w:r>
              <w:rPr>
                <w:sz w:val="18"/>
              </w:rPr>
              <w:t>x 640–726</w:t>
              <w:br/>
              <w:t>y 750–762</w:t>
            </w:r>
          </w:p>
        </w:tc>
        <w:tc>
          <w:tcPr>
            <w:tcW w:type="dxa" w:w="3402"/>
          </w:tcPr>
          <w:p>
            <w:pPr>
              <w:spacing w:after="40"/>
            </w:pPr>
            <w:r>
              <w:rPr>
                <w:sz w:val="18"/>
              </w:rPr>
              <w:t>unten, mittig</w:t>
              <w:br/>
              <w:t>x 33.4–37.9 %</w:t>
              <w:br/>
              <w:t>y 82.0–83.3 %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750–760</w:t>
            </w:r>
          </w:p>
        </w:tc>
        <w:tc>
          <w:tcPr>
            <w:tcW w:type="dxa" w:w="3402"/>
          </w:tcPr>
          <w:p>
            <w:pPr>
              <w:spacing w:after="40"/>
            </w:pPr>
            <w:r>
              <w:rPr>
                <w:sz w:val="18"/>
              </w:rPr>
              <w:t>unten, mittig</w:t>
              <w:br/>
              <w:t>x 50.1–56.8 %</w:t>
              <w:br/>
              <w:t>y 82.0–83.1 %</w:t>
            </w:r>
          </w:p>
        </w:tc>
      </w:tr>
      <w:tr>
        <w:trPr>
          <w:cantSplit/>
        </w:trPr>
        <w:tc>
          <w:tcPr>
            <w:tcW w:type="dxa" w:w="3288"/>
          </w:tcPr>
          <w:p>
            <w:pPr>
              <w:spacing w:after="40"/>
            </w:pPr>
            <w:r>
              <w:rPr>
                <w:sz w:val="18"/>
              </w:rPr>
              <w:t>RUN</w:t>
            </w:r>
          </w:p>
        </w:tc>
        <w:tc>
          <w:tcPr>
            <w:tcW w:type="dxa" w:w="3005"/>
          </w:tcPr>
          <w:p>
            <w:pPr>
              <w:spacing w:after="40"/>
            </w:pPr>
            <w:r>
              <w:rPr>
                <w:sz w:val="18"/>
              </w:rPr>
              <w:t>x 1120–1147</w:t>
              <w:br/>
              <w:t>y 750–760</w:t>
            </w:r>
          </w:p>
        </w:tc>
        <w:tc>
          <w:tcPr>
            <w:tcW w:type="dxa" w:w="3402"/>
          </w:tcPr>
          <w:p>
            <w:pPr>
              <w:spacing w:after="40"/>
            </w:pPr>
            <w:r>
              <w:rPr>
                <w:sz w:val="18"/>
              </w:rPr>
              <w:t>unten, mittig</w:t>
              <w:br/>
              <w:t>x 58.5–59.9 %</w:t>
              <w:br/>
              <w:t>y 82.0–83.1 %</w:t>
            </w:r>
          </w:p>
        </w:tc>
      </w:tr>
      <w:tr>
        <w:trPr>
          <w:cantSplit/>
        </w:trPr>
        <w:tc>
          <w:tcPr>
            <w:tcW w:type="dxa" w:w="3288"/>
          </w:tcPr>
          <w:p>
            <w:pPr>
              <w:spacing w:after="40"/>
            </w:pPr>
            <w:r>
              <w:rPr>
                <w:sz w:val="18"/>
              </w:rPr>
              <w:t>COMPLETED</w:t>
            </w:r>
          </w:p>
        </w:tc>
        <w:tc>
          <w:tcPr>
            <w:tcW w:type="dxa" w:w="3005"/>
          </w:tcPr>
          <w:p>
            <w:pPr>
              <w:spacing w:after="40"/>
            </w:pPr>
            <w:r>
              <w:rPr>
                <w:sz w:val="18"/>
              </w:rPr>
              <w:t>x 1279–1360</w:t>
              <w:br/>
              <w:t>y 750–760</w:t>
            </w:r>
          </w:p>
        </w:tc>
        <w:tc>
          <w:tcPr>
            <w:tcW w:type="dxa" w:w="3402"/>
          </w:tcPr>
          <w:p>
            <w:pPr>
              <w:spacing w:after="40"/>
            </w:pPr>
            <w:r>
              <w:rPr>
                <w:sz w:val="18"/>
              </w:rPr>
              <w:t>unten, rechts</w:t>
              <w:br/>
              <w:t>x 66.8–71.1 %</w:t>
              <w:br/>
              <w:t>y 82.0–83.1 %</w:t>
            </w:r>
          </w:p>
        </w:tc>
      </w:tr>
      <w:tr>
        <w:trPr>
          <w:cantSplit/>
        </w:trPr>
        <w:tc>
          <w:tcPr>
            <w:tcW w:type="dxa" w:w="3288"/>
          </w:tcPr>
          <w:p>
            <w:pPr>
              <w:spacing w:after="40"/>
            </w:pPr>
            <w:r>
              <w:rPr>
                <w:sz w:val="18"/>
              </w:rPr>
              <w:t>Translation</w:t>
            </w:r>
          </w:p>
        </w:tc>
        <w:tc>
          <w:tcPr>
            <w:tcW w:type="dxa" w:w="3005"/>
          </w:tcPr>
          <w:p>
            <w:pPr>
              <w:spacing w:after="40"/>
            </w:pPr>
            <w:r>
              <w:rPr>
                <w:sz w:val="18"/>
              </w:rPr>
              <w:t>x 47–114</w:t>
              <w:br/>
              <w:t>y 751–761</w:t>
            </w:r>
          </w:p>
        </w:tc>
        <w:tc>
          <w:tcPr>
            <w:tcW w:type="dxa" w:w="3402"/>
          </w:tcPr>
          <w:p>
            <w:pPr>
              <w:spacing w:after="40"/>
            </w:pPr>
            <w:r>
              <w:rPr>
                <w:sz w:val="18"/>
              </w:rPr>
              <w:t>unten, links</w:t>
              <w:br/>
              <w:t>x 2.5–6.0 %</w:t>
              <w:br/>
              <w:t>y 82.1–83.2 %</w:t>
            </w:r>
          </w:p>
        </w:tc>
      </w:tr>
      <w:tr>
        <w:trPr>
          <w:cantSplit/>
        </w:trPr>
        <w:tc>
          <w:tcPr>
            <w:tcW w:type="dxa" w:w="3288"/>
          </w:tcPr>
          <w:p>
            <w:pPr>
              <w:spacing w:after="40"/>
            </w:pPr>
            <w:r>
              <w:rPr>
                <w:sz w:val="18"/>
              </w:rPr>
              <w:t>TASK_CHAINS</w:t>
            </w:r>
          </w:p>
        </w:tc>
        <w:tc>
          <w:tcPr>
            <w:tcW w:type="dxa" w:w="3005"/>
          </w:tcPr>
          <w:p>
            <w:pPr>
              <w:spacing w:after="40"/>
            </w:pPr>
            <w:r>
              <w:rPr>
                <w:sz w:val="18"/>
              </w:rPr>
              <w:t>x 639–730</w:t>
              <w:br/>
              <w:t>y 783–795</w:t>
            </w:r>
          </w:p>
        </w:tc>
        <w:tc>
          <w:tcPr>
            <w:tcW w:type="dxa" w:w="3402"/>
          </w:tcPr>
          <w:p>
            <w:pPr>
              <w:spacing w:after="40"/>
            </w:pPr>
            <w:r>
              <w:rPr>
                <w:sz w:val="18"/>
              </w:rPr>
              <w:t>unten, mittig</w:t>
              <w:br/>
              <w:t>x 33.4–38.1 %</w:t>
              <w:br/>
              <w:t>y 85.6–86.9 %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783–793</w:t>
            </w:r>
          </w:p>
        </w:tc>
        <w:tc>
          <w:tcPr>
            <w:tcW w:type="dxa" w:w="3402"/>
          </w:tcPr>
          <w:p>
            <w:pPr>
              <w:spacing w:after="40"/>
            </w:pPr>
            <w:r>
              <w:rPr>
                <w:sz w:val="18"/>
              </w:rPr>
              <w:t>unten, mittig</w:t>
              <w:br/>
              <w:t>x 50.1–56.8 %</w:t>
              <w:br/>
              <w:t>y 85.6–86.7 %</w:t>
            </w:r>
          </w:p>
        </w:tc>
      </w:tr>
      <w:tr>
        <w:trPr>
          <w:cantSplit/>
        </w:trPr>
        <w:tc>
          <w:tcPr>
            <w:tcW w:type="dxa" w:w="3288"/>
          </w:tcPr>
          <w:p>
            <w:pPr>
              <w:spacing w:after="40"/>
            </w:pPr>
            <w:r>
              <w:rPr>
                <w:sz w:val="18"/>
              </w:rPr>
              <w:t>RUN_CHAIN</w:t>
            </w:r>
          </w:p>
        </w:tc>
        <w:tc>
          <w:tcPr>
            <w:tcW w:type="dxa" w:w="3005"/>
          </w:tcPr>
          <w:p>
            <w:pPr>
              <w:spacing w:after="40"/>
            </w:pPr>
            <w:r>
              <w:rPr>
                <w:sz w:val="18"/>
              </w:rPr>
              <w:t>x 1120–1197</w:t>
              <w:br/>
              <w:t>y 783–795</w:t>
            </w:r>
          </w:p>
        </w:tc>
        <w:tc>
          <w:tcPr>
            <w:tcW w:type="dxa" w:w="3402"/>
          </w:tcPr>
          <w:p>
            <w:pPr>
              <w:spacing w:after="40"/>
            </w:pPr>
            <w:r>
              <w:rPr>
                <w:sz w:val="18"/>
              </w:rPr>
              <w:t>unten, mittig</w:t>
              <w:br/>
              <w:t>x 58.5–62.5 %</w:t>
              <w:br/>
              <w:t>y 85.6–86.9 %</w:t>
            </w:r>
          </w:p>
        </w:tc>
      </w:tr>
      <w:tr>
        <w:trPr>
          <w:cantSplit/>
        </w:trPr>
        <w:tc>
          <w:tcPr>
            <w:tcW w:type="dxa" w:w="3288"/>
          </w:tcPr>
          <w:p>
            <w:pPr>
              <w:spacing w:after="40"/>
            </w:pPr>
            <w:r>
              <w:rPr>
                <w:sz w:val="18"/>
              </w:rPr>
              <w:t>COMPLETED</w:t>
            </w:r>
          </w:p>
        </w:tc>
        <w:tc>
          <w:tcPr>
            <w:tcW w:type="dxa" w:w="3005"/>
          </w:tcPr>
          <w:p>
            <w:pPr>
              <w:spacing w:after="40"/>
            </w:pPr>
            <w:r>
              <w:rPr>
                <w:sz w:val="18"/>
              </w:rPr>
              <w:t>x 1279–1360</w:t>
              <w:br/>
              <w:t>y 783–793</w:t>
            </w:r>
          </w:p>
        </w:tc>
        <w:tc>
          <w:tcPr>
            <w:tcW w:type="dxa" w:w="3402"/>
          </w:tcPr>
          <w:p>
            <w:pPr>
              <w:spacing w:after="40"/>
            </w:pPr>
            <w:r>
              <w:rPr>
                <w:sz w:val="18"/>
              </w:rPr>
              <w:t>unten, rechts</w:t>
              <w:br/>
              <w:t>x 66.8–71.1 %</w:t>
              <w:br/>
              <w:t>y 85.6–86.7 %</w:t>
            </w:r>
          </w:p>
        </w:tc>
      </w:tr>
      <w:tr>
        <w:trPr>
          <w:cantSplit/>
        </w:trPr>
        <w:tc>
          <w:tcPr>
            <w:tcW w:type="dxa" w:w="3288"/>
          </w:tcPr>
          <w:p>
            <w:pPr>
              <w:spacing w:after="40"/>
            </w:pPr>
            <w:r>
              <w:rPr>
                <w:sz w:val="18"/>
              </w:rPr>
              <w:t>Transport</w:t>
            </w:r>
          </w:p>
        </w:tc>
        <w:tc>
          <w:tcPr>
            <w:tcW w:type="dxa" w:w="3005"/>
          </w:tcPr>
          <w:p>
            <w:pPr>
              <w:spacing w:after="40"/>
            </w:pPr>
            <w:r>
              <w:rPr>
                <w:sz w:val="18"/>
              </w:rPr>
              <w:t>x 47–105</w:t>
              <w:br/>
              <w:t>y 787–800</w:t>
            </w:r>
          </w:p>
        </w:tc>
        <w:tc>
          <w:tcPr>
            <w:tcW w:type="dxa" w:w="3402"/>
          </w:tcPr>
          <w:p>
            <w:pPr>
              <w:spacing w:after="40"/>
            </w:pPr>
            <w:r>
              <w:rPr>
                <w:sz w:val="18"/>
              </w:rPr>
              <w:t>unten, links</w:t>
              <w:br/>
              <w:t>x 2.5–5.5 %</w:t>
              <w:br/>
              <w:t>y 86.0–87.4 %</w:t>
            </w:r>
          </w:p>
        </w:tc>
      </w:tr>
      <w:tr>
        <w:trPr>
          <w:cantSplit/>
        </w:trPr>
        <w:tc>
          <w:tcPr>
            <w:tcW w:type="dxa" w:w="3288"/>
          </w:tcPr>
          <w:p>
            <w:pPr>
              <w:spacing w:after="40"/>
            </w:pPr>
            <w:r>
              <w:rPr>
                <w:sz w:val="18"/>
              </w:rPr>
              <w:t>DATA_FLOWS</w:t>
            </w:r>
          </w:p>
        </w:tc>
        <w:tc>
          <w:tcPr>
            <w:tcW w:type="dxa" w:w="3005"/>
          </w:tcPr>
          <w:p>
            <w:pPr>
              <w:spacing w:after="40"/>
            </w:pPr>
            <w:r>
              <w:rPr>
                <w:sz w:val="18"/>
              </w:rPr>
              <w:t>x 640–726</w:t>
              <w:br/>
              <w:t>y 816–828</w:t>
            </w:r>
          </w:p>
        </w:tc>
        <w:tc>
          <w:tcPr>
            <w:tcW w:type="dxa" w:w="3402"/>
          </w:tcPr>
          <w:p>
            <w:pPr>
              <w:spacing w:after="40"/>
            </w:pPr>
            <w:r>
              <w:rPr>
                <w:sz w:val="18"/>
              </w:rPr>
              <w:t>unten, mittig</w:t>
              <w:br/>
              <w:t>x 33.4–37.9 %</w:t>
              <w:br/>
              <w:t>y 89.2–90.5 %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816–826</w:t>
            </w:r>
          </w:p>
        </w:tc>
        <w:tc>
          <w:tcPr>
            <w:tcW w:type="dxa" w:w="3402"/>
          </w:tcPr>
          <w:p>
            <w:pPr>
              <w:spacing w:after="40"/>
            </w:pPr>
            <w:r>
              <w:rPr>
                <w:sz w:val="18"/>
              </w:rPr>
              <w:t>unten, mittig</w:t>
              <w:br/>
              <w:t>x 50.1–56.8 %</w:t>
              <w:br/>
              <w:t>y 89.2–90.3 %</w:t>
            </w:r>
          </w:p>
        </w:tc>
      </w:tr>
      <w:tr>
        <w:trPr>
          <w:cantSplit/>
        </w:trPr>
        <w:tc>
          <w:tcPr>
            <w:tcW w:type="dxa" w:w="3288"/>
          </w:tcPr>
          <w:p>
            <w:pPr>
              <w:spacing w:after="40"/>
            </w:pPr>
            <w:r>
              <w:rPr>
                <w:sz w:val="18"/>
              </w:rPr>
              <w:t>RUN</w:t>
            </w:r>
          </w:p>
        </w:tc>
        <w:tc>
          <w:tcPr>
            <w:tcW w:type="dxa" w:w="3005"/>
          </w:tcPr>
          <w:p>
            <w:pPr>
              <w:spacing w:after="40"/>
            </w:pPr>
            <w:r>
              <w:rPr>
                <w:sz w:val="18"/>
              </w:rPr>
              <w:t>x 1120–1147</w:t>
              <w:br/>
              <w:t>y 816–826</w:t>
            </w:r>
          </w:p>
        </w:tc>
        <w:tc>
          <w:tcPr>
            <w:tcW w:type="dxa" w:w="3402"/>
          </w:tcPr>
          <w:p>
            <w:pPr>
              <w:spacing w:after="40"/>
            </w:pPr>
            <w:r>
              <w:rPr>
                <w:sz w:val="18"/>
              </w:rPr>
              <w:t>unten, mittig</w:t>
              <w:br/>
              <w:t>x 58.5–59.9 %</w:t>
              <w:br/>
              <w:t>y 89.2–90.3 %</w:t>
            </w:r>
          </w:p>
        </w:tc>
      </w:tr>
      <w:tr>
        <w:trPr>
          <w:cantSplit/>
        </w:trPr>
        <w:tc>
          <w:tcPr>
            <w:tcW w:type="dxa" w:w="3288"/>
          </w:tcPr>
          <w:p>
            <w:pPr>
              <w:spacing w:after="40"/>
            </w:pPr>
            <w:r>
              <w:rPr>
                <w:sz w:val="18"/>
              </w:rPr>
              <w:t>FAILED</w:t>
            </w:r>
          </w:p>
        </w:tc>
        <w:tc>
          <w:tcPr>
            <w:tcW w:type="dxa" w:w="3005"/>
          </w:tcPr>
          <w:p>
            <w:pPr>
              <w:spacing w:after="40"/>
            </w:pPr>
            <w:r>
              <w:rPr>
                <w:sz w:val="18"/>
              </w:rPr>
              <w:t>x 1280–1323</w:t>
              <w:br/>
              <w:t>y 816–826</w:t>
            </w:r>
          </w:p>
        </w:tc>
        <w:tc>
          <w:tcPr>
            <w:tcW w:type="dxa" w:w="3402"/>
          </w:tcPr>
          <w:p>
            <w:pPr>
              <w:spacing w:after="40"/>
            </w:pPr>
            <w:r>
              <w:rPr>
                <w:sz w:val="18"/>
              </w:rPr>
              <w:t>unten, rechts</w:t>
              <w:br/>
              <w:t>x 66.9–69.1 %</w:t>
              <w:br/>
              <w:t>y 89.2–90.3 %</w:t>
            </w:r>
          </w:p>
        </w:tc>
      </w:tr>
      <w:tr>
        <w:trPr>
          <w:cantSplit/>
        </w:trPr>
        <w:tc>
          <w:tcPr>
            <w:tcW w:type="dxa" w:w="3288"/>
          </w:tcPr>
          <w:p>
            <w:pPr>
              <w:spacing w:after="40"/>
            </w:pPr>
            <w:r>
              <w:rPr>
                <w:sz w:val="18"/>
              </w:rPr>
              <w:t>Security</w:t>
            </w:r>
          </w:p>
        </w:tc>
        <w:tc>
          <w:tcPr>
            <w:tcW w:type="dxa" w:w="3005"/>
          </w:tcPr>
          <w:p>
            <w:pPr>
              <w:spacing w:after="40"/>
            </w:pPr>
            <w:r>
              <w:rPr>
                <w:sz w:val="18"/>
              </w:rPr>
              <w:t>x 48–97</w:t>
              <w:br/>
              <w:t>y 845–858</w:t>
            </w:r>
          </w:p>
        </w:tc>
        <w:tc>
          <w:tcPr>
            <w:tcW w:type="dxa" w:w="3402"/>
          </w:tcPr>
          <w:p>
            <w:pPr>
              <w:spacing w:after="40"/>
            </w:pPr>
            <w:r>
              <w:rPr>
                <w:sz w:val="18"/>
              </w:rPr>
              <w:t>unten, links</w:t>
              <w:br/>
              <w:t>x 2.5–5.1 %</w:t>
              <w:br/>
              <w:t>y 92.3–93.8 %</w:t>
            </w:r>
          </w:p>
        </w:tc>
      </w:tr>
      <w:tr>
        <w:trPr>
          <w:cantSplit/>
        </w:trPr>
        <w:tc>
          <w:tcPr>
            <w:tcW w:type="dxa" w:w="3288"/>
          </w:tcPr>
          <w:p>
            <w:pPr>
              <w:spacing w:after="40"/>
            </w:pPr>
            <w:r>
              <w:rPr>
                <w:sz w:val="18"/>
              </w:rPr>
              <w:t>TASK_CHAINS</w:t>
            </w:r>
          </w:p>
        </w:tc>
        <w:tc>
          <w:tcPr>
            <w:tcW w:type="dxa" w:w="3005"/>
          </w:tcPr>
          <w:p>
            <w:pPr>
              <w:spacing w:after="40"/>
            </w:pPr>
            <w:r>
              <w:rPr>
                <w:sz w:val="18"/>
              </w:rPr>
              <w:t>x 639–730</w:t>
              <w:br/>
              <w:t>y 849–861</w:t>
            </w:r>
          </w:p>
        </w:tc>
        <w:tc>
          <w:tcPr>
            <w:tcW w:type="dxa" w:w="3402"/>
          </w:tcPr>
          <w:p>
            <w:pPr>
              <w:spacing w:after="40"/>
            </w:pPr>
            <w:r>
              <w:rPr>
                <w:sz w:val="18"/>
              </w:rPr>
              <w:t>unten, mittig</w:t>
              <w:br/>
              <w:t>x 33.4–38.1 %</w:t>
              <w:br/>
              <w:t>y 92.8–94.1 %</w:t>
            </w:r>
          </w:p>
        </w:tc>
      </w:tr>
      <w:tr>
        <w:trPr>
          <w:cantSplit/>
        </w:trPr>
        <w:tc>
          <w:tcPr>
            <w:tcW w:type="dxa" w:w="3288"/>
          </w:tcPr>
          <w:p>
            <w:pPr>
              <w:spacing w:after="40"/>
            </w:pPr>
            <w:r>
              <w:rPr>
                <w:sz w:val="18"/>
              </w:rPr>
              <w:t>SAP HANA Database</w:t>
            </w:r>
          </w:p>
        </w:tc>
        <w:tc>
          <w:tcPr>
            <w:tcW w:type="dxa" w:w="3005"/>
          </w:tcPr>
          <w:p>
            <w:pPr>
              <w:spacing w:after="40"/>
            </w:pPr>
            <w:r>
              <w:rPr>
                <w:sz w:val="18"/>
              </w:rPr>
              <w:t>x 960–1088</w:t>
              <w:br/>
              <w:t>y 849–859</w:t>
            </w:r>
          </w:p>
        </w:tc>
        <w:tc>
          <w:tcPr>
            <w:tcW w:type="dxa" w:w="3402"/>
          </w:tcPr>
          <w:p>
            <w:pPr>
              <w:spacing w:after="40"/>
            </w:pPr>
            <w:r>
              <w:rPr>
                <w:sz w:val="18"/>
              </w:rPr>
              <w:t>unten, mittig</w:t>
              <w:br/>
              <w:t>x 50.1–56.8 %</w:t>
              <w:br/>
              <w:t>y 92.8–93.9 %</w:t>
            </w:r>
          </w:p>
        </w:tc>
      </w:tr>
      <w:tr>
        <w:trPr>
          <w:cantSplit/>
        </w:trPr>
        <w:tc>
          <w:tcPr>
            <w:tcW w:type="dxa" w:w="3288"/>
          </w:tcPr>
          <w:p>
            <w:pPr>
              <w:spacing w:after="40"/>
            </w:pPr>
            <w:r>
              <w:rPr>
                <w:sz w:val="18"/>
              </w:rPr>
              <w:t>RUN_CHAIN</w:t>
            </w:r>
          </w:p>
        </w:tc>
        <w:tc>
          <w:tcPr>
            <w:tcW w:type="dxa" w:w="3005"/>
          </w:tcPr>
          <w:p>
            <w:pPr>
              <w:spacing w:after="40"/>
            </w:pPr>
            <w:r>
              <w:rPr>
                <w:sz w:val="18"/>
              </w:rPr>
              <w:t>x 1120–1197</w:t>
              <w:br/>
              <w:t>y 849–861</w:t>
            </w:r>
          </w:p>
        </w:tc>
        <w:tc>
          <w:tcPr>
            <w:tcW w:type="dxa" w:w="3402"/>
          </w:tcPr>
          <w:p>
            <w:pPr>
              <w:spacing w:after="40"/>
            </w:pPr>
            <w:r>
              <w:rPr>
                <w:sz w:val="18"/>
              </w:rPr>
              <w:t>unten, mittig</w:t>
              <w:br/>
              <w:t>x 58.5–62.5 %</w:t>
              <w:br/>
              <w:t>y 92.8–94.1 %</w:t>
            </w:r>
          </w:p>
        </w:tc>
      </w:tr>
      <w:tr>
        <w:trPr>
          <w:cantSplit/>
        </w:trPr>
        <w:tc>
          <w:tcPr>
            <w:tcW w:type="dxa" w:w="3288"/>
          </w:tcPr>
          <w:p>
            <w:pPr>
              <w:spacing w:after="40"/>
            </w:pPr>
            <w:r>
              <w:rPr>
                <w:sz w:val="18"/>
              </w:rPr>
              <w:t>FAILED</w:t>
            </w:r>
          </w:p>
        </w:tc>
        <w:tc>
          <w:tcPr>
            <w:tcW w:type="dxa" w:w="3005"/>
          </w:tcPr>
          <w:p>
            <w:pPr>
              <w:spacing w:after="40"/>
            </w:pPr>
            <w:r>
              <w:rPr>
                <w:sz w:val="18"/>
              </w:rPr>
              <w:t>x 1280–1323</w:t>
              <w:br/>
              <w:t>y 849–859</w:t>
            </w:r>
          </w:p>
        </w:tc>
        <w:tc>
          <w:tcPr>
            <w:tcW w:type="dxa" w:w="3402"/>
          </w:tcPr>
          <w:p>
            <w:pPr>
              <w:spacing w:after="40"/>
            </w:pPr>
            <w:r>
              <w:rPr>
                <w:sz w:val="18"/>
              </w:rPr>
              <w:t>unten, rechts</w:t>
              <w:br/>
              <w:t>x 66.9–69.1 %</w:t>
              <w:br/>
              <w:t>y 92.8–93.9 %</w:t>
            </w:r>
          </w:p>
        </w:tc>
      </w:tr>
      <w:tr>
        <w:trPr>
          <w:cantSplit/>
        </w:trPr>
        <w:tc>
          <w:tcPr>
            <w:tcW w:type="dxa" w:w="3288"/>
          </w:tcPr>
          <w:p>
            <w:pPr>
              <w:spacing w:after="40"/>
            </w:pPr>
            <w:r>
              <w:rPr>
                <w:sz w:val="18"/>
              </w:rPr>
              <w:t>System</w:t>
            </w:r>
          </w:p>
        </w:tc>
        <w:tc>
          <w:tcPr>
            <w:tcW w:type="dxa" w:w="3005"/>
          </w:tcPr>
          <w:p>
            <w:pPr>
              <w:spacing w:after="40"/>
            </w:pPr>
            <w:r>
              <w:rPr>
                <w:sz w:val="18"/>
              </w:rPr>
              <w:t>x 48–92</w:t>
              <w:br/>
              <w:t>y 881–894</w:t>
            </w:r>
          </w:p>
        </w:tc>
        <w:tc>
          <w:tcPr>
            <w:tcW w:type="dxa" w:w="3402"/>
          </w:tcPr>
          <w:p>
            <w:pPr>
              <w:spacing w:after="40"/>
            </w:pPr>
            <w:r>
              <w:rPr>
                <w:sz w:val="18"/>
              </w:rPr>
              <w:t>unten, links</w:t>
              <w:br/>
              <w:t>x 2.5–4.8 %</w:t>
              <w:br/>
              <w:t>y 96.3–97.7 %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2: Repository Explorer: Objektübersicht</w:t>
      </w:r>
    </w:p>
    <w:p>
      <w:r>
        <w:t>Bildformat: 1381 × 661 Pixel. Die folgenden Positionen beziehen sich auf dieses vollständige Bild.</w:t>
      </w:r>
    </w:p>
    <w:p>
      <w:pPr>
        <w:pStyle w:val="Heading2"/>
      </w:pPr>
      <w:r>
        <w:t>1. Gesamtaufbau und sichtbarer Zustand</w:t>
      </w:r>
    </w:p>
    <w:p>
      <w:pPr>
        <w:pStyle w:val="Heading3"/>
      </w:pPr>
      <w:r>
        <w:t>Gesamtansicht</w:t>
      </w:r>
    </w:p>
    <w:p>
      <w:r>
        <w:t>Das Bild zeigt eine tabellarische Objektübersicht. Links stehen die globale Navigation und daneben ein zusätzlicher Filterbereich. Die Objektliste füllt den mittleren und rechten Bildschirmbereich.</w:t>
      </w:r>
    </w:p>
    <w:p>
      <w:pPr>
        <w:pStyle w:val="Heading3"/>
      </w:pPr>
      <w:r>
        <w:t>Linker Filterbereich</w:t>
      </w:r>
    </w:p>
    <w:p>
      <w:r>
        <w:t>Der Filterbereich enthält Auswahlmöglichkeiten wie All, Recent, My Objects, Shared und Favorites. Darunter folgt eine Liste von Spaces. Oberhalb des Inhalts sind eine Suchfunktion und eine Werkzeugleiste mit kleinen Symbolen sichtbar.</w:t>
      </w:r>
    </w:p>
    <w:p>
      <w:pPr>
        <w:pStyle w:val="Heading3"/>
      </w:pPr>
      <w:r>
        <w:t>Hauptbereich</w:t>
      </w:r>
    </w:p>
    <w:p>
      <w:r>
        <w:t>Die Tabelle besitzt mehrere Spalten. Rechts sind Type beziehungsweise Semantic Usage, Space, Folder, Status, Changed On und Favorite erkennbar. Viele Zeilen enthalten den Objekttyp „Analytic Model“. In der Statusspalte erscheinen Bereitstellungsanzeigen. Die Spalte Changed On enthält Datum und Uhrzeit. Ganz rechts befindet sich die Favoritenspalte mit Sternsymbolen.</w:t>
      </w:r>
    </w:p>
    <w:p>
      <w:pPr>
        <w:pStyle w:val="Heading3"/>
      </w:pPr>
      <w:r>
        <w:t>Visuelle Struktur</w:t>
      </w:r>
    </w:p>
    <w:p>
      <w:r>
        <w:t>Die Tabelle ist dicht mit Einträgen gefüllt. Jede Zeile bildet ein eigenes Objekt ab; kleine Objektsymbole stehen am Anfang der Zeilen. Die Such- und Filterelemente liegen oberhalb der Liste, während die globale Navigation am linken Bildschirmrand unverändert sichtbar bleibt. Es ist kein modaler Dialog geöffnet.</w:t>
      </w:r>
    </w:p>
    <w:p>
      <w:pPr>
        <w:pStyle w:val="Heading2"/>
      </w:pPr>
      <w:r>
        <w:t>2. Räumliche Beschreibung von oben nach unten</w:t>
      </w:r>
    </w:p>
    <w:p>
      <w:pPr>
        <w:pStyle w:val="Heading3"/>
      </w:pPr>
      <w:r>
        <w:t>Globale Navigation</w:t>
      </w:r>
    </w:p>
    <w:p>
      <w:r>
        <w:rPr>
          <w:b/>
        </w:rPr>
        <w:t xml:space="preserve">Ungefähre Bildregion: </w:t>
      </w:r>
      <w:r>
        <w:t>x 0–12 %, y 5–100 %</w:t>
      </w:r>
    </w:p>
    <w:p>
      <w:r>
        <w:t>Die linke Hauptnavigation bleibt von der inneren Filterspalte getrennt.</w:t>
      </w:r>
    </w:p>
    <w:p>
      <w:pPr>
        <w:pStyle w:val="Heading3"/>
      </w:pPr>
      <w:r>
        <w:t>Innere Filterspalte</w:t>
      </w:r>
    </w:p>
    <w:p>
      <w:r>
        <w:rPr>
          <w:b/>
        </w:rPr>
        <w:t xml:space="preserve">Ungefähre Bildregion: </w:t>
      </w:r>
      <w:r>
        <w:t>x 12–27 %, y 12–100 %</w:t>
      </w:r>
    </w:p>
    <w:p>
      <w:r>
        <w:t>Oben stehen die Auswahlbereiche All, Recent, My Objects, Shared und Favorites untereinander. Darunter beginnt die Space-Liste. Kleine Symbole stehen links vor den Filterbezeichnungen.</w:t>
      </w:r>
    </w:p>
    <w:p>
      <w:pPr>
        <w:pStyle w:val="Heading3"/>
      </w:pPr>
      <w:r>
        <w:t>Objekttabelle</w:t>
      </w:r>
    </w:p>
    <w:p>
      <w:r>
        <w:rPr>
          <w:b/>
        </w:rPr>
        <w:t xml:space="preserve">Ungefähre Bildregion: </w:t>
      </w:r>
      <w:r>
        <w:t>x 27–100 %, y 17–100 %</w:t>
      </w:r>
    </w:p>
    <w:p>
      <w:r>
        <w:t>Die Werkzeugleiste und Suchauswahl liegen oberhalb der Tabellenkopfzeile. Objekttypen stehen ungefähr in der Mitte der Tabelle. Rechts davon folgen Space, Folder, Status, Änderungszeit und Favoriten. Die Zeilen sind durch dünne horizontale Linien getrennt.</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Repository Explorer</w:t>
            </w:r>
          </w:p>
        </w:tc>
        <w:tc>
          <w:tcPr>
            <w:tcW w:type="dxa" w:w="3005"/>
          </w:tcPr>
          <w:p>
            <w:pPr>
              <w:spacing w:after="40"/>
            </w:pPr>
            <w:r>
              <w:rPr>
                <w:sz w:val="18"/>
              </w:rPr>
              <w:t>x 160–255</w:t>
              <w:br/>
              <w:t>y 36–51</w:t>
            </w:r>
          </w:p>
        </w:tc>
        <w:tc>
          <w:tcPr>
            <w:tcW w:type="dxa" w:w="3402"/>
          </w:tcPr>
          <w:p>
            <w:pPr>
              <w:spacing w:after="40"/>
            </w:pPr>
            <w:r>
              <w:rPr>
                <w:sz w:val="18"/>
              </w:rPr>
              <w:t>oben, links</w:t>
              <w:br/>
              <w:t>x 11.6–18.5 %</w:t>
              <w:br/>
              <w:t>y 5.4–7.7 %</w:t>
            </w:r>
          </w:p>
        </w:tc>
      </w:tr>
      <w:tr>
        <w:trPr>
          <w:cantSplit/>
        </w:trPr>
        <w:tc>
          <w:tcPr>
            <w:tcW w:type="dxa" w:w="3288"/>
          </w:tcPr>
          <w:p>
            <w:pPr>
              <w:spacing w:after="40"/>
            </w:pPr>
            <w:r>
              <w:rPr>
                <w:sz w:val="18"/>
              </w:rPr>
              <w:t>Home</w:t>
            </w:r>
          </w:p>
        </w:tc>
        <w:tc>
          <w:tcPr>
            <w:tcW w:type="dxa" w:w="3005"/>
          </w:tcPr>
          <w:p>
            <w:pPr>
              <w:spacing w:after="40"/>
            </w:pPr>
            <w:r>
              <w:rPr>
                <w:sz w:val="18"/>
              </w:rPr>
              <w:t>x 34–60</w:t>
              <w:br/>
              <w:t>y 76–83</w:t>
            </w:r>
          </w:p>
        </w:tc>
        <w:tc>
          <w:tcPr>
            <w:tcW w:type="dxa" w:w="3402"/>
          </w:tcPr>
          <w:p>
            <w:pPr>
              <w:spacing w:after="40"/>
            </w:pPr>
            <w:r>
              <w:rPr>
                <w:sz w:val="18"/>
              </w:rPr>
              <w:t>oben, links</w:t>
              <w:br/>
              <w:t>x 2.5–4.3 %</w:t>
              <w:br/>
              <w:t>y 11.5–12.6 %</w:t>
            </w:r>
          </w:p>
        </w:tc>
      </w:tr>
      <w:tr>
        <w:trPr>
          <w:cantSplit/>
        </w:trPr>
        <w:tc>
          <w:tcPr>
            <w:tcW w:type="dxa" w:w="3288"/>
          </w:tcPr>
          <w:p>
            <w:pPr>
              <w:spacing w:after="40"/>
            </w:pPr>
            <w:r>
              <w:rPr>
                <w:sz w:val="18"/>
              </w:rPr>
              <w:t>Repository Explorer</w:t>
            </w:r>
          </w:p>
        </w:tc>
        <w:tc>
          <w:tcPr>
            <w:tcW w:type="dxa" w:w="3005"/>
          </w:tcPr>
          <w:p>
            <w:pPr>
              <w:spacing w:after="40"/>
            </w:pPr>
            <w:r>
              <w:rPr>
                <w:sz w:val="18"/>
              </w:rPr>
              <w:t>x 34–121</w:t>
              <w:br/>
              <w:t>y 102–111</w:t>
            </w:r>
          </w:p>
        </w:tc>
        <w:tc>
          <w:tcPr>
            <w:tcW w:type="dxa" w:w="3402"/>
          </w:tcPr>
          <w:p>
            <w:pPr>
              <w:spacing w:after="40"/>
            </w:pPr>
            <w:r>
              <w:rPr>
                <w:sz w:val="18"/>
              </w:rPr>
              <w:t>oben, links</w:t>
              <w:br/>
              <w:t>x 2.5–8.8 %</w:t>
              <w:br/>
              <w:t>y 15.4–16.8 %</w:t>
            </w:r>
          </w:p>
        </w:tc>
      </w:tr>
      <w:tr>
        <w:trPr>
          <w:cantSplit/>
        </w:trPr>
        <w:tc>
          <w:tcPr>
            <w:tcW w:type="dxa" w:w="3288"/>
          </w:tcPr>
          <w:p>
            <w:pPr>
              <w:spacing w:after="40"/>
            </w:pPr>
            <w:r>
              <w:rPr>
                <w:sz w:val="18"/>
              </w:rPr>
              <w:t>Search In:</w:t>
            </w:r>
          </w:p>
        </w:tc>
        <w:tc>
          <w:tcPr>
            <w:tcW w:type="dxa" w:w="3005"/>
          </w:tcPr>
          <w:p>
            <w:pPr>
              <w:spacing w:after="40"/>
            </w:pPr>
            <w:r>
              <w:rPr>
                <w:sz w:val="18"/>
              </w:rPr>
              <w:t>x 421–467</w:t>
              <w:br/>
              <w:t>y 122–129</w:t>
            </w:r>
          </w:p>
        </w:tc>
        <w:tc>
          <w:tcPr>
            <w:tcW w:type="dxa" w:w="3402"/>
          </w:tcPr>
          <w:p>
            <w:pPr>
              <w:spacing w:after="40"/>
            </w:pPr>
            <w:r>
              <w:rPr>
                <w:sz w:val="18"/>
              </w:rPr>
              <w:t>oben, links</w:t>
              <w:br/>
              <w:t>x 30.5–33.8 %</w:t>
              <w:br/>
              <w:t>y 18.5–19.5 %</w:t>
            </w:r>
          </w:p>
        </w:tc>
      </w:tr>
      <w:tr>
        <w:trPr>
          <w:cantSplit/>
        </w:trPr>
        <w:tc>
          <w:tcPr>
            <w:tcW w:type="dxa" w:w="3288"/>
          </w:tcPr>
          <w:p>
            <w:pPr>
              <w:spacing w:after="40"/>
            </w:pPr>
            <w:r>
              <w:rPr>
                <w:sz w:val="18"/>
              </w:rPr>
              <w:t>Monitoring</w:t>
            </w:r>
          </w:p>
        </w:tc>
        <w:tc>
          <w:tcPr>
            <w:tcW w:type="dxa" w:w="3005"/>
          </w:tcPr>
          <w:p>
            <w:pPr>
              <w:spacing w:after="40"/>
            </w:pPr>
            <w:r>
              <w:rPr>
                <w:sz w:val="18"/>
              </w:rPr>
              <w:t>x 34–81</w:t>
              <w:br/>
              <w:t>y 128–137</w:t>
            </w:r>
          </w:p>
        </w:tc>
        <w:tc>
          <w:tcPr>
            <w:tcW w:type="dxa" w:w="3402"/>
          </w:tcPr>
          <w:p>
            <w:pPr>
              <w:spacing w:after="40"/>
            </w:pPr>
            <w:r>
              <w:rPr>
                <w:sz w:val="18"/>
              </w:rPr>
              <w:t>oben, links</w:t>
              <w:br/>
              <w:t>x 2.5–5.9 %</w:t>
              <w:br/>
              <w:t>y 19.3–20.7 %</w:t>
            </w:r>
          </w:p>
        </w:tc>
      </w:tr>
      <w:tr>
        <w:trPr>
          <w:cantSplit/>
        </w:trPr>
        <w:tc>
          <w:tcPr>
            <w:tcW w:type="dxa" w:w="3288"/>
          </w:tcPr>
          <w:p>
            <w:pPr>
              <w:spacing w:after="40"/>
            </w:pPr>
            <w:r>
              <w:rPr>
                <w:sz w:val="18"/>
              </w:rPr>
              <w:t>Space</w:t>
            </w:r>
          </w:p>
        </w:tc>
        <w:tc>
          <w:tcPr>
            <w:tcW w:type="dxa" w:w="3005"/>
          </w:tcPr>
          <w:p>
            <w:pPr>
              <w:spacing w:after="40"/>
            </w:pPr>
            <w:r>
              <w:rPr>
                <w:sz w:val="18"/>
              </w:rPr>
              <w:t>x 835–862</w:t>
              <w:br/>
              <w:t>y 145–154</w:t>
            </w:r>
          </w:p>
        </w:tc>
        <w:tc>
          <w:tcPr>
            <w:tcW w:type="dxa" w:w="3402"/>
          </w:tcPr>
          <w:p>
            <w:pPr>
              <w:spacing w:after="40"/>
            </w:pPr>
            <w:r>
              <w:rPr>
                <w:sz w:val="18"/>
              </w:rPr>
              <w:t>oben, mittig</w:t>
              <w:br/>
              <w:t>x 60.5–62.4 %</w:t>
              <w:br/>
              <w:t>y 21.9–23.3 %</w:t>
            </w:r>
          </w:p>
        </w:tc>
      </w:tr>
      <w:tr>
        <w:trPr>
          <w:cantSplit/>
        </w:trPr>
        <w:tc>
          <w:tcPr>
            <w:tcW w:type="dxa" w:w="3288"/>
          </w:tcPr>
          <w:p>
            <w:pPr>
              <w:spacing w:after="40"/>
            </w:pPr>
            <w:r>
              <w:rPr>
                <w:sz w:val="18"/>
              </w:rPr>
              <w:t>Folder</w:t>
            </w:r>
          </w:p>
        </w:tc>
        <w:tc>
          <w:tcPr>
            <w:tcW w:type="dxa" w:w="3005"/>
          </w:tcPr>
          <w:p>
            <w:pPr>
              <w:spacing w:after="40"/>
            </w:pPr>
            <w:r>
              <w:rPr>
                <w:sz w:val="18"/>
              </w:rPr>
              <w:t>x 942–969</w:t>
              <w:br/>
              <w:t>y 145–152</w:t>
            </w:r>
          </w:p>
        </w:tc>
        <w:tc>
          <w:tcPr>
            <w:tcW w:type="dxa" w:w="3402"/>
          </w:tcPr>
          <w:p>
            <w:pPr>
              <w:spacing w:after="40"/>
            </w:pPr>
            <w:r>
              <w:rPr>
                <w:sz w:val="18"/>
              </w:rPr>
              <w:t>oben, rechts</w:t>
              <w:br/>
              <w:t>x 68.2–70.2 %</w:t>
              <w:br/>
              <w:t>y 21.9–23.0 %</w:t>
            </w:r>
          </w:p>
        </w:tc>
      </w:tr>
      <w:tr>
        <w:trPr>
          <w:cantSplit/>
        </w:trPr>
        <w:tc>
          <w:tcPr>
            <w:tcW w:type="dxa" w:w="3288"/>
          </w:tcPr>
          <w:p>
            <w:pPr>
              <w:spacing w:after="40"/>
            </w:pPr>
            <w:r>
              <w:rPr>
                <w:sz w:val="18"/>
              </w:rPr>
              <w:t>Status</w:t>
            </w:r>
          </w:p>
        </w:tc>
        <w:tc>
          <w:tcPr>
            <w:tcW w:type="dxa" w:w="3005"/>
          </w:tcPr>
          <w:p>
            <w:pPr>
              <w:spacing w:after="40"/>
            </w:pPr>
            <w:r>
              <w:rPr>
                <w:sz w:val="18"/>
              </w:rPr>
              <w:t>x 1048–1074</w:t>
              <w:br/>
              <w:t>y 145–152</w:t>
            </w:r>
          </w:p>
        </w:tc>
        <w:tc>
          <w:tcPr>
            <w:tcW w:type="dxa" w:w="3402"/>
          </w:tcPr>
          <w:p>
            <w:pPr>
              <w:spacing w:after="40"/>
            </w:pPr>
            <w:r>
              <w:rPr>
                <w:sz w:val="18"/>
              </w:rPr>
              <w:t>oben, rechts</w:t>
              <w:br/>
              <w:t>x 75.9–77.8 %</w:t>
              <w:br/>
              <w:t>y 21.9–23.0 %</w:t>
            </w:r>
          </w:p>
        </w:tc>
      </w:tr>
      <w:tr>
        <w:trPr>
          <w:cantSplit/>
        </w:trPr>
        <w:tc>
          <w:tcPr>
            <w:tcW w:type="dxa" w:w="3288"/>
          </w:tcPr>
          <w:p>
            <w:pPr>
              <w:spacing w:after="40"/>
            </w:pPr>
            <w:r>
              <w:rPr>
                <w:sz w:val="18"/>
              </w:rPr>
              <w:t>Changed On</w:t>
            </w:r>
          </w:p>
        </w:tc>
        <w:tc>
          <w:tcPr>
            <w:tcW w:type="dxa" w:w="3005"/>
          </w:tcPr>
          <w:p>
            <w:pPr>
              <w:spacing w:after="40"/>
            </w:pPr>
            <w:r>
              <w:rPr>
                <w:sz w:val="18"/>
              </w:rPr>
              <w:t>x 1153–1209</w:t>
              <w:br/>
              <w:t>y 145–154</w:t>
            </w:r>
          </w:p>
        </w:tc>
        <w:tc>
          <w:tcPr>
            <w:tcW w:type="dxa" w:w="3402"/>
          </w:tcPr>
          <w:p>
            <w:pPr>
              <w:spacing w:after="40"/>
            </w:pPr>
            <w:r>
              <w:rPr>
                <w:sz w:val="18"/>
              </w:rPr>
              <w:t>oben, rechts</w:t>
              <w:br/>
              <w:t>x 83.5–87.5 %</w:t>
              <w:br/>
              <w:t>y 21.9–23.3 %</w:t>
            </w:r>
          </w:p>
        </w:tc>
      </w:tr>
      <w:tr>
        <w:trPr>
          <w:cantSplit/>
        </w:trPr>
        <w:tc>
          <w:tcPr>
            <w:tcW w:type="dxa" w:w="3288"/>
          </w:tcPr>
          <w:p>
            <w:pPr>
              <w:spacing w:after="40"/>
            </w:pPr>
            <w:r>
              <w:rPr>
                <w:sz w:val="18"/>
              </w:rPr>
              <w:t>Favorite</w:t>
            </w:r>
          </w:p>
        </w:tc>
        <w:tc>
          <w:tcPr>
            <w:tcW w:type="dxa" w:w="3005"/>
          </w:tcPr>
          <w:p>
            <w:pPr>
              <w:spacing w:after="40"/>
            </w:pPr>
            <w:r>
              <w:rPr>
                <w:sz w:val="18"/>
              </w:rPr>
              <w:t>x 1260–1294</w:t>
              <w:br/>
              <w:t>y 145–152</w:t>
            </w:r>
          </w:p>
        </w:tc>
        <w:tc>
          <w:tcPr>
            <w:tcW w:type="dxa" w:w="3402"/>
          </w:tcPr>
          <w:p>
            <w:pPr>
              <w:spacing w:after="40"/>
            </w:pPr>
            <w:r>
              <w:rPr>
                <w:sz w:val="18"/>
              </w:rPr>
              <w:t>oben, rechts</w:t>
              <w:br/>
              <w:t>x 91.2–93.7 %</w:t>
              <w:br/>
              <w:t>y 21.9–23.0 %</w:t>
            </w:r>
          </w:p>
        </w:tc>
      </w:tr>
      <w:tr>
        <w:trPr>
          <w:cantSplit/>
        </w:trPr>
        <w:tc>
          <w:tcPr>
            <w:tcW w:type="dxa" w:w="3288"/>
          </w:tcPr>
          <w:p>
            <w:pPr>
              <w:spacing w:after="40"/>
            </w:pPr>
            <w:r>
              <w:rPr>
                <w:sz w:val="18"/>
              </w:rPr>
              <w:t>Catalog &amp; Marketplace</w:t>
            </w:r>
          </w:p>
        </w:tc>
        <w:tc>
          <w:tcPr>
            <w:tcW w:type="dxa" w:w="3005"/>
          </w:tcPr>
          <w:p>
            <w:pPr>
              <w:spacing w:after="40"/>
            </w:pPr>
            <w:r>
              <w:rPr>
                <w:sz w:val="18"/>
              </w:rPr>
              <w:t>x 34–136</w:t>
              <w:br/>
              <w:t>y 154–163</w:t>
            </w:r>
          </w:p>
        </w:tc>
        <w:tc>
          <w:tcPr>
            <w:tcW w:type="dxa" w:w="3402"/>
          </w:tcPr>
          <w:p>
            <w:pPr>
              <w:spacing w:after="40"/>
            </w:pPr>
            <w:r>
              <w:rPr>
                <w:sz w:val="18"/>
              </w:rPr>
              <w:t>oben, links</w:t>
              <w:br/>
              <w:t>x 2.5–9.8 %</w:t>
              <w:br/>
              <w:t>y 23.2–24.7 %</w:t>
            </w:r>
          </w:p>
        </w:tc>
      </w:tr>
      <w:tr>
        <w:trPr>
          <w:cantSplit/>
        </w:trPr>
        <w:tc>
          <w:tcPr>
            <w:tcW w:type="dxa" w:w="3288"/>
          </w:tcPr>
          <w:p>
            <w:pPr>
              <w:spacing w:after="40"/>
            </w:pPr>
            <w:r>
              <w:rPr>
                <w:sz w:val="18"/>
              </w:rPr>
              <w:t>Recent</w:t>
            </w:r>
          </w:p>
        </w:tc>
        <w:tc>
          <w:tcPr>
            <w:tcW w:type="dxa" w:w="3005"/>
          </w:tcPr>
          <w:p>
            <w:pPr>
              <w:spacing w:after="40"/>
            </w:pPr>
            <w:r>
              <w:rPr>
                <w:sz w:val="18"/>
              </w:rPr>
              <w:t>x 219–250</w:t>
              <w:br/>
              <w:t>y 169–176</w:t>
            </w:r>
          </w:p>
        </w:tc>
        <w:tc>
          <w:tcPr>
            <w:tcW w:type="dxa" w:w="3402"/>
          </w:tcPr>
          <w:p>
            <w:pPr>
              <w:spacing w:after="40"/>
            </w:pPr>
            <w:r>
              <w:rPr>
                <w:sz w:val="18"/>
              </w:rPr>
              <w:t>oben, links</w:t>
              <w:br/>
              <w:t>x 15.9–18.1 %</w:t>
              <w:br/>
              <w:t>y 25.6–26.6 %</w:t>
            </w:r>
          </w:p>
        </w:tc>
      </w:tr>
      <w:tr>
        <w:trPr>
          <w:cantSplit/>
        </w:trPr>
        <w:tc>
          <w:tcPr>
            <w:tcW w:type="dxa" w:w="3288"/>
          </w:tcPr>
          <w:p>
            <w:pPr>
              <w:spacing w:after="40"/>
            </w:pPr>
            <w:r>
              <w:rPr>
                <w:sz w:val="18"/>
              </w:rPr>
              <w:t>Apps</w:t>
            </w:r>
          </w:p>
        </w:tc>
        <w:tc>
          <w:tcPr>
            <w:tcW w:type="dxa" w:w="3005"/>
          </w:tcPr>
          <w:p>
            <w:pPr>
              <w:spacing w:after="40"/>
            </w:pPr>
            <w:r>
              <w:rPr>
                <w:sz w:val="18"/>
              </w:rPr>
              <w:t>x 18–39</w:t>
              <w:br/>
              <w:t>y 190–194</w:t>
            </w:r>
          </w:p>
        </w:tc>
        <w:tc>
          <w:tcPr>
            <w:tcW w:type="dxa" w:w="3402"/>
          </w:tcPr>
          <w:p>
            <w:pPr>
              <w:spacing w:after="40"/>
            </w:pPr>
            <w:r>
              <w:rPr>
                <w:sz w:val="18"/>
              </w:rPr>
              <w:t>oben, links</w:t>
              <w:br/>
              <w:t>x 1.3–2.8 %</w:t>
              <w:br/>
              <w:t>y 28.7–29.3 %</w:t>
            </w:r>
          </w:p>
        </w:tc>
      </w:tr>
      <w:tr>
        <w:trPr>
          <w:cantSplit/>
        </w:trPr>
        <w:tc>
          <w:tcPr>
            <w:tcW w:type="dxa" w:w="3288"/>
          </w:tcPr>
          <w:p>
            <w:pPr>
              <w:spacing w:after="40"/>
            </w:pPr>
            <w:r>
              <w:rPr>
                <w:sz w:val="18"/>
              </w:rPr>
              <w:t>My Objects</w:t>
            </w:r>
          </w:p>
        </w:tc>
        <w:tc>
          <w:tcPr>
            <w:tcW w:type="dxa" w:w="3005"/>
          </w:tcPr>
          <w:p>
            <w:pPr>
              <w:spacing w:after="40"/>
            </w:pPr>
            <w:r>
              <w:rPr>
                <w:sz w:val="18"/>
              </w:rPr>
              <w:t>x 219–268</w:t>
              <w:br/>
              <w:t>y 192–201</w:t>
            </w:r>
          </w:p>
        </w:tc>
        <w:tc>
          <w:tcPr>
            <w:tcW w:type="dxa" w:w="3402"/>
          </w:tcPr>
          <w:p>
            <w:pPr>
              <w:spacing w:after="40"/>
            </w:pPr>
            <w:r>
              <w:rPr>
                <w:sz w:val="18"/>
              </w:rPr>
              <w:t>oben, links</w:t>
              <w:br/>
              <w:t>x 15.9–19.4 %</w:t>
              <w:br/>
              <w:t>y 29.0–30.4 %</w:t>
            </w:r>
          </w:p>
        </w:tc>
      </w:tr>
      <w:tr>
        <w:trPr>
          <w:cantSplit/>
        </w:trPr>
        <w:tc>
          <w:tcPr>
            <w:tcW w:type="dxa" w:w="3288"/>
          </w:tcPr>
          <w:p>
            <w:pPr>
              <w:spacing w:after="40"/>
            </w:pPr>
            <w:r>
              <w:rPr>
                <w:sz w:val="18"/>
              </w:rPr>
              <w:t>Analytic Model</w:t>
            </w:r>
          </w:p>
        </w:tc>
        <w:tc>
          <w:tcPr>
            <w:tcW w:type="dxa" w:w="3005"/>
          </w:tcPr>
          <w:p>
            <w:pPr>
              <w:spacing w:after="40"/>
            </w:pPr>
            <w:r>
              <w:rPr>
                <w:sz w:val="18"/>
              </w:rPr>
              <w:t>x 729–794</w:t>
              <w:br/>
              <w:t>y 198–208</w:t>
            </w:r>
          </w:p>
        </w:tc>
        <w:tc>
          <w:tcPr>
            <w:tcW w:type="dxa" w:w="3402"/>
          </w:tcPr>
          <w:p>
            <w:pPr>
              <w:spacing w:after="40"/>
            </w:pPr>
            <w:r>
              <w:rPr>
                <w:sz w:val="18"/>
              </w:rPr>
              <w:t>oben, mittig</w:t>
              <w:br/>
              <w:t>x 52.8–57.5 %</w:t>
              <w:br/>
              <w:t>y 30.0–31.5 %</w:t>
            </w:r>
          </w:p>
        </w:tc>
      </w:tr>
      <w:tr>
        <w:trPr>
          <w:cantSplit/>
        </w:trPr>
        <w:tc>
          <w:tcPr>
            <w:tcW w:type="dxa" w:w="3288"/>
          </w:tcPr>
          <w:p>
            <w:pPr>
              <w:spacing w:after="40"/>
            </w:pPr>
            <w:r>
              <w:rPr>
                <w:sz w:val="18"/>
              </w:rPr>
              <w:t>Semantic Onboarding</w:t>
            </w:r>
          </w:p>
        </w:tc>
        <w:tc>
          <w:tcPr>
            <w:tcW w:type="dxa" w:w="3005"/>
          </w:tcPr>
          <w:p>
            <w:pPr>
              <w:spacing w:after="40"/>
            </w:pPr>
            <w:r>
              <w:rPr>
                <w:sz w:val="18"/>
              </w:rPr>
              <w:t>x 34–130</w:t>
              <w:br/>
              <w:t>y 213–222</w:t>
            </w:r>
          </w:p>
        </w:tc>
        <w:tc>
          <w:tcPr>
            <w:tcW w:type="dxa" w:w="3402"/>
          </w:tcPr>
          <w:p>
            <w:pPr>
              <w:spacing w:after="40"/>
            </w:pPr>
            <w:r>
              <w:rPr>
                <w:sz w:val="18"/>
              </w:rPr>
              <w:t>oben, links</w:t>
              <w:br/>
              <w:t>x 2.5–9.4 %</w:t>
              <w:br/>
              <w:t>y 32.2–33.6 %</w:t>
            </w:r>
          </w:p>
        </w:tc>
      </w:tr>
      <w:tr>
        <w:trPr>
          <w:cantSplit/>
        </w:trPr>
        <w:tc>
          <w:tcPr>
            <w:tcW w:type="dxa" w:w="3288"/>
          </w:tcPr>
          <w:p>
            <w:pPr>
              <w:spacing w:after="40"/>
            </w:pPr>
            <w:r>
              <w:rPr>
                <w:sz w:val="18"/>
              </w:rPr>
              <w:t>Shared</w:t>
            </w:r>
          </w:p>
        </w:tc>
        <w:tc>
          <w:tcPr>
            <w:tcW w:type="dxa" w:w="3005"/>
          </w:tcPr>
          <w:p>
            <w:pPr>
              <w:spacing w:after="40"/>
            </w:pPr>
            <w:r>
              <w:rPr>
                <w:sz w:val="18"/>
              </w:rPr>
              <w:t>x 219–250</w:t>
              <w:br/>
              <w:t>y 215–222</w:t>
            </w:r>
          </w:p>
        </w:tc>
        <w:tc>
          <w:tcPr>
            <w:tcW w:type="dxa" w:w="3402"/>
          </w:tcPr>
          <w:p>
            <w:pPr>
              <w:spacing w:after="40"/>
            </w:pPr>
            <w:r>
              <w:rPr>
                <w:sz w:val="18"/>
              </w:rPr>
              <w:t>auf mittlerer Höhe, links</w:t>
              <w:br/>
              <w:t>x 15.9–18.1 %</w:t>
              <w:br/>
              <w:t>y 32.5–33.6 %</w:t>
            </w:r>
          </w:p>
        </w:tc>
      </w:tr>
      <w:tr>
        <w:trPr>
          <w:cantSplit/>
        </w:trPr>
        <w:tc>
          <w:tcPr>
            <w:tcW w:type="dxa" w:w="3288"/>
          </w:tcPr>
          <w:p>
            <w:pPr>
              <w:spacing w:after="40"/>
            </w:pPr>
            <w:r>
              <w:rPr>
                <w:sz w:val="18"/>
              </w:rPr>
              <w:t>Analytic Model</w:t>
            </w:r>
          </w:p>
        </w:tc>
        <w:tc>
          <w:tcPr>
            <w:tcW w:type="dxa" w:w="3005"/>
          </w:tcPr>
          <w:p>
            <w:pPr>
              <w:spacing w:after="40"/>
            </w:pPr>
            <w:r>
              <w:rPr>
                <w:sz w:val="18"/>
              </w:rPr>
              <w:t>x 729–794</w:t>
              <w:br/>
              <w:t>y 224–234</w:t>
            </w:r>
          </w:p>
        </w:tc>
        <w:tc>
          <w:tcPr>
            <w:tcW w:type="dxa" w:w="3402"/>
          </w:tcPr>
          <w:p>
            <w:pPr>
              <w:spacing w:after="40"/>
            </w:pPr>
            <w:r>
              <w:rPr>
                <w:sz w:val="18"/>
              </w:rPr>
              <w:t>auf mittlerer Höhe, mittig</w:t>
              <w:br/>
              <w:t>x 52.8–57.5 %</w:t>
              <w:br/>
              <w:t>y 33.9–35.3 %</w:t>
            </w:r>
          </w:p>
        </w:tc>
      </w:tr>
      <w:tr>
        <w:trPr>
          <w:cantSplit/>
        </w:trPr>
        <w:tc>
          <w:tcPr>
            <w:tcW w:type="dxa" w:w="3288"/>
          </w:tcPr>
          <w:p>
            <w:pPr>
              <w:spacing w:after="40"/>
            </w:pPr>
            <w:r>
              <w:rPr>
                <w:sz w:val="18"/>
              </w:rPr>
              <w:t>Business Builder</w:t>
            </w:r>
          </w:p>
        </w:tc>
        <w:tc>
          <w:tcPr>
            <w:tcW w:type="dxa" w:w="3005"/>
          </w:tcPr>
          <w:p>
            <w:pPr>
              <w:spacing w:after="40"/>
            </w:pPr>
            <w:r>
              <w:rPr>
                <w:sz w:val="18"/>
              </w:rPr>
              <w:t>x 34–108</w:t>
              <w:br/>
              <w:t>y 238–246</w:t>
            </w:r>
          </w:p>
        </w:tc>
        <w:tc>
          <w:tcPr>
            <w:tcW w:type="dxa" w:w="3402"/>
          </w:tcPr>
          <w:p>
            <w:pPr>
              <w:spacing w:after="40"/>
            </w:pPr>
            <w:r>
              <w:rPr>
                <w:sz w:val="18"/>
              </w:rPr>
              <w:t>auf mittlerer Höhe, links</w:t>
              <w:br/>
              <w:t>x 2.5–7.8 %</w:t>
              <w:br/>
              <w:t>y 36.1–37.2 %</w:t>
            </w:r>
          </w:p>
        </w:tc>
      </w:tr>
      <w:tr>
        <w:trPr>
          <w:cantSplit/>
        </w:trPr>
        <w:tc>
          <w:tcPr>
            <w:tcW w:type="dxa" w:w="3288"/>
          </w:tcPr>
          <w:p>
            <w:pPr>
              <w:spacing w:after="40"/>
            </w:pPr>
            <w:r>
              <w:rPr>
                <w:sz w:val="18"/>
              </w:rPr>
              <w:t>Favorites</w:t>
            </w:r>
          </w:p>
        </w:tc>
        <w:tc>
          <w:tcPr>
            <w:tcW w:type="dxa" w:w="3005"/>
          </w:tcPr>
          <w:p>
            <w:pPr>
              <w:spacing w:after="40"/>
            </w:pPr>
            <w:r>
              <w:rPr>
                <w:sz w:val="18"/>
              </w:rPr>
              <w:t>x 219–258</w:t>
              <w:br/>
              <w:t>y 238–245</w:t>
            </w:r>
          </w:p>
        </w:tc>
        <w:tc>
          <w:tcPr>
            <w:tcW w:type="dxa" w:w="3402"/>
          </w:tcPr>
          <w:p>
            <w:pPr>
              <w:spacing w:after="40"/>
            </w:pPr>
            <w:r>
              <w:rPr>
                <w:sz w:val="18"/>
              </w:rPr>
              <w:t>auf mittlerer Höhe, links</w:t>
              <w:br/>
              <w:t>x 15.9–18.7 %</w:t>
              <w:br/>
              <w:t>y 36.0–37.1 %</w:t>
            </w:r>
          </w:p>
        </w:tc>
      </w:tr>
      <w:tr>
        <w:trPr>
          <w:cantSplit/>
        </w:trPr>
        <w:tc>
          <w:tcPr>
            <w:tcW w:type="dxa" w:w="3288"/>
          </w:tcPr>
          <w:p>
            <w:pPr>
              <w:spacing w:after="40"/>
            </w:pPr>
            <w:r>
              <w:rPr>
                <w:sz w:val="18"/>
              </w:rPr>
              <w:t>Analytic Model</w:t>
            </w:r>
          </w:p>
        </w:tc>
        <w:tc>
          <w:tcPr>
            <w:tcW w:type="dxa" w:w="3005"/>
          </w:tcPr>
          <w:p>
            <w:pPr>
              <w:spacing w:after="40"/>
            </w:pPr>
            <w:r>
              <w:rPr>
                <w:sz w:val="18"/>
              </w:rPr>
              <w:t>x 729–794</w:t>
              <w:br/>
              <w:t>y 250–259</w:t>
            </w:r>
          </w:p>
        </w:tc>
        <w:tc>
          <w:tcPr>
            <w:tcW w:type="dxa" w:w="3402"/>
          </w:tcPr>
          <w:p>
            <w:pPr>
              <w:spacing w:after="40"/>
            </w:pPr>
            <w:r>
              <w:rPr>
                <w:sz w:val="18"/>
              </w:rPr>
              <w:t>auf mittlerer Höhe, mittig</w:t>
              <w:br/>
              <w:t>x 52.8–57.5 %</w:t>
              <w:br/>
              <w:t>y 37.7–39.2 %</w:t>
            </w:r>
          </w:p>
        </w:tc>
      </w:tr>
      <w:tr>
        <w:trPr>
          <w:cantSplit/>
        </w:trPr>
        <w:tc>
          <w:tcPr>
            <w:tcW w:type="dxa" w:w="3288"/>
          </w:tcPr>
          <w:p>
            <w:pPr>
              <w:spacing w:after="40"/>
            </w:pPr>
            <w:r>
              <w:rPr>
                <w:sz w:val="18"/>
              </w:rPr>
              <w:t>Data Builder</w:t>
            </w:r>
          </w:p>
        </w:tc>
        <w:tc>
          <w:tcPr>
            <w:tcW w:type="dxa" w:w="3005"/>
          </w:tcPr>
          <w:p>
            <w:pPr>
              <w:spacing w:after="40"/>
            </w:pPr>
            <w:r>
              <w:rPr>
                <w:sz w:val="18"/>
              </w:rPr>
              <w:t>x 34–89</w:t>
              <w:br/>
              <w:t>y 264–272</w:t>
            </w:r>
          </w:p>
        </w:tc>
        <w:tc>
          <w:tcPr>
            <w:tcW w:type="dxa" w:w="3402"/>
          </w:tcPr>
          <w:p>
            <w:pPr>
              <w:spacing w:after="40"/>
            </w:pPr>
            <w:r>
              <w:rPr>
                <w:sz w:val="18"/>
              </w:rPr>
              <w:t>auf mittlerer Höhe, links</w:t>
              <w:br/>
              <w:t>x 2.5–6.4 %</w:t>
              <w:br/>
              <w:t>y 40.0–41.1 %</w:t>
            </w:r>
          </w:p>
        </w:tc>
      </w:tr>
      <w:tr>
        <w:trPr>
          <w:cantSplit/>
        </w:trPr>
        <w:tc>
          <w:tcPr>
            <w:tcW w:type="dxa" w:w="3288"/>
          </w:tcPr>
          <w:p>
            <w:pPr>
              <w:spacing w:after="40"/>
            </w:pPr>
            <w:r>
              <w:rPr>
                <w:sz w:val="18"/>
              </w:rPr>
              <w:t>Space</w:t>
            </w:r>
          </w:p>
        </w:tc>
        <w:tc>
          <w:tcPr>
            <w:tcW w:type="dxa" w:w="3005"/>
          </w:tcPr>
          <w:p>
            <w:pPr>
              <w:spacing w:after="40"/>
            </w:pPr>
            <w:r>
              <w:rPr>
                <w:sz w:val="18"/>
              </w:rPr>
              <w:t>x 196–224</w:t>
              <w:br/>
              <w:t>y 272–282</w:t>
            </w:r>
          </w:p>
        </w:tc>
        <w:tc>
          <w:tcPr>
            <w:tcW w:type="dxa" w:w="3402"/>
          </w:tcPr>
          <w:p>
            <w:pPr>
              <w:spacing w:after="40"/>
            </w:pPr>
            <w:r>
              <w:rPr>
                <w:sz w:val="18"/>
              </w:rPr>
              <w:t>auf mittlerer Höhe, links</w:t>
              <w:br/>
              <w:t>x 14.2–16.2 %</w:t>
              <w:br/>
              <w:t>y 41.2–42.7 %</w:t>
            </w:r>
          </w:p>
        </w:tc>
      </w:tr>
      <w:tr>
        <w:trPr>
          <w:cantSplit/>
        </w:trPr>
        <w:tc>
          <w:tcPr>
            <w:tcW w:type="dxa" w:w="3288"/>
          </w:tcPr>
          <w:p>
            <w:pPr>
              <w:spacing w:after="40"/>
            </w:pPr>
            <w:r>
              <w:rPr>
                <w:sz w:val="18"/>
              </w:rPr>
              <w:t>Analytic Model</w:t>
            </w:r>
          </w:p>
        </w:tc>
        <w:tc>
          <w:tcPr>
            <w:tcW w:type="dxa" w:w="3005"/>
          </w:tcPr>
          <w:p>
            <w:pPr>
              <w:spacing w:after="40"/>
            </w:pPr>
            <w:r>
              <w:rPr>
                <w:sz w:val="18"/>
              </w:rPr>
              <w:t>x 729–794</w:t>
              <w:br/>
              <w:t>y 275–284</w:t>
            </w:r>
          </w:p>
        </w:tc>
        <w:tc>
          <w:tcPr>
            <w:tcW w:type="dxa" w:w="3402"/>
          </w:tcPr>
          <w:p>
            <w:pPr>
              <w:spacing w:after="40"/>
            </w:pPr>
            <w:r>
              <w:rPr>
                <w:sz w:val="18"/>
              </w:rPr>
              <w:t>auf mittlerer Höhe, mittig</w:t>
              <w:br/>
              <w:t>x 52.8–57.5 %</w:t>
              <w:br/>
              <w:t>y 41.6–43.0 %</w:t>
            </w:r>
          </w:p>
        </w:tc>
      </w:tr>
      <w:tr>
        <w:trPr>
          <w:cantSplit/>
        </w:trPr>
        <w:tc>
          <w:tcPr>
            <w:tcW w:type="dxa" w:w="3288"/>
          </w:tcPr>
          <w:p>
            <w:pPr>
              <w:spacing w:after="40"/>
            </w:pPr>
            <w:r>
              <w:rPr>
                <w:sz w:val="18"/>
              </w:rPr>
              <w:t>Connections</w:t>
            </w:r>
          </w:p>
        </w:tc>
        <w:tc>
          <w:tcPr>
            <w:tcW w:type="dxa" w:w="3005"/>
          </w:tcPr>
          <w:p>
            <w:pPr>
              <w:spacing w:after="40"/>
            </w:pPr>
            <w:r>
              <w:rPr>
                <w:sz w:val="18"/>
              </w:rPr>
              <w:t>x 34–89</w:t>
              <w:br/>
              <w:t>y 290–298</w:t>
            </w:r>
          </w:p>
        </w:tc>
        <w:tc>
          <w:tcPr>
            <w:tcW w:type="dxa" w:w="3402"/>
          </w:tcPr>
          <w:p>
            <w:pPr>
              <w:spacing w:after="40"/>
            </w:pPr>
            <w:r>
              <w:rPr>
                <w:sz w:val="18"/>
              </w:rPr>
              <w:t>auf mittlerer Höhe, links</w:t>
              <w:br/>
              <w:t>x 2.5–6.4 %</w:t>
              <w:br/>
              <w:t>y 43.9–45.1 %</w:t>
            </w:r>
          </w:p>
        </w:tc>
      </w:tr>
      <w:tr>
        <w:trPr>
          <w:cantSplit/>
        </w:trPr>
        <w:tc>
          <w:tcPr>
            <w:tcW w:type="dxa" w:w="3288"/>
          </w:tcPr>
          <w:p>
            <w:pPr>
              <w:spacing w:after="40"/>
            </w:pPr>
            <w:r>
              <w:rPr>
                <w:sz w:val="18"/>
              </w:rPr>
              <w:t>Analytic Model</w:t>
            </w:r>
          </w:p>
        </w:tc>
        <w:tc>
          <w:tcPr>
            <w:tcW w:type="dxa" w:w="3005"/>
          </w:tcPr>
          <w:p>
            <w:pPr>
              <w:spacing w:after="40"/>
            </w:pPr>
            <w:r>
              <w:rPr>
                <w:sz w:val="18"/>
              </w:rPr>
              <w:t>x 729–794</w:t>
              <w:br/>
              <w:t>y 301–310</w:t>
            </w:r>
          </w:p>
        </w:tc>
        <w:tc>
          <w:tcPr>
            <w:tcW w:type="dxa" w:w="3402"/>
          </w:tcPr>
          <w:p>
            <w:pPr>
              <w:spacing w:after="40"/>
            </w:pPr>
            <w:r>
              <w:rPr>
                <w:sz w:val="18"/>
              </w:rPr>
              <w:t>auf mittlerer Höhe, mittig</w:t>
              <w:br/>
              <w:t>x 52.8–57.5 %</w:t>
              <w:br/>
              <w:t>y 45.5–46.9 %</w:t>
            </w:r>
          </w:p>
        </w:tc>
      </w:tr>
      <w:tr>
        <w:trPr>
          <w:cantSplit/>
        </w:trPr>
        <w:tc>
          <w:tcPr>
            <w:tcW w:type="dxa" w:w="3288"/>
          </w:tcPr>
          <w:p>
            <w:pPr>
              <w:spacing w:after="40"/>
            </w:pPr>
            <w:r>
              <w:rPr>
                <w:sz w:val="18"/>
              </w:rPr>
              <w:t>Analytic Model</w:t>
            </w:r>
          </w:p>
        </w:tc>
        <w:tc>
          <w:tcPr>
            <w:tcW w:type="dxa" w:w="3005"/>
          </w:tcPr>
          <w:p>
            <w:pPr>
              <w:spacing w:after="40"/>
            </w:pPr>
            <w:r>
              <w:rPr>
                <w:sz w:val="18"/>
              </w:rPr>
              <w:t>x 729–794</w:t>
              <w:br/>
              <w:t>y 326–335</w:t>
            </w:r>
          </w:p>
        </w:tc>
        <w:tc>
          <w:tcPr>
            <w:tcW w:type="dxa" w:w="3402"/>
          </w:tcPr>
          <w:p>
            <w:pPr>
              <w:spacing w:after="40"/>
            </w:pPr>
            <w:r>
              <w:rPr>
                <w:sz w:val="18"/>
              </w:rPr>
              <w:t>auf mittlerer Höhe, mittig</w:t>
              <w:br/>
              <w:t>x 52.8–57.5 %</w:t>
              <w:br/>
              <w:t>y 49.3–50.7 %</w:t>
            </w:r>
          </w:p>
        </w:tc>
      </w:tr>
      <w:tr>
        <w:trPr>
          <w:cantSplit/>
        </w:trPr>
        <w:tc>
          <w:tcPr>
            <w:tcW w:type="dxa" w:w="3288"/>
          </w:tcPr>
          <w:p>
            <w:pPr>
              <w:spacing w:after="40"/>
            </w:pPr>
            <w:r>
              <w:rPr>
                <w:sz w:val="18"/>
              </w:rPr>
              <w:t>Space Management</w:t>
            </w:r>
          </w:p>
        </w:tc>
        <w:tc>
          <w:tcPr>
            <w:tcW w:type="dxa" w:w="3005"/>
          </w:tcPr>
          <w:p>
            <w:pPr>
              <w:spacing w:after="40"/>
            </w:pPr>
            <w:r>
              <w:rPr>
                <w:sz w:val="18"/>
              </w:rPr>
              <w:t>x 34–123</w:t>
              <w:br/>
              <w:t>y 350–359</w:t>
            </w:r>
          </w:p>
        </w:tc>
        <w:tc>
          <w:tcPr>
            <w:tcW w:type="dxa" w:w="3402"/>
          </w:tcPr>
          <w:p>
            <w:pPr>
              <w:spacing w:after="40"/>
            </w:pPr>
            <w:r>
              <w:rPr>
                <w:sz w:val="18"/>
              </w:rPr>
              <w:t>auf mittlerer Höhe, links</w:t>
              <w:br/>
              <w:t>x 2.5–8.9 %</w:t>
              <w:br/>
              <w:t>y 52.9–54.3 %</w:t>
            </w:r>
          </w:p>
        </w:tc>
      </w:tr>
      <w:tr>
        <w:trPr>
          <w:cantSplit/>
        </w:trPr>
        <w:tc>
          <w:tcPr>
            <w:tcW w:type="dxa" w:w="3288"/>
          </w:tcPr>
          <w:p>
            <w:pPr>
              <w:spacing w:after="40"/>
            </w:pPr>
            <w:r>
              <w:rPr>
                <w:sz w:val="18"/>
              </w:rPr>
              <w:t>Analytic Model</w:t>
            </w:r>
          </w:p>
        </w:tc>
        <w:tc>
          <w:tcPr>
            <w:tcW w:type="dxa" w:w="3005"/>
          </w:tcPr>
          <w:p>
            <w:pPr>
              <w:spacing w:after="40"/>
            </w:pPr>
            <w:r>
              <w:rPr>
                <w:sz w:val="18"/>
              </w:rPr>
              <w:t>x 729–794</w:t>
              <w:br/>
              <w:t>y 351–360</w:t>
            </w:r>
          </w:p>
        </w:tc>
        <w:tc>
          <w:tcPr>
            <w:tcW w:type="dxa" w:w="3402"/>
          </w:tcPr>
          <w:p>
            <w:pPr>
              <w:spacing w:after="40"/>
            </w:pPr>
            <w:r>
              <w:rPr>
                <w:sz w:val="18"/>
              </w:rPr>
              <w:t>auf mittlerer Höhe, mittig</w:t>
              <w:br/>
              <w:t>x 52.8–57.5 %</w:t>
              <w:br/>
              <w:t>y 53.1–54.5 %</w:t>
            </w:r>
          </w:p>
        </w:tc>
      </w:tr>
      <w:tr>
        <w:trPr>
          <w:cantSplit/>
        </w:trPr>
        <w:tc>
          <w:tcPr>
            <w:tcW w:type="dxa" w:w="3288"/>
          </w:tcPr>
          <w:p>
            <w:pPr>
              <w:spacing w:after="40"/>
            </w:pPr>
            <w:r>
              <w:rPr>
                <w:sz w:val="18"/>
              </w:rPr>
              <w:t>Translation</w:t>
            </w:r>
          </w:p>
        </w:tc>
        <w:tc>
          <w:tcPr>
            <w:tcW w:type="dxa" w:w="3005"/>
          </w:tcPr>
          <w:p>
            <w:pPr>
              <w:spacing w:after="40"/>
            </w:pPr>
            <w:r>
              <w:rPr>
                <w:sz w:val="18"/>
              </w:rPr>
              <w:t>x 36–82</w:t>
              <w:br/>
              <w:t>y 376–383</w:t>
            </w:r>
          </w:p>
        </w:tc>
        <w:tc>
          <w:tcPr>
            <w:tcW w:type="dxa" w:w="3402"/>
          </w:tcPr>
          <w:p>
            <w:pPr>
              <w:spacing w:after="40"/>
            </w:pPr>
            <w:r>
              <w:rPr>
                <w:sz w:val="18"/>
              </w:rPr>
              <w:t>auf mittlerer Höhe, links</w:t>
              <w:br/>
              <w:t>x 2.6–5.9 %</w:t>
              <w:br/>
              <w:t>y 56.8–57.9 %</w:t>
            </w:r>
          </w:p>
        </w:tc>
      </w:tr>
      <w:tr>
        <w:trPr>
          <w:cantSplit/>
        </w:trPr>
        <w:tc>
          <w:tcPr>
            <w:tcW w:type="dxa" w:w="3288"/>
          </w:tcPr>
          <w:p>
            <w:pPr>
              <w:spacing w:after="40"/>
            </w:pPr>
            <w:r>
              <w:rPr>
                <w:sz w:val="18"/>
              </w:rPr>
              <w:t>Analytic Model</w:t>
            </w:r>
          </w:p>
        </w:tc>
        <w:tc>
          <w:tcPr>
            <w:tcW w:type="dxa" w:w="3005"/>
          </w:tcPr>
          <w:p>
            <w:pPr>
              <w:spacing w:after="40"/>
            </w:pPr>
            <w:r>
              <w:rPr>
                <w:sz w:val="18"/>
              </w:rPr>
              <w:t>x 729–794</w:t>
              <w:br/>
              <w:t>y 377–386</w:t>
            </w:r>
          </w:p>
        </w:tc>
        <w:tc>
          <w:tcPr>
            <w:tcW w:type="dxa" w:w="3402"/>
          </w:tcPr>
          <w:p>
            <w:pPr>
              <w:spacing w:after="40"/>
            </w:pPr>
            <w:r>
              <w:rPr>
                <w:sz w:val="18"/>
              </w:rPr>
              <w:t>auf mittlerer Höhe, mittig</w:t>
              <w:br/>
              <w:t>x 52.8–57.5 %</w:t>
              <w:br/>
              <w:t>y 57.0–58.4 %</w:t>
            </w:r>
          </w:p>
        </w:tc>
      </w:tr>
      <w:tr>
        <w:trPr>
          <w:cantSplit/>
        </w:trPr>
        <w:tc>
          <w:tcPr>
            <w:tcW w:type="dxa" w:w="3288"/>
          </w:tcPr>
          <w:p>
            <w:pPr>
              <w:spacing w:after="40"/>
            </w:pPr>
            <w:r>
              <w:rPr>
                <w:sz w:val="18"/>
              </w:rPr>
              <w:t>Transport</w:t>
            </w:r>
          </w:p>
        </w:tc>
        <w:tc>
          <w:tcPr>
            <w:tcW w:type="dxa" w:w="3005"/>
          </w:tcPr>
          <w:p>
            <w:pPr>
              <w:spacing w:after="40"/>
            </w:pPr>
            <w:r>
              <w:rPr>
                <w:sz w:val="18"/>
              </w:rPr>
              <w:t>x 34–76</w:t>
              <w:br/>
              <w:t>y 402–411</w:t>
            </w:r>
          </w:p>
        </w:tc>
        <w:tc>
          <w:tcPr>
            <w:tcW w:type="dxa" w:w="3402"/>
          </w:tcPr>
          <w:p>
            <w:pPr>
              <w:spacing w:after="40"/>
            </w:pPr>
            <w:r>
              <w:rPr>
                <w:sz w:val="18"/>
              </w:rPr>
              <w:t>auf mittlerer Höhe, links</w:t>
              <w:br/>
              <w:t>x 2.5–5.5 %</w:t>
              <w:br/>
              <w:t>y 60.7–62.2 %</w:t>
            </w:r>
          </w:p>
        </w:tc>
      </w:tr>
      <w:tr>
        <w:trPr>
          <w:cantSplit/>
        </w:trPr>
        <w:tc>
          <w:tcPr>
            <w:tcW w:type="dxa" w:w="3288"/>
          </w:tcPr>
          <w:p>
            <w:pPr>
              <w:spacing w:after="40"/>
            </w:pPr>
            <w:r>
              <w:rPr>
                <w:sz w:val="18"/>
              </w:rPr>
              <w:t>Analytic Model</w:t>
            </w:r>
          </w:p>
        </w:tc>
        <w:tc>
          <w:tcPr>
            <w:tcW w:type="dxa" w:w="3005"/>
          </w:tcPr>
          <w:p>
            <w:pPr>
              <w:spacing w:after="40"/>
            </w:pPr>
            <w:r>
              <w:rPr>
                <w:sz w:val="18"/>
              </w:rPr>
              <w:t>x 729–794</w:t>
              <w:br/>
              <w:t>y 402–412</w:t>
            </w:r>
          </w:p>
        </w:tc>
        <w:tc>
          <w:tcPr>
            <w:tcW w:type="dxa" w:w="3402"/>
          </w:tcPr>
          <w:p>
            <w:pPr>
              <w:spacing w:after="40"/>
            </w:pPr>
            <w:r>
              <w:rPr>
                <w:sz w:val="18"/>
              </w:rPr>
              <w:t>auf mittlerer Höhe, mittig</w:t>
              <w:br/>
              <w:t>x 52.8–57.5 %</w:t>
              <w:br/>
              <w:t>y 60.8–62.3 %</w:t>
            </w:r>
          </w:p>
        </w:tc>
      </w:tr>
      <w:tr>
        <w:trPr>
          <w:cantSplit/>
        </w:trPr>
        <w:tc>
          <w:tcPr>
            <w:tcW w:type="dxa" w:w="3288"/>
          </w:tcPr>
          <w:p>
            <w:pPr>
              <w:spacing w:after="40"/>
            </w:pPr>
            <w:r>
              <w:rPr>
                <w:sz w:val="18"/>
              </w:rPr>
              <w:t>of</w:t>
            </w:r>
          </w:p>
        </w:tc>
        <w:tc>
          <w:tcPr>
            <w:tcW w:type="dxa" w:w="3005"/>
          </w:tcPr>
          <w:p>
            <w:pPr>
              <w:spacing w:after="40"/>
            </w:pPr>
            <w:r>
              <w:rPr>
                <w:sz w:val="18"/>
              </w:rPr>
              <w:t>x 16–28</w:t>
              <w:br/>
              <w:t>y 425–437</w:t>
            </w:r>
          </w:p>
        </w:tc>
        <w:tc>
          <w:tcPr>
            <w:tcW w:type="dxa" w:w="3402"/>
          </w:tcPr>
          <w:p>
            <w:pPr>
              <w:spacing w:after="40"/>
            </w:pPr>
            <w:r>
              <w:rPr>
                <w:sz w:val="18"/>
              </w:rPr>
              <w:t>auf mittlerer Höhe, links</w:t>
              <w:br/>
              <w:t>x 1.2–2.0 %</w:t>
              <w:br/>
              <w:t>y 64.3–66.1 %</w:t>
            </w:r>
          </w:p>
        </w:tc>
      </w:tr>
      <w:tr>
        <w:trPr>
          <w:cantSplit/>
        </w:trPr>
        <w:tc>
          <w:tcPr>
            <w:tcW w:type="dxa" w:w="3288"/>
          </w:tcPr>
          <w:p>
            <w:pPr>
              <w:spacing w:after="40"/>
            </w:pPr>
            <w:r>
              <w:rPr>
                <w:sz w:val="18"/>
              </w:rPr>
              <w:t>Data Sharing Cockpit</w:t>
            </w:r>
          </w:p>
        </w:tc>
        <w:tc>
          <w:tcPr>
            <w:tcW w:type="dxa" w:w="3005"/>
          </w:tcPr>
          <w:p>
            <w:pPr>
              <w:spacing w:after="40"/>
            </w:pPr>
            <w:r>
              <w:rPr>
                <w:sz w:val="18"/>
              </w:rPr>
              <w:t>x 34–128</w:t>
              <w:br/>
              <w:t>y 428–437</w:t>
            </w:r>
          </w:p>
        </w:tc>
        <w:tc>
          <w:tcPr>
            <w:tcW w:type="dxa" w:w="3402"/>
          </w:tcPr>
          <w:p>
            <w:pPr>
              <w:spacing w:after="40"/>
            </w:pPr>
            <w:r>
              <w:rPr>
                <w:sz w:val="18"/>
              </w:rPr>
              <w:t>auf mittlerer Höhe, links</w:t>
              <w:br/>
              <w:t>x 2.5–9.2 %</w:t>
              <w:br/>
              <w:t>y 64.7–66.1 %</w:t>
            </w:r>
          </w:p>
        </w:tc>
      </w:tr>
      <w:tr>
        <w:trPr>
          <w:cantSplit/>
        </w:trPr>
        <w:tc>
          <w:tcPr>
            <w:tcW w:type="dxa" w:w="3288"/>
          </w:tcPr>
          <w:p>
            <w:pPr>
              <w:spacing w:after="40"/>
            </w:pPr>
            <w:r>
              <w:rPr>
                <w:sz w:val="18"/>
              </w:rPr>
              <w:t>Analytic Model</w:t>
            </w:r>
          </w:p>
        </w:tc>
        <w:tc>
          <w:tcPr>
            <w:tcW w:type="dxa" w:w="3005"/>
          </w:tcPr>
          <w:p>
            <w:pPr>
              <w:spacing w:after="40"/>
            </w:pPr>
            <w:r>
              <w:rPr>
                <w:sz w:val="18"/>
              </w:rPr>
              <w:t>x 729–794</w:t>
              <w:br/>
              <w:t>y 428–438</w:t>
            </w:r>
          </w:p>
        </w:tc>
        <w:tc>
          <w:tcPr>
            <w:tcW w:type="dxa" w:w="3402"/>
          </w:tcPr>
          <w:p>
            <w:pPr>
              <w:spacing w:after="40"/>
            </w:pPr>
            <w:r>
              <w:rPr>
                <w:sz w:val="18"/>
              </w:rPr>
              <w:t>auf mittlerer Höhe, mittig</w:t>
              <w:br/>
              <w:t>x 52.8–57.5 %</w:t>
              <w:br/>
              <w:t>y 64.8–66.2 %</w:t>
            </w:r>
          </w:p>
        </w:tc>
      </w:tr>
      <w:tr>
        <w:trPr>
          <w:cantSplit/>
        </w:trPr>
        <w:tc>
          <w:tcPr>
            <w:tcW w:type="dxa" w:w="3288"/>
          </w:tcPr>
          <w:p>
            <w:pPr>
              <w:spacing w:after="40"/>
            </w:pPr>
            <w:r>
              <w:rPr>
                <w:sz w:val="18"/>
              </w:rPr>
              <w:t>Analytic Model</w:t>
            </w:r>
          </w:p>
        </w:tc>
        <w:tc>
          <w:tcPr>
            <w:tcW w:type="dxa" w:w="3005"/>
          </w:tcPr>
          <w:p>
            <w:pPr>
              <w:spacing w:after="40"/>
            </w:pPr>
            <w:r>
              <w:rPr>
                <w:sz w:val="18"/>
              </w:rPr>
              <w:t>x 729–794</w:t>
              <w:br/>
              <w:t>y 454–463</w:t>
            </w:r>
          </w:p>
        </w:tc>
        <w:tc>
          <w:tcPr>
            <w:tcW w:type="dxa" w:w="3402"/>
          </w:tcPr>
          <w:p>
            <w:pPr>
              <w:spacing w:after="40"/>
            </w:pPr>
            <w:r>
              <w:rPr>
                <w:sz w:val="18"/>
              </w:rPr>
              <w:t>unten, mittig</w:t>
              <w:br/>
              <w:t>x 52.8–57.5 %</w:t>
              <w:br/>
              <w:t>y 68.6–70.0 %</w:t>
            </w:r>
          </w:p>
        </w:tc>
      </w:tr>
      <w:tr>
        <w:trPr>
          <w:cantSplit/>
        </w:trPr>
        <w:tc>
          <w:tcPr>
            <w:tcW w:type="dxa" w:w="3288"/>
          </w:tcPr>
          <w:p>
            <w:pPr>
              <w:spacing w:after="40"/>
            </w:pPr>
            <w:r>
              <w:rPr>
                <w:sz w:val="18"/>
              </w:rPr>
              <w:t>Analytic Model</w:t>
            </w:r>
          </w:p>
        </w:tc>
        <w:tc>
          <w:tcPr>
            <w:tcW w:type="dxa" w:w="3005"/>
          </w:tcPr>
          <w:p>
            <w:pPr>
              <w:spacing w:after="40"/>
            </w:pPr>
            <w:r>
              <w:rPr>
                <w:sz w:val="18"/>
              </w:rPr>
              <w:t>x 729–794</w:t>
              <w:br/>
              <w:t>y 479–488</w:t>
            </w:r>
          </w:p>
        </w:tc>
        <w:tc>
          <w:tcPr>
            <w:tcW w:type="dxa" w:w="3402"/>
          </w:tcPr>
          <w:p>
            <w:pPr>
              <w:spacing w:after="40"/>
            </w:pPr>
            <w:r>
              <w:rPr>
                <w:sz w:val="18"/>
              </w:rPr>
              <w:t>unten, mittig</w:t>
              <w:br/>
              <w:t>x 52.8–57.5 %</w:t>
              <w:br/>
              <w:t>y 72.5–73.8 %</w:t>
            </w:r>
          </w:p>
        </w:tc>
      </w:tr>
      <w:tr>
        <w:trPr>
          <w:cantSplit/>
        </w:trPr>
        <w:tc>
          <w:tcPr>
            <w:tcW w:type="dxa" w:w="3288"/>
          </w:tcPr>
          <w:p>
            <w:pPr>
              <w:spacing w:after="40"/>
            </w:pPr>
            <w:r>
              <w:rPr>
                <w:sz w:val="18"/>
              </w:rPr>
              <w:t>Analytic Model</w:t>
            </w:r>
          </w:p>
        </w:tc>
        <w:tc>
          <w:tcPr>
            <w:tcW w:type="dxa" w:w="3005"/>
          </w:tcPr>
          <w:p>
            <w:pPr>
              <w:spacing w:after="40"/>
            </w:pPr>
            <w:r>
              <w:rPr>
                <w:sz w:val="18"/>
              </w:rPr>
              <w:t>x 729–794</w:t>
              <w:br/>
              <w:t>y 505–514</w:t>
            </w:r>
          </w:p>
        </w:tc>
        <w:tc>
          <w:tcPr>
            <w:tcW w:type="dxa" w:w="3402"/>
          </w:tcPr>
          <w:p>
            <w:pPr>
              <w:spacing w:after="40"/>
            </w:pPr>
            <w:r>
              <w:rPr>
                <w:sz w:val="18"/>
              </w:rPr>
              <w:t>unten, mittig</w:t>
              <w:br/>
              <w:t>x 52.8–57.5 %</w:t>
              <w:br/>
              <w:t>y 76.4–77.8 %</w:t>
            </w:r>
          </w:p>
        </w:tc>
      </w:tr>
      <w:tr>
        <w:trPr>
          <w:cantSplit/>
        </w:trPr>
        <w:tc>
          <w:tcPr>
            <w:tcW w:type="dxa" w:w="3288"/>
          </w:tcPr>
          <w:p>
            <w:pPr>
              <w:spacing w:after="40"/>
            </w:pPr>
            <w:r>
              <w:rPr>
                <w:sz w:val="18"/>
              </w:rPr>
              <w:t>Analytic Model</w:t>
            </w:r>
          </w:p>
        </w:tc>
        <w:tc>
          <w:tcPr>
            <w:tcW w:type="dxa" w:w="3005"/>
          </w:tcPr>
          <w:p>
            <w:pPr>
              <w:spacing w:after="40"/>
            </w:pPr>
            <w:r>
              <w:rPr>
                <w:sz w:val="18"/>
              </w:rPr>
              <w:t>x 729–794</w:t>
              <w:br/>
              <w:t>y 530–539</w:t>
            </w:r>
          </w:p>
        </w:tc>
        <w:tc>
          <w:tcPr>
            <w:tcW w:type="dxa" w:w="3402"/>
          </w:tcPr>
          <w:p>
            <w:pPr>
              <w:spacing w:after="40"/>
            </w:pPr>
            <w:r>
              <w:rPr>
                <w:sz w:val="18"/>
              </w:rPr>
              <w:t>unten, mittig</w:t>
              <w:br/>
              <w:t>x 52.8–57.5 %</w:t>
              <w:br/>
              <w:t>y 80.2–81.5 %</w:t>
            </w:r>
          </w:p>
        </w:tc>
      </w:tr>
      <w:tr>
        <w:trPr>
          <w:cantSplit/>
        </w:trPr>
        <w:tc>
          <w:tcPr>
            <w:tcW w:type="dxa" w:w="3288"/>
          </w:tcPr>
          <w:p>
            <w:pPr>
              <w:spacing w:after="40"/>
            </w:pPr>
            <w:r>
              <w:rPr>
                <w:sz w:val="18"/>
              </w:rPr>
              <w:t>Analytic Model</w:t>
            </w:r>
          </w:p>
        </w:tc>
        <w:tc>
          <w:tcPr>
            <w:tcW w:type="dxa" w:w="3005"/>
          </w:tcPr>
          <w:p>
            <w:pPr>
              <w:spacing w:after="40"/>
            </w:pPr>
            <w:r>
              <w:rPr>
                <w:sz w:val="18"/>
              </w:rPr>
              <w:t>x 729–794</w:t>
              <w:br/>
              <w:t>y 555–564</w:t>
            </w:r>
          </w:p>
        </w:tc>
        <w:tc>
          <w:tcPr>
            <w:tcW w:type="dxa" w:w="3402"/>
          </w:tcPr>
          <w:p>
            <w:pPr>
              <w:spacing w:after="40"/>
            </w:pPr>
            <w:r>
              <w:rPr>
                <w:sz w:val="18"/>
              </w:rPr>
              <w:t>unten, mittig</w:t>
              <w:br/>
              <w:t>x 52.8–57.5 %</w:t>
              <w:br/>
              <w:t>y 84.0–85.3 %</w:t>
            </w:r>
          </w:p>
        </w:tc>
      </w:tr>
      <w:tr>
        <w:trPr>
          <w:cantSplit/>
        </w:trPr>
        <w:tc>
          <w:tcPr>
            <w:tcW w:type="dxa" w:w="3288"/>
          </w:tcPr>
          <w:p>
            <w:pPr>
              <w:spacing w:after="40"/>
            </w:pPr>
            <w:r>
              <w:rPr>
                <w:sz w:val="18"/>
              </w:rPr>
              <w:t>Analytic Model</w:t>
            </w:r>
          </w:p>
        </w:tc>
        <w:tc>
          <w:tcPr>
            <w:tcW w:type="dxa" w:w="3005"/>
          </w:tcPr>
          <w:p>
            <w:pPr>
              <w:spacing w:after="40"/>
            </w:pPr>
            <w:r>
              <w:rPr>
                <w:sz w:val="18"/>
              </w:rPr>
              <w:t>x 729–794</w:t>
              <w:br/>
              <w:t>y 581–590</w:t>
            </w:r>
          </w:p>
        </w:tc>
        <w:tc>
          <w:tcPr>
            <w:tcW w:type="dxa" w:w="3402"/>
          </w:tcPr>
          <w:p>
            <w:pPr>
              <w:spacing w:after="40"/>
            </w:pPr>
            <w:r>
              <w:rPr>
                <w:sz w:val="18"/>
              </w:rPr>
              <w:t>unten, mittig</w:t>
              <w:br/>
              <w:t>x 52.8–57.5 %</w:t>
              <w:br/>
              <w:t>y 87.9–89.3 %</w:t>
            </w:r>
          </w:p>
        </w:tc>
      </w:tr>
      <w:tr>
        <w:trPr>
          <w:cantSplit/>
        </w:trPr>
        <w:tc>
          <w:tcPr>
            <w:tcW w:type="dxa" w:w="3288"/>
          </w:tcPr>
          <w:p>
            <w:pPr>
              <w:spacing w:after="40"/>
            </w:pPr>
            <w:r>
              <w:rPr>
                <w:sz w:val="18"/>
              </w:rPr>
              <w:t>Analytic Model</w:t>
            </w:r>
          </w:p>
        </w:tc>
        <w:tc>
          <w:tcPr>
            <w:tcW w:type="dxa" w:w="3005"/>
          </w:tcPr>
          <w:p>
            <w:pPr>
              <w:spacing w:after="40"/>
            </w:pPr>
            <w:r>
              <w:rPr>
                <w:sz w:val="18"/>
              </w:rPr>
              <w:t>x 729–794</w:t>
              <w:br/>
              <w:t>y 606–616</w:t>
            </w:r>
          </w:p>
        </w:tc>
        <w:tc>
          <w:tcPr>
            <w:tcW w:type="dxa" w:w="3402"/>
          </w:tcPr>
          <w:p>
            <w:pPr>
              <w:spacing w:after="40"/>
            </w:pPr>
            <w:r>
              <w:rPr>
                <w:sz w:val="18"/>
              </w:rPr>
              <w:t>unten, mittig</w:t>
              <w:br/>
              <w:t>x 52.8–57.5 %</w:t>
              <w:br/>
              <w:t>y 91.7–93.2 %</w:t>
            </w:r>
          </w:p>
        </w:tc>
      </w:tr>
      <w:tr>
        <w:trPr>
          <w:cantSplit/>
        </w:trPr>
        <w:tc>
          <w:tcPr>
            <w:tcW w:type="dxa" w:w="3288"/>
          </w:tcPr>
          <w:p>
            <w:pPr>
              <w:spacing w:after="40"/>
            </w:pPr>
            <w:r>
              <w:rPr>
                <w:sz w:val="18"/>
              </w:rPr>
              <w:t>Security</w:t>
            </w:r>
          </w:p>
        </w:tc>
        <w:tc>
          <w:tcPr>
            <w:tcW w:type="dxa" w:w="3005"/>
          </w:tcPr>
          <w:p>
            <w:pPr>
              <w:spacing w:after="40"/>
            </w:pPr>
            <w:r>
              <w:rPr>
                <w:sz w:val="18"/>
              </w:rPr>
              <w:t>x 34–70</w:t>
              <w:br/>
              <w:t>y 610–620</w:t>
            </w:r>
          </w:p>
        </w:tc>
        <w:tc>
          <w:tcPr>
            <w:tcW w:type="dxa" w:w="3402"/>
          </w:tcPr>
          <w:p>
            <w:pPr>
              <w:spacing w:after="40"/>
            </w:pPr>
            <w:r>
              <w:rPr>
                <w:sz w:val="18"/>
              </w:rPr>
              <w:t>unten, links</w:t>
              <w:br/>
              <w:t>x 2.5–5.1 %</w:t>
              <w:br/>
              <w:t>y 92.4–93.8 %</w:t>
            </w:r>
          </w:p>
        </w:tc>
      </w:tr>
      <w:tr>
        <w:trPr>
          <w:cantSplit/>
        </w:trPr>
        <w:tc>
          <w:tcPr>
            <w:tcW w:type="dxa" w:w="3288"/>
          </w:tcPr>
          <w:p>
            <w:pPr>
              <w:spacing w:after="40"/>
            </w:pPr>
            <w:r>
              <w:rPr>
                <w:sz w:val="18"/>
              </w:rPr>
              <w:t>System</w:t>
            </w:r>
          </w:p>
        </w:tc>
        <w:tc>
          <w:tcPr>
            <w:tcW w:type="dxa" w:w="3005"/>
          </w:tcPr>
          <w:p>
            <w:pPr>
              <w:spacing w:after="40"/>
            </w:pPr>
            <w:r>
              <w:rPr>
                <w:sz w:val="18"/>
              </w:rPr>
              <w:t>x 34–66</w:t>
              <w:br/>
              <w:t>y 634–648</w:t>
            </w:r>
          </w:p>
        </w:tc>
        <w:tc>
          <w:tcPr>
            <w:tcW w:type="dxa" w:w="3402"/>
          </w:tcPr>
          <w:p>
            <w:pPr>
              <w:spacing w:after="40"/>
            </w:pPr>
            <w:r>
              <w:rPr>
                <w:sz w:val="18"/>
              </w:rPr>
              <w:t>unten, links</w:t>
              <w:br/>
              <w:t>x 2.5–4.8 %</w:t>
              <w:br/>
              <w:t>y 96.0–98.0 %</w:t>
            </w:r>
          </w:p>
        </w:tc>
      </w:tr>
      <w:tr>
        <w:trPr>
          <w:cantSplit/>
        </w:trPr>
        <w:tc>
          <w:tcPr>
            <w:tcW w:type="dxa" w:w="3288"/>
          </w:tcPr>
          <w:p>
            <w:pPr>
              <w:spacing w:after="40"/>
            </w:pPr>
            <w:r>
              <w:rPr>
                <w:sz w:val="18"/>
              </w:rPr>
              <w:t>Analytic Model</w:t>
            </w:r>
          </w:p>
        </w:tc>
        <w:tc>
          <w:tcPr>
            <w:tcW w:type="dxa" w:w="3005"/>
          </w:tcPr>
          <w:p>
            <w:pPr>
              <w:spacing w:after="40"/>
            </w:pPr>
            <w:r>
              <w:rPr>
                <w:sz w:val="18"/>
              </w:rPr>
              <w:t>x 729–794</w:t>
              <w:br/>
              <w:t>y 632–642</w:t>
            </w:r>
          </w:p>
        </w:tc>
        <w:tc>
          <w:tcPr>
            <w:tcW w:type="dxa" w:w="3402"/>
          </w:tcPr>
          <w:p>
            <w:pPr>
              <w:spacing w:after="40"/>
            </w:pPr>
            <w:r>
              <w:rPr>
                <w:sz w:val="18"/>
              </w:rPr>
              <w:t>unten, mittig</w:t>
              <w:br/>
              <w:t>x 52.8–57.5 %</w:t>
              <w:br/>
              <w:t>y 95.6–97.0 %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3: Home: Startseite mit mehreren Karten</w:t>
      </w:r>
    </w:p>
    <w:p>
      <w:r>
        <w:t>Bildformat: 1382 × 658 Pixel. Die folgenden Positionen beziehen sich auf dieses vollständige Bild.</w:t>
      </w:r>
    </w:p>
    <w:p>
      <w:pPr>
        <w:pStyle w:val="Heading2"/>
      </w:pPr>
      <w:r>
        <w:t>1. Gesamtaufbau und sichtbarer Zustand</w:t>
      </w:r>
    </w:p>
    <w:p>
      <w:pPr>
        <w:pStyle w:val="Heading3"/>
      </w:pPr>
      <w:r>
        <w:t>Gesamtansicht</w:t>
      </w:r>
    </w:p>
    <w:p>
      <w:r>
        <w:t>Die Startseite ist als Dashboard aus mehreren rechteckigen Karten aufgebaut. Die globale Navigation steht links. Der Hauptbereich ist in mehrere Spalten und eine obere sowie eine untere Kartenreihe gegliedert.</w:t>
      </w:r>
    </w:p>
    <w:p>
      <w:pPr>
        <w:pStyle w:val="Heading3"/>
      </w:pPr>
      <w:r>
        <w:t>Obere Kartenreihe</w:t>
      </w:r>
    </w:p>
    <w:p>
      <w:r>
        <w:t>Links befindet sich eine Begrüßungskarte mit der Überschrift „Welcome to SAP Datasphere“, einem größeren grafischen Element und einem erklärenden Absatz. In der mittleren Spalte steht eine Karte „SAP Datasphere Blog“ mit mehreren Beitragsvorschauen. Rechts zeigt „Data Integration Tasks“ eine Liste kürzlich gestarteter Aufgaben. Neben den Einträgen sind Statusanzeigen wie Running und Completed sowie Zeitangaben sichtbar.</w:t>
      </w:r>
    </w:p>
    <w:p>
      <w:pPr>
        <w:pStyle w:val="Heading3"/>
      </w:pPr>
      <w:r>
        <w:t>Untere Kartenreihe</w:t>
      </w:r>
    </w:p>
    <w:p>
      <w:r>
        <w:t>Links steht eine Karte „Spaces“ mit den Spalten Name, Storage und Status. Sie enthält horizontale Speicherbalken und sichtbare Statusangaben wie Working. In der Mitte befindet sich „Data Builder“ mit einer Liste kürzlich geänderter Objekte und Bereitstellungsanzeigen. Rechts steht „Quick Actions“. Diese Karte zeigt einen Hinweis, dass noch keine Schnellaktion ausgewählt ist, und die Schaltfläche „Add Quick Actions“.</w:t>
      </w:r>
    </w:p>
    <w:p>
      <w:pPr>
        <w:pStyle w:val="Heading3"/>
      </w:pPr>
      <w:r>
        <w:t>Bedienelemente</w:t>
      </w:r>
    </w:p>
    <w:p>
      <w:r>
        <w:t>Am oberen rechten Rand des Inhalts steht „Customize“. Die Karten enthalten eigene Überschriften und teilweise Auswahlfelder wie „Show Only Errors“. Unten in einzelnen Karten sind weiterführende Schaltflächen sichtbar, darunter „Open Blog“ und „Open Data Integration Monitor“.</w:t>
      </w:r>
    </w:p>
    <w:p>
      <w:pPr>
        <w:pStyle w:val="Heading2"/>
      </w:pPr>
      <w:r>
        <w:t>2. Räumliche Beschreibung von oben nach unten</w:t>
      </w:r>
    </w:p>
    <w:p>
      <w:pPr>
        <w:pStyle w:val="Heading3"/>
      </w:pPr>
      <w:r>
        <w:t>Begrüßungskarte oben links</w:t>
      </w:r>
    </w:p>
    <w:p>
      <w:r>
        <w:rPr>
          <w:b/>
        </w:rPr>
        <w:t xml:space="preserve">Ungefähre Bildregion: </w:t>
      </w:r>
      <w:r>
        <w:t>x 18–55 %, y 13–78 %</w:t>
      </w:r>
    </w:p>
    <w:p>
      <w:r>
        <w:t>Die größte Karte enthält im oberen Teil eine Illustration. Die Überschrift Welcome to SAP Datasphere liegt unter der Illustration. Darunter folgt ein mehrzeiliger Erklärungstext. Ein weiterführender Link befindet sich im unteren Teil.</w:t>
      </w:r>
    </w:p>
    <w:p>
      <w:pPr>
        <w:pStyle w:val="Heading3"/>
      </w:pPr>
      <w:r>
        <w:t>Blogkarte oben mittig</w:t>
      </w:r>
    </w:p>
    <w:p>
      <w:r>
        <w:rPr>
          <w:b/>
        </w:rPr>
        <w:t xml:space="preserve">Ungefähre Bildregion: </w:t>
      </w:r>
      <w:r>
        <w:t>x 56–75 %, y 13–78 %</w:t>
      </w:r>
    </w:p>
    <w:p>
      <w:r>
        <w:t>Die Überschrift steht am oberen Rand. Darunter sind Beitragsvorschauen mit Titelzeilen, kleineren Zusatzzeilen und Textauszügen gestapelt. Open Blog befindet sich unten in der Karte.</w:t>
      </w:r>
    </w:p>
    <w:p>
      <w:pPr>
        <w:pStyle w:val="Heading3"/>
      </w:pPr>
      <w:r>
        <w:t>Aufgabenkarte oben rechts</w:t>
      </w:r>
    </w:p>
    <w:p>
      <w:r>
        <w:rPr>
          <w:b/>
        </w:rPr>
        <w:t xml:space="preserve">Ungefähre Bildregion: </w:t>
      </w:r>
      <w:r>
        <w:t>x 76–98 %, y 13–78 %</w:t>
      </w:r>
    </w:p>
    <w:p>
      <w:r>
        <w:t>Data Integration Tasks steht oben. Darunter befinden sich eine Auswahlzeile und Show Only Errors. Die Aufgaben stehen untereinander; Statussymbole und Statuswörter liegen jeweils neben den Einträgen. Open Data Integration Monitor steht am unteren Kartenrand.</w:t>
      </w:r>
    </w:p>
    <w:p>
      <w:pPr>
        <w:pStyle w:val="Heading3"/>
      </w:pPr>
      <w:r>
        <w:t>Untere Kartenreihe</w:t>
      </w:r>
    </w:p>
    <w:p>
      <w:r>
        <w:rPr>
          <w:b/>
        </w:rPr>
        <w:t xml:space="preserve">Ungefähre Bildregion: </w:t>
      </w:r>
      <w:r>
        <w:t>x 18–98 %, y 79–100 %</w:t>
      </w:r>
    </w:p>
    <w:p>
      <w:r>
        <w:t>Links beginnt Spaces mit den Spalten Name, Storage und Status. Die Speicheranzeigen bestehen aus schmalen horizontalen Balken. In der Mitte beginnt Data Builder. Rechts liegt Quick Actions mit einem Leerzustand und Add Quick Actions. Die unteren Teile werden vom Bildrand abgeschnitten.</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Home</w:t>
            </w:r>
          </w:p>
        </w:tc>
        <w:tc>
          <w:tcPr>
            <w:tcW w:type="dxa" w:w="3005"/>
          </w:tcPr>
          <w:p>
            <w:pPr>
              <w:spacing w:after="40"/>
            </w:pPr>
            <w:r>
              <w:rPr>
                <w:sz w:val="18"/>
              </w:rPr>
              <w:t>x 35–62</w:t>
              <w:br/>
              <w:t>y 69–85</w:t>
            </w:r>
          </w:p>
        </w:tc>
        <w:tc>
          <w:tcPr>
            <w:tcW w:type="dxa" w:w="3402"/>
          </w:tcPr>
          <w:p>
            <w:pPr>
              <w:spacing w:after="40"/>
            </w:pPr>
            <w:r>
              <w:rPr>
                <w:sz w:val="18"/>
              </w:rPr>
              <w:t>oben, links</w:t>
              <w:br/>
              <w:t>x 2.5–4.5 %</w:t>
              <w:br/>
              <w:t>y 10.5–12.9 %</w:t>
            </w:r>
          </w:p>
        </w:tc>
      </w:tr>
      <w:tr>
        <w:trPr>
          <w:cantSplit/>
        </w:trPr>
        <w:tc>
          <w:tcPr>
            <w:tcW w:type="dxa" w:w="3288"/>
          </w:tcPr>
          <w:p>
            <w:pPr>
              <w:spacing w:after="40"/>
            </w:pPr>
            <w:r>
              <w:rPr>
                <w:sz w:val="18"/>
              </w:rPr>
              <w:t>Refresh</w:t>
            </w:r>
          </w:p>
        </w:tc>
        <w:tc>
          <w:tcPr>
            <w:tcW w:type="dxa" w:w="3005"/>
          </w:tcPr>
          <w:p>
            <w:pPr>
              <w:spacing w:after="40"/>
            </w:pPr>
            <w:r>
              <w:rPr>
                <w:sz w:val="18"/>
              </w:rPr>
              <w:t>x 1160–1193</w:t>
              <w:br/>
              <w:t>y 78–85</w:t>
            </w:r>
          </w:p>
        </w:tc>
        <w:tc>
          <w:tcPr>
            <w:tcW w:type="dxa" w:w="3402"/>
          </w:tcPr>
          <w:p>
            <w:pPr>
              <w:spacing w:after="40"/>
            </w:pPr>
            <w:r>
              <w:rPr>
                <w:sz w:val="18"/>
              </w:rPr>
              <w:t>oben, rechts</w:t>
              <w:br/>
              <w:t>x 84.0–86.3 %</w:t>
              <w:br/>
              <w:t>y 11.9–12.9 %</w:t>
            </w:r>
          </w:p>
        </w:tc>
      </w:tr>
      <w:tr>
        <w:trPr>
          <w:cantSplit/>
        </w:trPr>
        <w:tc>
          <w:tcPr>
            <w:tcW w:type="dxa" w:w="3288"/>
          </w:tcPr>
          <w:p>
            <w:pPr>
              <w:spacing w:after="40"/>
            </w:pPr>
            <w:r>
              <w:rPr>
                <w:sz w:val="18"/>
              </w:rPr>
              <w:t>Customize</w:t>
            </w:r>
          </w:p>
        </w:tc>
        <w:tc>
          <w:tcPr>
            <w:tcW w:type="dxa" w:w="3005"/>
          </w:tcPr>
          <w:p>
            <w:pPr>
              <w:spacing w:after="40"/>
            </w:pPr>
            <w:r>
              <w:rPr>
                <w:sz w:val="18"/>
              </w:rPr>
              <w:t>x 1280–1327</w:t>
              <w:br/>
              <w:t>y 78–85</w:t>
            </w:r>
          </w:p>
        </w:tc>
        <w:tc>
          <w:tcPr>
            <w:tcW w:type="dxa" w:w="3402"/>
          </w:tcPr>
          <w:p>
            <w:pPr>
              <w:spacing w:after="40"/>
            </w:pPr>
            <w:r>
              <w:rPr>
                <w:sz w:val="18"/>
              </w:rPr>
              <w:t>oben, rechts</w:t>
              <w:br/>
              <w:t>x 92.7–96.0 %</w:t>
              <w:br/>
              <w:t>y 11.9–12.9 %</w:t>
            </w:r>
          </w:p>
        </w:tc>
      </w:tr>
      <w:tr>
        <w:trPr>
          <w:cantSplit/>
        </w:trPr>
        <w:tc>
          <w:tcPr>
            <w:tcW w:type="dxa" w:w="3288"/>
          </w:tcPr>
          <w:p>
            <w:pPr>
              <w:spacing w:after="40"/>
            </w:pPr>
            <w:r>
              <w:rPr>
                <w:sz w:val="18"/>
              </w:rPr>
              <w:t>Repository Explorer</w:t>
            </w:r>
          </w:p>
        </w:tc>
        <w:tc>
          <w:tcPr>
            <w:tcW w:type="dxa" w:w="3005"/>
          </w:tcPr>
          <w:p>
            <w:pPr>
              <w:spacing w:after="40"/>
            </w:pPr>
            <w:r>
              <w:rPr>
                <w:sz w:val="18"/>
              </w:rPr>
              <w:t>x 36–122</w:t>
              <w:br/>
              <w:t>y 100–109</w:t>
            </w:r>
          </w:p>
        </w:tc>
        <w:tc>
          <w:tcPr>
            <w:tcW w:type="dxa" w:w="3402"/>
          </w:tcPr>
          <w:p>
            <w:pPr>
              <w:spacing w:after="40"/>
            </w:pPr>
            <w:r>
              <w:rPr>
                <w:sz w:val="18"/>
              </w:rPr>
              <w:t>oben, links</w:t>
              <w:br/>
              <w:t>x 2.6–8.9 %</w:t>
              <w:br/>
              <w:t>y 15.1–16.6 %</w:t>
            </w:r>
          </w:p>
        </w:tc>
      </w:tr>
      <w:tr>
        <w:trPr>
          <w:cantSplit/>
        </w:trPr>
        <w:tc>
          <w:tcPr>
            <w:tcW w:type="dxa" w:w="3288"/>
          </w:tcPr>
          <w:p>
            <w:pPr>
              <w:spacing w:after="40"/>
            </w:pPr>
            <w:r>
              <w:rPr>
                <w:sz w:val="18"/>
              </w:rPr>
              <w:t>Monitoring</w:t>
            </w:r>
          </w:p>
        </w:tc>
        <w:tc>
          <w:tcPr>
            <w:tcW w:type="dxa" w:w="3005"/>
          </w:tcPr>
          <w:p>
            <w:pPr>
              <w:spacing w:after="40"/>
            </w:pPr>
            <w:r>
              <w:rPr>
                <w:sz w:val="18"/>
              </w:rPr>
              <w:t>x 36–83</w:t>
              <w:br/>
              <w:t>y 126–135</w:t>
            </w:r>
          </w:p>
        </w:tc>
        <w:tc>
          <w:tcPr>
            <w:tcW w:type="dxa" w:w="3402"/>
          </w:tcPr>
          <w:p>
            <w:pPr>
              <w:spacing w:after="40"/>
            </w:pPr>
            <w:r>
              <w:rPr>
                <w:sz w:val="18"/>
              </w:rPr>
              <w:t>oben, links</w:t>
              <w:br/>
              <w:t>x 2.6–6.0 %</w:t>
              <w:br/>
              <w:t>y 19.1–20.5 %</w:t>
            </w:r>
          </w:p>
        </w:tc>
      </w:tr>
      <w:tr>
        <w:trPr>
          <w:cantSplit/>
        </w:trPr>
        <w:tc>
          <w:tcPr>
            <w:tcW w:type="dxa" w:w="3288"/>
          </w:tcPr>
          <w:p>
            <w:pPr>
              <w:spacing w:after="40"/>
            </w:pPr>
            <w:r>
              <w:rPr>
                <w:sz w:val="18"/>
              </w:rPr>
              <w:t>SAP Datasphere Blog</w:t>
            </w:r>
          </w:p>
        </w:tc>
        <w:tc>
          <w:tcPr>
            <w:tcW w:type="dxa" w:w="3005"/>
          </w:tcPr>
          <w:p>
            <w:pPr>
              <w:spacing w:after="40"/>
            </w:pPr>
            <w:r>
              <w:rPr>
                <w:sz w:val="18"/>
              </w:rPr>
              <w:t>x 790–891</w:t>
              <w:br/>
              <w:t>y 144–153</w:t>
            </w:r>
          </w:p>
        </w:tc>
        <w:tc>
          <w:tcPr>
            <w:tcW w:type="dxa" w:w="3402"/>
          </w:tcPr>
          <w:p>
            <w:pPr>
              <w:spacing w:after="40"/>
            </w:pPr>
            <w:r>
              <w:rPr>
                <w:sz w:val="18"/>
              </w:rPr>
              <w:t>oben, mittig</w:t>
              <w:br/>
              <w:t>x 57.1–64.5 %</w:t>
              <w:br/>
              <w:t>y 21.8–23.3 %</w:t>
            </w:r>
          </w:p>
        </w:tc>
      </w:tr>
      <w:tr>
        <w:trPr>
          <w:cantSplit/>
        </w:trPr>
        <w:tc>
          <w:tcPr>
            <w:tcW w:type="dxa" w:w="3288"/>
          </w:tcPr>
          <w:p>
            <w:pPr>
              <w:spacing w:after="40"/>
            </w:pPr>
            <w:r>
              <w:rPr>
                <w:sz w:val="18"/>
              </w:rPr>
              <w:t>Data Integration Tasks</w:t>
            </w:r>
          </w:p>
        </w:tc>
        <w:tc>
          <w:tcPr>
            <w:tcW w:type="dxa" w:w="3005"/>
          </w:tcPr>
          <w:p>
            <w:pPr>
              <w:spacing w:after="40"/>
            </w:pPr>
            <w:r>
              <w:rPr>
                <w:sz w:val="18"/>
              </w:rPr>
              <w:t>x 1054–1159</w:t>
              <w:br/>
              <w:t>y 144–153</w:t>
            </w:r>
          </w:p>
        </w:tc>
        <w:tc>
          <w:tcPr>
            <w:tcW w:type="dxa" w:w="3402"/>
          </w:tcPr>
          <w:p>
            <w:pPr>
              <w:spacing w:after="40"/>
            </w:pPr>
            <w:r>
              <w:rPr>
                <w:sz w:val="18"/>
              </w:rPr>
              <w:t>oben, rechts</w:t>
              <w:br/>
              <w:t>x 76.2–83.9 %</w:t>
              <w:br/>
              <w:t>y 21.8–23.3 %</w:t>
            </w:r>
          </w:p>
        </w:tc>
      </w:tr>
      <w:tr>
        <w:trPr>
          <w:cantSplit/>
        </w:trPr>
        <w:tc>
          <w:tcPr>
            <w:tcW w:type="dxa" w:w="3288"/>
          </w:tcPr>
          <w:p>
            <w:pPr>
              <w:spacing w:after="40"/>
            </w:pPr>
            <w:r>
              <w:rPr>
                <w:sz w:val="18"/>
              </w:rPr>
              <w:t>Catalog &amp; Marketplace</w:t>
            </w:r>
          </w:p>
        </w:tc>
        <w:tc>
          <w:tcPr>
            <w:tcW w:type="dxa" w:w="3005"/>
          </w:tcPr>
          <w:p>
            <w:pPr>
              <w:spacing w:after="40"/>
            </w:pPr>
            <w:r>
              <w:rPr>
                <w:sz w:val="18"/>
              </w:rPr>
              <w:t>x 35–137</w:t>
              <w:br/>
              <w:t>y 151–161</w:t>
            </w:r>
          </w:p>
        </w:tc>
        <w:tc>
          <w:tcPr>
            <w:tcW w:type="dxa" w:w="3402"/>
          </w:tcPr>
          <w:p>
            <w:pPr>
              <w:spacing w:after="40"/>
            </w:pPr>
            <w:r>
              <w:rPr>
                <w:sz w:val="18"/>
              </w:rPr>
              <w:t>oben, links</w:t>
              <w:br/>
              <w:t>x 2.5–9.9 %</w:t>
              <w:br/>
              <w:t>y 22.9–24.5 %</w:t>
            </w:r>
          </w:p>
        </w:tc>
      </w:tr>
      <w:tr>
        <w:trPr>
          <w:cantSplit/>
        </w:trPr>
        <w:tc>
          <w:tcPr>
            <w:tcW w:type="dxa" w:w="3288"/>
          </w:tcPr>
          <w:p>
            <w:pPr>
              <w:spacing w:after="40"/>
            </w:pPr>
            <w:r>
              <w:rPr>
                <w:sz w:val="18"/>
              </w:rPr>
              <w:t>Recent</w:t>
            </w:r>
          </w:p>
        </w:tc>
        <w:tc>
          <w:tcPr>
            <w:tcW w:type="dxa" w:w="3005"/>
          </w:tcPr>
          <w:p>
            <w:pPr>
              <w:spacing w:after="40"/>
            </w:pPr>
            <w:r>
              <w:rPr>
                <w:sz w:val="18"/>
              </w:rPr>
              <w:t>x 790–820</w:t>
              <w:br/>
              <w:t>y 161–168</w:t>
            </w:r>
          </w:p>
        </w:tc>
        <w:tc>
          <w:tcPr>
            <w:tcW w:type="dxa" w:w="3402"/>
          </w:tcPr>
          <w:p>
            <w:pPr>
              <w:spacing w:after="40"/>
            </w:pPr>
            <w:r>
              <w:rPr>
                <w:sz w:val="18"/>
              </w:rPr>
              <w:t>oben, mittig</w:t>
              <w:br/>
              <w:t>x 57.2–59.3 %</w:t>
              <w:br/>
              <w:t>y 24.5–25.5 %</w:t>
            </w:r>
          </w:p>
        </w:tc>
      </w:tr>
      <w:tr>
        <w:trPr>
          <w:cantSplit/>
        </w:trPr>
        <w:tc>
          <w:tcPr>
            <w:tcW w:type="dxa" w:w="3288"/>
          </w:tcPr>
          <w:p>
            <w:pPr>
              <w:spacing w:after="40"/>
            </w:pPr>
            <w:r>
              <w:rPr>
                <w:sz w:val="18"/>
              </w:rPr>
              <w:t>Apps</w:t>
            </w:r>
          </w:p>
        </w:tc>
        <w:tc>
          <w:tcPr>
            <w:tcW w:type="dxa" w:w="3005"/>
          </w:tcPr>
          <w:p>
            <w:pPr>
              <w:spacing w:after="40"/>
            </w:pPr>
            <w:r>
              <w:rPr>
                <w:sz w:val="18"/>
              </w:rPr>
              <w:t>x 18–40</w:t>
              <w:br/>
              <w:t>y 185–194</w:t>
            </w:r>
          </w:p>
        </w:tc>
        <w:tc>
          <w:tcPr>
            <w:tcW w:type="dxa" w:w="3402"/>
          </w:tcPr>
          <w:p>
            <w:pPr>
              <w:spacing w:after="40"/>
            </w:pPr>
            <w:r>
              <w:rPr>
                <w:sz w:val="18"/>
              </w:rPr>
              <w:t>oben, links</w:t>
              <w:br/>
              <w:t>x 1.3–2.9 %</w:t>
              <w:br/>
              <w:t>y 28.1–29.5 %</w:t>
            </w:r>
          </w:p>
        </w:tc>
      </w:tr>
      <w:tr>
        <w:trPr>
          <w:cantSplit/>
        </w:trPr>
        <w:tc>
          <w:tcPr>
            <w:tcW w:type="dxa" w:w="3288"/>
          </w:tcPr>
          <w:p>
            <w:pPr>
              <w:spacing w:after="40"/>
            </w:pPr>
            <w:r>
              <w:rPr>
                <w:sz w:val="18"/>
              </w:rPr>
              <w:t>Show Only Errors</w:t>
            </w:r>
          </w:p>
        </w:tc>
        <w:tc>
          <w:tcPr>
            <w:tcW w:type="dxa" w:w="3005"/>
          </w:tcPr>
          <w:p>
            <w:pPr>
              <w:spacing w:after="40"/>
            </w:pPr>
            <w:r>
              <w:rPr>
                <w:sz w:val="18"/>
              </w:rPr>
              <w:t>x 1054–1130</w:t>
              <w:br/>
              <w:t>y 192–202</w:t>
            </w:r>
          </w:p>
        </w:tc>
        <w:tc>
          <w:tcPr>
            <w:tcW w:type="dxa" w:w="3402"/>
          </w:tcPr>
          <w:p>
            <w:pPr>
              <w:spacing w:after="40"/>
            </w:pPr>
            <w:r>
              <w:rPr>
                <w:sz w:val="18"/>
              </w:rPr>
              <w:t>oben, rechts</w:t>
              <w:br/>
              <w:t>x 76.2–81.8 %</w:t>
              <w:br/>
              <w:t>y 29.3–30.7 %</w:t>
            </w:r>
          </w:p>
        </w:tc>
      </w:tr>
      <w:tr>
        <w:trPr>
          <w:cantSplit/>
        </w:trPr>
        <w:tc>
          <w:tcPr>
            <w:tcW w:type="dxa" w:w="3288"/>
          </w:tcPr>
          <w:p>
            <w:pPr>
              <w:spacing w:after="40"/>
            </w:pPr>
            <w:r>
              <w:rPr>
                <w:sz w:val="18"/>
              </w:rPr>
              <w:t>of</w:t>
            </w:r>
          </w:p>
        </w:tc>
        <w:tc>
          <w:tcPr>
            <w:tcW w:type="dxa" w:w="3005"/>
          </w:tcPr>
          <w:p>
            <w:pPr>
              <w:spacing w:after="40"/>
            </w:pPr>
            <w:r>
              <w:rPr>
                <w:sz w:val="18"/>
              </w:rPr>
              <w:t>x 672–691</w:t>
              <w:br/>
              <w:t>y 199–215</w:t>
            </w:r>
          </w:p>
        </w:tc>
        <w:tc>
          <w:tcPr>
            <w:tcW w:type="dxa" w:w="3402"/>
          </w:tcPr>
          <w:p>
            <w:pPr>
              <w:spacing w:after="40"/>
            </w:pPr>
            <w:r>
              <w:rPr>
                <w:sz w:val="18"/>
              </w:rPr>
              <w:t>oben, mittig</w:t>
              <w:br/>
              <w:t>x 48.6–50.0 %</w:t>
              <w:br/>
              <w:t>y 30.2–32.7 %</w:t>
            </w:r>
          </w:p>
        </w:tc>
      </w:tr>
      <w:tr>
        <w:trPr>
          <w:cantSplit/>
        </w:trPr>
        <w:tc>
          <w:tcPr>
            <w:tcW w:type="dxa" w:w="3288"/>
          </w:tcPr>
          <w:p>
            <w:pPr>
              <w:spacing w:after="40"/>
            </w:pPr>
            <w:r>
              <w:rPr>
                <w:sz w:val="18"/>
              </w:rPr>
              <w:t>Semantic Onboarding</w:t>
            </w:r>
          </w:p>
        </w:tc>
        <w:tc>
          <w:tcPr>
            <w:tcW w:type="dxa" w:w="3005"/>
          </w:tcPr>
          <w:p>
            <w:pPr>
              <w:spacing w:after="40"/>
            </w:pPr>
            <w:r>
              <w:rPr>
                <w:sz w:val="18"/>
              </w:rPr>
              <w:t>x 36–132</w:t>
              <w:br/>
              <w:t>y 210–220</w:t>
            </w:r>
          </w:p>
        </w:tc>
        <w:tc>
          <w:tcPr>
            <w:tcW w:type="dxa" w:w="3402"/>
          </w:tcPr>
          <w:p>
            <w:pPr>
              <w:spacing w:after="40"/>
            </w:pPr>
            <w:r>
              <w:rPr>
                <w:sz w:val="18"/>
              </w:rPr>
              <w:t>oben, links</w:t>
              <w:br/>
              <w:t>x 2.6–9.6 %</w:t>
              <w:br/>
              <w:t>y 32.0–33.4 %</w:t>
            </w:r>
          </w:p>
        </w:tc>
      </w:tr>
      <w:tr>
        <w:trPr>
          <w:cantSplit/>
        </w:trPr>
        <w:tc>
          <w:tcPr>
            <w:tcW w:type="dxa" w:w="3288"/>
          </w:tcPr>
          <w:p>
            <w:pPr>
              <w:spacing w:after="40"/>
            </w:pPr>
            <w:r>
              <w:rPr>
                <w:sz w:val="18"/>
              </w:rPr>
              <w:t>Business Builder</w:t>
            </w:r>
          </w:p>
        </w:tc>
        <w:tc>
          <w:tcPr>
            <w:tcW w:type="dxa" w:w="3005"/>
          </w:tcPr>
          <w:p>
            <w:pPr>
              <w:spacing w:after="40"/>
            </w:pPr>
            <w:r>
              <w:rPr>
                <w:sz w:val="18"/>
              </w:rPr>
              <w:t>x 36–109</w:t>
              <w:br/>
              <w:t>y 236–244</w:t>
            </w:r>
          </w:p>
        </w:tc>
        <w:tc>
          <w:tcPr>
            <w:tcW w:type="dxa" w:w="3402"/>
          </w:tcPr>
          <w:p>
            <w:pPr>
              <w:spacing w:after="40"/>
            </w:pPr>
            <w:r>
              <w:rPr>
                <w:sz w:val="18"/>
              </w:rPr>
              <w:t>auf mittlerer Höhe, links</w:t>
              <w:br/>
              <w:t>x 2.6–7.9 %</w:t>
              <w:br/>
              <w:t>y 35.9–37.1 %</w:t>
            </w:r>
          </w:p>
        </w:tc>
      </w:tr>
      <w:tr>
        <w:trPr>
          <w:cantSplit/>
        </w:trPr>
        <w:tc>
          <w:tcPr>
            <w:tcW w:type="dxa" w:w="3288"/>
          </w:tcPr>
          <w:p>
            <w:pPr>
              <w:spacing w:after="40"/>
            </w:pPr>
            <w:r>
              <w:rPr>
                <w:sz w:val="18"/>
              </w:rPr>
              <w:t>Data Builder</w:t>
            </w:r>
          </w:p>
        </w:tc>
        <w:tc>
          <w:tcPr>
            <w:tcW w:type="dxa" w:w="3005"/>
          </w:tcPr>
          <w:p>
            <w:pPr>
              <w:spacing w:after="40"/>
            </w:pPr>
            <w:r>
              <w:rPr>
                <w:sz w:val="18"/>
              </w:rPr>
              <w:t>x 36–90</w:t>
              <w:br/>
              <w:t>y 262–270</w:t>
            </w:r>
          </w:p>
        </w:tc>
        <w:tc>
          <w:tcPr>
            <w:tcW w:type="dxa" w:w="3402"/>
          </w:tcPr>
          <w:p>
            <w:pPr>
              <w:spacing w:after="40"/>
            </w:pPr>
            <w:r>
              <w:rPr>
                <w:sz w:val="18"/>
              </w:rPr>
              <w:t>auf mittlerer Höhe, links</w:t>
              <w:br/>
              <w:t>x 2.6–6.5 %</w:t>
              <w:br/>
              <w:t>y 39.9–41.0 %</w:t>
            </w:r>
          </w:p>
        </w:tc>
      </w:tr>
      <w:tr>
        <w:trPr>
          <w:cantSplit/>
        </w:trPr>
        <w:tc>
          <w:tcPr>
            <w:tcW w:type="dxa" w:w="3288"/>
          </w:tcPr>
          <w:p>
            <w:pPr>
              <w:spacing w:after="40"/>
            </w:pPr>
            <w:r>
              <w:rPr>
                <w:sz w:val="18"/>
              </w:rPr>
              <w:t>of</w:t>
            </w:r>
          </w:p>
        </w:tc>
        <w:tc>
          <w:tcPr>
            <w:tcW w:type="dxa" w:w="3005"/>
          </w:tcPr>
          <w:p>
            <w:pPr>
              <w:spacing w:after="40"/>
            </w:pPr>
            <w:r>
              <w:rPr>
                <w:sz w:val="18"/>
              </w:rPr>
              <w:t>x 927–934</w:t>
              <w:br/>
              <w:t>y 269–275</w:t>
            </w:r>
          </w:p>
        </w:tc>
        <w:tc>
          <w:tcPr>
            <w:tcW w:type="dxa" w:w="3402"/>
          </w:tcPr>
          <w:p>
            <w:pPr>
              <w:spacing w:after="40"/>
            </w:pPr>
            <w:r>
              <w:rPr>
                <w:sz w:val="18"/>
              </w:rPr>
              <w:t>auf mittlerer Höhe, rechts</w:t>
              <w:br/>
              <w:t>x 67.1–67.6 %</w:t>
              <w:br/>
              <w:t>y 40.9–41.8 %</w:t>
            </w:r>
          </w:p>
        </w:tc>
      </w:tr>
      <w:tr>
        <w:trPr>
          <w:cantSplit/>
        </w:trPr>
        <w:tc>
          <w:tcPr>
            <w:tcW w:type="dxa" w:w="3288"/>
          </w:tcPr>
          <w:p>
            <w:pPr>
              <w:spacing w:after="40"/>
            </w:pPr>
            <w:r>
              <w:rPr>
                <w:sz w:val="18"/>
              </w:rPr>
              <w:t>records</w:t>
            </w:r>
          </w:p>
        </w:tc>
        <w:tc>
          <w:tcPr>
            <w:tcW w:type="dxa" w:w="3005"/>
          </w:tcPr>
          <w:p>
            <w:pPr>
              <w:spacing w:after="40"/>
            </w:pPr>
            <w:r>
              <w:rPr>
                <w:sz w:val="18"/>
              </w:rPr>
              <w:t>x 937–964</w:t>
              <w:br/>
              <w:t>y 269–275</w:t>
            </w:r>
          </w:p>
        </w:tc>
        <w:tc>
          <w:tcPr>
            <w:tcW w:type="dxa" w:w="3402"/>
          </w:tcPr>
          <w:p>
            <w:pPr>
              <w:spacing w:after="40"/>
            </w:pPr>
            <w:r>
              <w:rPr>
                <w:sz w:val="18"/>
              </w:rPr>
              <w:t>auf mittlerer Höhe, rechts</w:t>
              <w:br/>
              <w:t>x 67.8–69.8 %</w:t>
              <w:br/>
              <w:t>y 40.9–41.8 %</w:t>
            </w:r>
          </w:p>
        </w:tc>
      </w:tr>
      <w:tr>
        <w:trPr>
          <w:cantSplit/>
        </w:trPr>
        <w:tc>
          <w:tcPr>
            <w:tcW w:type="dxa" w:w="3288"/>
          </w:tcPr>
          <w:p>
            <w:pPr>
              <w:spacing w:after="40"/>
            </w:pPr>
            <w:r>
              <w:rPr>
                <w:sz w:val="18"/>
              </w:rPr>
              <w:t>Running</w:t>
            </w:r>
          </w:p>
        </w:tc>
        <w:tc>
          <w:tcPr>
            <w:tcW w:type="dxa" w:w="3005"/>
          </w:tcPr>
          <w:p>
            <w:pPr>
              <w:spacing w:after="40"/>
            </w:pPr>
            <w:r>
              <w:rPr>
                <w:sz w:val="18"/>
              </w:rPr>
              <w:t>x 1245–1281</w:t>
              <w:br/>
              <w:t>y 266–276</w:t>
            </w:r>
          </w:p>
        </w:tc>
        <w:tc>
          <w:tcPr>
            <w:tcW w:type="dxa" w:w="3402"/>
          </w:tcPr>
          <w:p>
            <w:pPr>
              <w:spacing w:after="40"/>
            </w:pPr>
            <w:r>
              <w:rPr>
                <w:sz w:val="18"/>
              </w:rPr>
              <w:t>auf mittlerer Höhe, rechts</w:t>
              <w:br/>
              <w:t>x 90.1–92.7 %</w:t>
              <w:br/>
              <w:t>y 40.4–41.9 %</w:t>
            </w:r>
          </w:p>
        </w:tc>
      </w:tr>
      <w:tr>
        <w:trPr>
          <w:cantSplit/>
        </w:trPr>
        <w:tc>
          <w:tcPr>
            <w:tcW w:type="dxa" w:w="3288"/>
          </w:tcPr>
          <w:p>
            <w:pPr>
              <w:spacing w:after="40"/>
            </w:pPr>
            <w:r>
              <w:rPr>
                <w:sz w:val="18"/>
              </w:rPr>
              <w:t>Connections</w:t>
            </w:r>
          </w:p>
        </w:tc>
        <w:tc>
          <w:tcPr>
            <w:tcW w:type="dxa" w:w="3005"/>
          </w:tcPr>
          <w:p>
            <w:pPr>
              <w:spacing w:after="40"/>
            </w:pPr>
            <w:r>
              <w:rPr>
                <w:sz w:val="18"/>
              </w:rPr>
              <w:t>x 33–90</w:t>
              <w:br/>
              <w:t>y 286–300</w:t>
            </w:r>
          </w:p>
        </w:tc>
        <w:tc>
          <w:tcPr>
            <w:tcW w:type="dxa" w:w="3402"/>
          </w:tcPr>
          <w:p>
            <w:pPr>
              <w:spacing w:after="40"/>
            </w:pPr>
            <w:r>
              <w:rPr>
                <w:sz w:val="18"/>
              </w:rPr>
              <w:t>auf mittlerer Höhe, links</w:t>
              <w:br/>
              <w:t>x 2.4–6.5 %</w:t>
              <w:br/>
              <w:t>y 43.5–45.6 %</w:t>
            </w:r>
          </w:p>
        </w:tc>
      </w:tr>
      <w:tr>
        <w:trPr>
          <w:cantSplit/>
        </w:trPr>
        <w:tc>
          <w:tcPr>
            <w:tcW w:type="dxa" w:w="3288"/>
          </w:tcPr>
          <w:p>
            <w:pPr>
              <w:spacing w:after="40"/>
            </w:pPr>
            <w:r>
              <w:rPr>
                <w:sz w:val="18"/>
              </w:rPr>
              <w:t>Utilities</w:t>
            </w:r>
          </w:p>
        </w:tc>
        <w:tc>
          <w:tcPr>
            <w:tcW w:type="dxa" w:w="3005"/>
          </w:tcPr>
          <w:p>
            <w:pPr>
              <w:spacing w:after="40"/>
            </w:pPr>
            <w:r>
              <w:rPr>
                <w:sz w:val="18"/>
              </w:rPr>
              <w:t>x 19–50</w:t>
              <w:br/>
              <w:t>y 322–329</w:t>
            </w:r>
          </w:p>
        </w:tc>
        <w:tc>
          <w:tcPr>
            <w:tcW w:type="dxa" w:w="3402"/>
          </w:tcPr>
          <w:p>
            <w:pPr>
              <w:spacing w:after="40"/>
            </w:pPr>
            <w:r>
              <w:rPr>
                <w:sz w:val="18"/>
              </w:rPr>
              <w:t>auf mittlerer Höhe, links</w:t>
              <w:br/>
              <w:t>x 1.4–3.6 %</w:t>
              <w:br/>
              <w:t>y 49.0–50.0 %</w:t>
            </w:r>
          </w:p>
        </w:tc>
      </w:tr>
      <w:tr>
        <w:trPr>
          <w:cantSplit/>
        </w:trPr>
        <w:tc>
          <w:tcPr>
            <w:tcW w:type="dxa" w:w="3288"/>
          </w:tcPr>
          <w:p>
            <w:pPr>
              <w:spacing w:after="40"/>
            </w:pPr>
            <w:r>
              <w:rPr>
                <w:sz w:val="18"/>
              </w:rPr>
              <w:t>Welcome to SAP Datasphere</w:t>
            </w:r>
          </w:p>
        </w:tc>
        <w:tc>
          <w:tcPr>
            <w:tcW w:type="dxa" w:w="3005"/>
          </w:tcPr>
          <w:p>
            <w:pPr>
              <w:spacing w:after="40"/>
            </w:pPr>
            <w:r>
              <w:rPr>
                <w:sz w:val="18"/>
              </w:rPr>
              <w:t>x 272–467</w:t>
              <w:br/>
              <w:t>y 323–337</w:t>
            </w:r>
          </w:p>
        </w:tc>
        <w:tc>
          <w:tcPr>
            <w:tcW w:type="dxa" w:w="3402"/>
          </w:tcPr>
          <w:p>
            <w:pPr>
              <w:spacing w:after="40"/>
            </w:pPr>
            <w:r>
              <w:rPr>
                <w:sz w:val="18"/>
              </w:rPr>
              <w:t>auf mittlerer Höhe, links</w:t>
              <w:br/>
              <w:t>x 19.7–33.8 %</w:t>
              <w:br/>
              <w:t>y 49.1–51.2 %</w:t>
            </w:r>
          </w:p>
        </w:tc>
      </w:tr>
      <w:tr>
        <w:trPr>
          <w:cantSplit/>
        </w:trPr>
        <w:tc>
          <w:tcPr>
            <w:tcW w:type="dxa" w:w="3288"/>
          </w:tcPr>
          <w:p>
            <w:pPr>
              <w:spacing w:after="40"/>
            </w:pPr>
            <w:r>
              <w:rPr>
                <w:sz w:val="18"/>
              </w:rPr>
              <w:t>Space Management</w:t>
            </w:r>
          </w:p>
        </w:tc>
        <w:tc>
          <w:tcPr>
            <w:tcW w:type="dxa" w:w="3005"/>
          </w:tcPr>
          <w:p>
            <w:pPr>
              <w:spacing w:after="40"/>
            </w:pPr>
            <w:r>
              <w:rPr>
                <w:sz w:val="18"/>
              </w:rPr>
              <w:t>x 36–124</w:t>
              <w:br/>
              <w:t>y 348–357</w:t>
            </w:r>
          </w:p>
        </w:tc>
        <w:tc>
          <w:tcPr>
            <w:tcW w:type="dxa" w:w="3402"/>
          </w:tcPr>
          <w:p>
            <w:pPr>
              <w:spacing w:after="40"/>
            </w:pPr>
            <w:r>
              <w:rPr>
                <w:sz w:val="18"/>
              </w:rPr>
              <w:t>auf mittlerer Höhe, links</w:t>
              <w:br/>
              <w:t>x 2.6–9.0 %</w:t>
              <w:br/>
              <w:t>y 52.9–54.3 %</w:t>
            </w:r>
          </w:p>
        </w:tc>
      </w:tr>
      <w:tr>
        <w:trPr>
          <w:cantSplit/>
        </w:trPr>
        <w:tc>
          <w:tcPr>
            <w:tcW w:type="dxa" w:w="3288"/>
          </w:tcPr>
          <w:p>
            <w:pPr>
              <w:spacing w:after="40"/>
            </w:pPr>
            <w:r>
              <w:rPr>
                <w:sz w:val="18"/>
              </w:rPr>
              <w:t>from</w:t>
            </w:r>
          </w:p>
        </w:tc>
        <w:tc>
          <w:tcPr>
            <w:tcW w:type="dxa" w:w="3005"/>
          </w:tcPr>
          <w:p>
            <w:pPr>
              <w:spacing w:after="40"/>
            </w:pPr>
            <w:r>
              <w:rPr>
                <w:sz w:val="18"/>
              </w:rPr>
              <w:t>x 869–886</w:t>
              <w:br/>
              <w:t>y 348–354</w:t>
            </w:r>
          </w:p>
        </w:tc>
        <w:tc>
          <w:tcPr>
            <w:tcW w:type="dxa" w:w="3402"/>
          </w:tcPr>
          <w:p>
            <w:pPr>
              <w:spacing w:after="40"/>
            </w:pPr>
            <w:r>
              <w:rPr>
                <w:sz w:val="18"/>
              </w:rPr>
              <w:t>auf mittlerer Höhe, mittig</w:t>
              <w:br/>
              <w:t>x 62.9–64.1 %</w:t>
              <w:br/>
              <w:t>y 52.9–53.8 %</w:t>
            </w:r>
          </w:p>
        </w:tc>
      </w:tr>
      <w:tr>
        <w:trPr>
          <w:cantSplit/>
        </w:trPr>
        <w:tc>
          <w:tcPr>
            <w:tcW w:type="dxa" w:w="3288"/>
          </w:tcPr>
          <w:p>
            <w:pPr>
              <w:spacing w:after="40"/>
            </w:pPr>
            <w:r>
              <w:rPr>
                <w:sz w:val="18"/>
              </w:rPr>
              <w:t>Translation</w:t>
            </w:r>
          </w:p>
        </w:tc>
        <w:tc>
          <w:tcPr>
            <w:tcW w:type="dxa" w:w="3005"/>
          </w:tcPr>
          <w:p>
            <w:pPr>
              <w:spacing w:after="40"/>
            </w:pPr>
            <w:r>
              <w:rPr>
                <w:sz w:val="18"/>
              </w:rPr>
              <w:t>x 36–84</w:t>
              <w:br/>
              <w:t>y 374–381</w:t>
            </w:r>
          </w:p>
        </w:tc>
        <w:tc>
          <w:tcPr>
            <w:tcW w:type="dxa" w:w="3402"/>
          </w:tcPr>
          <w:p>
            <w:pPr>
              <w:spacing w:after="40"/>
            </w:pPr>
            <w:r>
              <w:rPr>
                <w:sz w:val="18"/>
              </w:rPr>
              <w:t>auf mittlerer Höhe, links</w:t>
              <w:br/>
              <w:t>x 2.6–6.1 %</w:t>
              <w:br/>
              <w:t>y 56.8–57.9 %</w:t>
            </w:r>
          </w:p>
        </w:tc>
      </w:tr>
      <w:tr>
        <w:trPr>
          <w:cantSplit/>
        </w:trPr>
        <w:tc>
          <w:tcPr>
            <w:tcW w:type="dxa" w:w="3288"/>
          </w:tcPr>
          <w:p>
            <w:pPr>
              <w:spacing w:after="40"/>
            </w:pPr>
            <w:r>
              <w:rPr>
                <w:sz w:val="18"/>
              </w:rPr>
              <w:t>of</w:t>
            </w:r>
          </w:p>
        </w:tc>
        <w:tc>
          <w:tcPr>
            <w:tcW w:type="dxa" w:w="3005"/>
          </w:tcPr>
          <w:p>
            <w:pPr>
              <w:spacing w:after="40"/>
            </w:pPr>
            <w:r>
              <w:rPr>
                <w:sz w:val="18"/>
              </w:rPr>
              <w:t>x 947–954</w:t>
              <w:br/>
              <w:t>y 372–378</w:t>
            </w:r>
          </w:p>
        </w:tc>
        <w:tc>
          <w:tcPr>
            <w:tcW w:type="dxa" w:w="3402"/>
          </w:tcPr>
          <w:p>
            <w:pPr>
              <w:spacing w:after="40"/>
            </w:pPr>
            <w:r>
              <w:rPr>
                <w:sz w:val="18"/>
              </w:rPr>
              <w:t>auf mittlerer Höhe, rechts</w:t>
              <w:br/>
              <w:t>x 68.5–69.1 %</w:t>
              <w:br/>
              <w:t>y 56.5–57.4 %</w:t>
            </w:r>
          </w:p>
        </w:tc>
      </w:tr>
      <w:tr>
        <w:trPr>
          <w:cantSplit/>
        </w:trPr>
        <w:tc>
          <w:tcPr>
            <w:tcW w:type="dxa" w:w="3288"/>
          </w:tcPr>
          <w:p>
            <w:pPr>
              <w:spacing w:after="40"/>
            </w:pPr>
            <w:r>
              <w:rPr>
                <w:sz w:val="18"/>
              </w:rPr>
              <w:t>more</w:t>
            </w:r>
          </w:p>
        </w:tc>
        <w:tc>
          <w:tcPr>
            <w:tcW w:type="dxa" w:w="3005"/>
          </w:tcPr>
          <w:p>
            <w:pPr>
              <w:spacing w:after="40"/>
            </w:pPr>
            <w:r>
              <w:rPr>
                <w:sz w:val="18"/>
              </w:rPr>
              <w:t>x 972–990</w:t>
              <w:br/>
              <w:t>y 374–378</w:t>
            </w:r>
          </w:p>
        </w:tc>
        <w:tc>
          <w:tcPr>
            <w:tcW w:type="dxa" w:w="3402"/>
          </w:tcPr>
          <w:p>
            <w:pPr>
              <w:spacing w:after="40"/>
            </w:pPr>
            <w:r>
              <w:rPr>
                <w:sz w:val="18"/>
              </w:rPr>
              <w:t>auf mittlerer Höhe, rechts</w:t>
              <w:br/>
              <w:t>x 70.3–71.7 %</w:t>
              <w:br/>
              <w:t>y 56.8–57.4 %</w:t>
            </w:r>
          </w:p>
        </w:tc>
      </w:tr>
      <w:tr>
        <w:trPr>
          <w:cantSplit/>
        </w:trPr>
        <w:tc>
          <w:tcPr>
            <w:tcW w:type="dxa" w:w="3288"/>
          </w:tcPr>
          <w:p>
            <w:pPr>
              <w:spacing w:after="40"/>
            </w:pPr>
            <w:r>
              <w:rPr>
                <w:sz w:val="18"/>
              </w:rPr>
              <w:t>data integration,</w:t>
            </w:r>
          </w:p>
        </w:tc>
        <w:tc>
          <w:tcPr>
            <w:tcW w:type="dxa" w:w="3005"/>
          </w:tcPr>
          <w:p>
            <w:pPr>
              <w:spacing w:after="40"/>
            </w:pPr>
            <w:r>
              <w:rPr>
                <w:sz w:val="18"/>
              </w:rPr>
              <w:t>x 566–637</w:t>
              <w:br/>
              <w:t>y 382–391</w:t>
            </w:r>
          </w:p>
        </w:tc>
        <w:tc>
          <w:tcPr>
            <w:tcW w:type="dxa" w:w="3402"/>
          </w:tcPr>
          <w:p>
            <w:pPr>
              <w:spacing w:after="40"/>
            </w:pPr>
            <w:r>
              <w:rPr>
                <w:sz w:val="18"/>
              </w:rPr>
              <w:t>auf mittlerer Höhe, mittig</w:t>
              <w:br/>
              <w:t>x 40.9–46.1 %</w:t>
              <w:br/>
              <w:t>y 58.1–59.4 %</w:t>
            </w:r>
          </w:p>
        </w:tc>
      </w:tr>
      <w:tr>
        <w:trPr>
          <w:cantSplit/>
        </w:trPr>
        <w:tc>
          <w:tcPr>
            <w:tcW w:type="dxa" w:w="3288"/>
          </w:tcPr>
          <w:p>
            <w:pPr>
              <w:spacing w:after="40"/>
            </w:pPr>
            <w:r>
              <w:rPr>
                <w:sz w:val="18"/>
              </w:rPr>
              <w:t>Transport</w:t>
            </w:r>
          </w:p>
        </w:tc>
        <w:tc>
          <w:tcPr>
            <w:tcW w:type="dxa" w:w="3005"/>
          </w:tcPr>
          <w:p>
            <w:pPr>
              <w:spacing w:after="40"/>
            </w:pPr>
            <w:r>
              <w:rPr>
                <w:sz w:val="18"/>
              </w:rPr>
              <w:t>x 36–77</w:t>
              <w:br/>
              <w:t>y 400–409</w:t>
            </w:r>
          </w:p>
        </w:tc>
        <w:tc>
          <w:tcPr>
            <w:tcW w:type="dxa" w:w="3402"/>
          </w:tcPr>
          <w:p>
            <w:pPr>
              <w:spacing w:after="40"/>
            </w:pPr>
            <w:r>
              <w:rPr>
                <w:sz w:val="18"/>
              </w:rPr>
              <w:t>auf mittlerer Höhe, links</w:t>
              <w:br/>
              <w:t>x 2.6–5.6 %</w:t>
              <w:br/>
              <w:t>y 60.7–62.2 %</w:t>
            </w:r>
          </w:p>
        </w:tc>
      </w:tr>
      <w:tr>
        <w:trPr>
          <w:cantSplit/>
        </w:trPr>
        <w:tc>
          <w:tcPr>
            <w:tcW w:type="dxa" w:w="3288"/>
          </w:tcPr>
          <w:p>
            <w:pPr>
              <w:spacing w:after="40"/>
            </w:pPr>
            <w:r>
              <w:rPr>
                <w:sz w:val="18"/>
              </w:rPr>
              <w:t>Completed</w:t>
            </w:r>
          </w:p>
        </w:tc>
        <w:tc>
          <w:tcPr>
            <w:tcW w:type="dxa" w:w="3005"/>
          </w:tcPr>
          <w:p>
            <w:pPr>
              <w:spacing w:after="40"/>
            </w:pPr>
            <w:r>
              <w:rPr>
                <w:sz w:val="18"/>
              </w:rPr>
              <w:t>x 1232–1280</w:t>
              <w:br/>
              <w:t>y 400–410</w:t>
            </w:r>
          </w:p>
        </w:tc>
        <w:tc>
          <w:tcPr>
            <w:tcW w:type="dxa" w:w="3402"/>
          </w:tcPr>
          <w:p>
            <w:pPr>
              <w:spacing w:after="40"/>
            </w:pPr>
            <w:r>
              <w:rPr>
                <w:sz w:val="18"/>
              </w:rPr>
              <w:t>auf mittlerer Höhe, rechts</w:t>
              <w:br/>
              <w:t>x 89.1–92.7 %</w:t>
              <w:br/>
              <w:t>y 60.8–62.2 %</w:t>
            </w:r>
          </w:p>
        </w:tc>
      </w:tr>
      <w:tr>
        <w:trPr>
          <w:cantSplit/>
        </w:trPr>
        <w:tc>
          <w:tcPr>
            <w:tcW w:type="dxa" w:w="3288"/>
          </w:tcPr>
          <w:p>
            <w:pPr>
              <w:spacing w:after="40"/>
            </w:pPr>
            <w:r>
              <w:rPr>
                <w:sz w:val="18"/>
              </w:rPr>
              <w:t>Data Sharing Cockpit</w:t>
            </w:r>
          </w:p>
        </w:tc>
        <w:tc>
          <w:tcPr>
            <w:tcW w:type="dxa" w:w="3005"/>
          </w:tcPr>
          <w:p>
            <w:pPr>
              <w:spacing w:after="40"/>
            </w:pPr>
            <w:r>
              <w:rPr>
                <w:sz w:val="18"/>
              </w:rPr>
              <w:t>x 36–129</w:t>
              <w:br/>
              <w:t>y 426–435</w:t>
            </w:r>
          </w:p>
        </w:tc>
        <w:tc>
          <w:tcPr>
            <w:tcW w:type="dxa" w:w="3402"/>
          </w:tcPr>
          <w:p>
            <w:pPr>
              <w:spacing w:after="40"/>
            </w:pPr>
            <w:r>
              <w:rPr>
                <w:sz w:val="18"/>
              </w:rPr>
              <w:t>auf mittlerer Höhe, links</w:t>
              <w:br/>
              <w:t>x 2.6–9.3 %</w:t>
              <w:br/>
              <w:t>y 64.7–66.1 %</w:t>
            </w:r>
          </w:p>
        </w:tc>
      </w:tr>
      <w:tr>
        <w:trPr>
          <w:cantSplit/>
        </w:trPr>
        <w:tc>
          <w:tcPr>
            <w:tcW w:type="dxa" w:w="3288"/>
          </w:tcPr>
          <w:p>
            <w:pPr>
              <w:spacing w:after="40"/>
            </w:pPr>
            <w:r>
              <w:rPr>
                <w:sz w:val="18"/>
              </w:rPr>
              <w:t>Open Blog</w:t>
            </w:r>
          </w:p>
        </w:tc>
        <w:tc>
          <w:tcPr>
            <w:tcW w:type="dxa" w:w="3005"/>
          </w:tcPr>
          <w:p>
            <w:pPr>
              <w:spacing w:after="40"/>
            </w:pPr>
            <w:r>
              <w:rPr>
                <w:sz w:val="18"/>
              </w:rPr>
              <w:t>x 787–833</w:t>
              <w:br/>
              <w:t>y 445–455</w:t>
            </w:r>
          </w:p>
        </w:tc>
        <w:tc>
          <w:tcPr>
            <w:tcW w:type="dxa" w:w="3402"/>
          </w:tcPr>
          <w:p>
            <w:pPr>
              <w:spacing w:after="40"/>
            </w:pPr>
            <w:r>
              <w:rPr>
                <w:sz w:val="18"/>
              </w:rPr>
              <w:t>unten, mittig</w:t>
              <w:br/>
              <w:t>x 56.9–60.3 %</w:t>
              <w:br/>
              <w:t>y 67.6–69.1 %</w:t>
            </w:r>
          </w:p>
        </w:tc>
      </w:tr>
      <w:tr>
        <w:trPr>
          <w:cantSplit/>
        </w:trPr>
        <w:tc>
          <w:tcPr>
            <w:tcW w:type="dxa" w:w="3288"/>
          </w:tcPr>
          <w:p>
            <w:pPr>
              <w:spacing w:after="40"/>
            </w:pPr>
            <w:r>
              <w:rPr>
                <w:sz w:val="18"/>
              </w:rPr>
              <w:t>Open Data Integration Monitor</w:t>
            </w:r>
          </w:p>
        </w:tc>
        <w:tc>
          <w:tcPr>
            <w:tcW w:type="dxa" w:w="3005"/>
          </w:tcPr>
          <w:p>
            <w:pPr>
              <w:spacing w:after="40"/>
            </w:pPr>
            <w:r>
              <w:rPr>
                <w:sz w:val="18"/>
              </w:rPr>
              <w:t>x 1051–1185</w:t>
              <w:br/>
              <w:t>y 445–455</w:t>
            </w:r>
          </w:p>
        </w:tc>
        <w:tc>
          <w:tcPr>
            <w:tcW w:type="dxa" w:w="3402"/>
          </w:tcPr>
          <w:p>
            <w:pPr>
              <w:spacing w:after="40"/>
            </w:pPr>
            <w:r>
              <w:rPr>
                <w:sz w:val="18"/>
              </w:rPr>
              <w:t>unten, rechts</w:t>
              <w:br/>
              <w:t>x 76.0–85.7 %</w:t>
              <w:br/>
              <w:t>y 67.6–69.1 %</w:t>
            </w:r>
          </w:p>
        </w:tc>
      </w:tr>
      <w:tr>
        <w:trPr>
          <w:cantSplit/>
        </w:trPr>
        <w:tc>
          <w:tcPr>
            <w:tcW w:type="dxa" w:w="3288"/>
          </w:tcPr>
          <w:p>
            <w:pPr>
              <w:spacing w:after="40"/>
            </w:pPr>
            <w:r>
              <w:rPr>
                <w:sz w:val="18"/>
              </w:rPr>
              <w:t>Spaces</w:t>
            </w:r>
          </w:p>
        </w:tc>
        <w:tc>
          <w:tcPr>
            <w:tcW w:type="dxa" w:w="3005"/>
          </w:tcPr>
          <w:p>
            <w:pPr>
              <w:spacing w:after="40"/>
            </w:pPr>
            <w:r>
              <w:rPr>
                <w:sz w:val="18"/>
              </w:rPr>
              <w:t>x 262–295</w:t>
              <w:br/>
              <w:t>y 490–499</w:t>
            </w:r>
          </w:p>
        </w:tc>
        <w:tc>
          <w:tcPr>
            <w:tcW w:type="dxa" w:w="3402"/>
          </w:tcPr>
          <w:p>
            <w:pPr>
              <w:spacing w:after="40"/>
            </w:pPr>
            <w:r>
              <w:rPr>
                <w:sz w:val="18"/>
              </w:rPr>
              <w:t>unten, links</w:t>
              <w:br/>
              <w:t>x 18.9–21.3 %</w:t>
              <w:br/>
              <w:t>y 74.5–75.8 %</w:t>
            </w:r>
          </w:p>
        </w:tc>
      </w:tr>
      <w:tr>
        <w:trPr>
          <w:cantSplit/>
        </w:trPr>
        <w:tc>
          <w:tcPr>
            <w:tcW w:type="dxa" w:w="3288"/>
          </w:tcPr>
          <w:p>
            <w:pPr>
              <w:spacing w:after="40"/>
            </w:pPr>
            <w:r>
              <w:rPr>
                <w:sz w:val="18"/>
              </w:rPr>
              <w:t>Data Builder</w:t>
            </w:r>
          </w:p>
        </w:tc>
        <w:tc>
          <w:tcPr>
            <w:tcW w:type="dxa" w:w="3005"/>
          </w:tcPr>
          <w:p>
            <w:pPr>
              <w:spacing w:after="40"/>
            </w:pPr>
            <w:r>
              <w:rPr>
                <w:sz w:val="18"/>
              </w:rPr>
              <w:t>x 790–848</w:t>
              <w:br/>
              <w:t>y 490–497</w:t>
            </w:r>
          </w:p>
        </w:tc>
        <w:tc>
          <w:tcPr>
            <w:tcW w:type="dxa" w:w="3402"/>
          </w:tcPr>
          <w:p>
            <w:pPr>
              <w:spacing w:after="40"/>
            </w:pPr>
            <w:r>
              <w:rPr>
                <w:sz w:val="18"/>
              </w:rPr>
              <w:t>unten, mittig</w:t>
              <w:br/>
              <w:t>x 57.2–61.4 %</w:t>
              <w:br/>
              <w:t>y 74.5–75.5 %</w:t>
            </w:r>
          </w:p>
        </w:tc>
      </w:tr>
      <w:tr>
        <w:trPr>
          <w:cantSplit/>
        </w:trPr>
        <w:tc>
          <w:tcPr>
            <w:tcW w:type="dxa" w:w="3288"/>
          </w:tcPr>
          <w:p>
            <w:pPr>
              <w:spacing w:after="40"/>
            </w:pPr>
            <w:r>
              <w:rPr>
                <w:sz w:val="18"/>
              </w:rPr>
              <w:t>Quick Actions</w:t>
            </w:r>
          </w:p>
        </w:tc>
        <w:tc>
          <w:tcPr>
            <w:tcW w:type="dxa" w:w="3005"/>
          </w:tcPr>
          <w:p>
            <w:pPr>
              <w:spacing w:after="40"/>
            </w:pPr>
            <w:r>
              <w:rPr>
                <w:sz w:val="18"/>
              </w:rPr>
              <w:t>x 1053–1119</w:t>
              <w:br/>
              <w:t>y 490–498</w:t>
            </w:r>
          </w:p>
        </w:tc>
        <w:tc>
          <w:tcPr>
            <w:tcW w:type="dxa" w:w="3402"/>
          </w:tcPr>
          <w:p>
            <w:pPr>
              <w:spacing w:after="40"/>
            </w:pPr>
            <w:r>
              <w:rPr>
                <w:sz w:val="18"/>
              </w:rPr>
              <w:t>unten, rechts</w:t>
              <w:br/>
              <w:t>x 76.2–81.0 %</w:t>
              <w:br/>
              <w:t>y 74.5–75.7 %</w:t>
            </w:r>
          </w:p>
        </w:tc>
      </w:tr>
      <w:tr>
        <w:trPr>
          <w:cantSplit/>
        </w:trPr>
        <w:tc>
          <w:tcPr>
            <w:tcW w:type="dxa" w:w="3288"/>
          </w:tcPr>
          <w:p>
            <w:pPr>
              <w:spacing w:after="40"/>
            </w:pPr>
            <w:r>
              <w:rPr>
                <w:sz w:val="18"/>
              </w:rPr>
              <w:t>No quick action selected</w:t>
            </w:r>
          </w:p>
        </w:tc>
        <w:tc>
          <w:tcPr>
            <w:tcW w:type="dxa" w:w="3005"/>
          </w:tcPr>
          <w:p>
            <w:pPr>
              <w:spacing w:after="40"/>
            </w:pPr>
            <w:r>
              <w:rPr>
                <w:sz w:val="18"/>
              </w:rPr>
              <w:t>x 1100–1234</w:t>
              <w:br/>
              <w:t>y 516–526</w:t>
            </w:r>
          </w:p>
        </w:tc>
        <w:tc>
          <w:tcPr>
            <w:tcW w:type="dxa" w:w="3402"/>
          </w:tcPr>
          <w:p>
            <w:pPr>
              <w:spacing w:after="40"/>
            </w:pPr>
            <w:r>
              <w:rPr>
                <w:sz w:val="18"/>
              </w:rPr>
              <w:t>unten, rechts</w:t>
              <w:br/>
              <w:t>x 79.6–89.3 %</w:t>
              <w:br/>
              <w:t>y 78.3–79.9 %</w:t>
            </w:r>
          </w:p>
        </w:tc>
      </w:tr>
      <w:tr>
        <w:trPr>
          <w:cantSplit/>
        </w:trPr>
        <w:tc>
          <w:tcPr>
            <w:tcW w:type="dxa" w:w="3288"/>
          </w:tcPr>
          <w:p>
            <w:pPr>
              <w:spacing w:after="40"/>
            </w:pPr>
            <w:r>
              <w:rPr>
                <w:sz w:val="18"/>
              </w:rPr>
              <w:t>Add quick actions</w:t>
            </w:r>
          </w:p>
        </w:tc>
        <w:tc>
          <w:tcPr>
            <w:tcW w:type="dxa" w:w="3005"/>
          </w:tcPr>
          <w:p>
            <w:pPr>
              <w:spacing w:after="40"/>
            </w:pPr>
            <w:r>
              <w:rPr>
                <w:sz w:val="18"/>
              </w:rPr>
              <w:t>x 1079–1158</w:t>
              <w:br/>
              <w:t>y 532–541</w:t>
            </w:r>
          </w:p>
        </w:tc>
        <w:tc>
          <w:tcPr>
            <w:tcW w:type="dxa" w:w="3402"/>
          </w:tcPr>
          <w:p>
            <w:pPr>
              <w:spacing w:after="40"/>
            </w:pPr>
            <w:r>
              <w:rPr>
                <w:sz w:val="18"/>
              </w:rPr>
              <w:t>unten, rechts</w:t>
              <w:br/>
              <w:t>x 78.1–83.8 %</w:t>
              <w:br/>
              <w:t>y 80.9–82.2 %</w:t>
            </w:r>
          </w:p>
        </w:tc>
      </w:tr>
      <w:tr>
        <w:trPr>
          <w:cantSplit/>
        </w:trPr>
        <w:tc>
          <w:tcPr>
            <w:tcW w:type="dxa" w:w="3288"/>
          </w:tcPr>
          <w:p>
            <w:pPr>
              <w:spacing w:after="40"/>
            </w:pPr>
            <w:r>
              <w:rPr>
                <w:sz w:val="18"/>
              </w:rPr>
              <w:t>Name</w:t>
            </w:r>
          </w:p>
        </w:tc>
        <w:tc>
          <w:tcPr>
            <w:tcW w:type="dxa" w:w="3005"/>
          </w:tcPr>
          <w:p>
            <w:pPr>
              <w:spacing w:after="40"/>
            </w:pPr>
            <w:r>
              <w:rPr>
                <w:sz w:val="18"/>
              </w:rPr>
              <w:t>x 262–287</w:t>
              <w:br/>
              <w:t>y 539–546</w:t>
            </w:r>
          </w:p>
        </w:tc>
        <w:tc>
          <w:tcPr>
            <w:tcW w:type="dxa" w:w="3402"/>
          </w:tcPr>
          <w:p>
            <w:pPr>
              <w:spacing w:after="40"/>
            </w:pPr>
            <w:r>
              <w:rPr>
                <w:sz w:val="18"/>
              </w:rPr>
              <w:t>unten, links</w:t>
              <w:br/>
              <w:t>x 18.9–20.8 %</w:t>
              <w:br/>
              <w:t>y 81.9–83.0 %</w:t>
            </w:r>
          </w:p>
        </w:tc>
      </w:tr>
      <w:tr>
        <w:trPr>
          <w:cantSplit/>
        </w:trPr>
        <w:tc>
          <w:tcPr>
            <w:tcW w:type="dxa" w:w="3288"/>
          </w:tcPr>
          <w:p>
            <w:pPr>
              <w:spacing w:after="40"/>
            </w:pPr>
            <w:r>
              <w:rPr>
                <w:sz w:val="18"/>
              </w:rPr>
              <w:t>Storage</w:t>
            </w:r>
          </w:p>
        </w:tc>
        <w:tc>
          <w:tcPr>
            <w:tcW w:type="dxa" w:w="3005"/>
          </w:tcPr>
          <w:p>
            <w:pPr>
              <w:spacing w:after="40"/>
            </w:pPr>
            <w:r>
              <w:rPr>
                <w:sz w:val="18"/>
              </w:rPr>
              <w:t>x 426–460</w:t>
              <w:br/>
              <w:t>y 539–548</w:t>
            </w:r>
          </w:p>
        </w:tc>
        <w:tc>
          <w:tcPr>
            <w:tcW w:type="dxa" w:w="3402"/>
          </w:tcPr>
          <w:p>
            <w:pPr>
              <w:spacing w:after="40"/>
            </w:pPr>
            <w:r>
              <w:rPr>
                <w:sz w:val="18"/>
              </w:rPr>
              <w:t>unten, links</w:t>
              <w:br/>
              <w:t>x 30.8–33.3 %</w:t>
              <w:br/>
              <w:t>y 81.9–83.4 %</w:t>
            </w:r>
          </w:p>
        </w:tc>
      </w:tr>
      <w:tr>
        <w:trPr>
          <w:cantSplit/>
        </w:trPr>
        <w:tc>
          <w:tcPr>
            <w:tcW w:type="dxa" w:w="3288"/>
          </w:tcPr>
          <w:p>
            <w:pPr>
              <w:spacing w:after="40"/>
            </w:pPr>
            <w:r>
              <w:rPr>
                <w:sz w:val="18"/>
              </w:rPr>
              <w:t>Status</w:t>
            </w:r>
          </w:p>
        </w:tc>
        <w:tc>
          <w:tcPr>
            <w:tcW w:type="dxa" w:w="3005"/>
          </w:tcPr>
          <w:p>
            <w:pPr>
              <w:spacing w:after="40"/>
            </w:pPr>
            <w:r>
              <w:rPr>
                <w:sz w:val="18"/>
              </w:rPr>
              <w:t>x 694–721</w:t>
              <w:br/>
              <w:t>y 539–546</w:t>
            </w:r>
          </w:p>
        </w:tc>
        <w:tc>
          <w:tcPr>
            <w:tcW w:type="dxa" w:w="3402"/>
          </w:tcPr>
          <w:p>
            <w:pPr>
              <w:spacing w:after="40"/>
            </w:pPr>
            <w:r>
              <w:rPr>
                <w:sz w:val="18"/>
              </w:rPr>
              <w:t>unten, mittig</w:t>
              <w:br/>
              <w:t>x 50.2–52.2 %</w:t>
              <w:br/>
              <w:t>y 81.9–83.0 %</w:t>
            </w:r>
          </w:p>
        </w:tc>
      </w:tr>
      <w:tr>
        <w:trPr>
          <w:cantSplit/>
        </w:trPr>
        <w:tc>
          <w:tcPr>
            <w:tcW w:type="dxa" w:w="3288"/>
          </w:tcPr>
          <w:p>
            <w:pPr>
              <w:spacing w:after="40"/>
            </w:pPr>
            <w:r>
              <w:rPr>
                <w:sz w:val="18"/>
              </w:rPr>
              <w:t>Show Only Errors</w:t>
            </w:r>
          </w:p>
        </w:tc>
        <w:tc>
          <w:tcPr>
            <w:tcW w:type="dxa" w:w="3005"/>
          </w:tcPr>
          <w:p>
            <w:pPr>
              <w:spacing w:after="40"/>
            </w:pPr>
            <w:r>
              <w:rPr>
                <w:sz w:val="18"/>
              </w:rPr>
              <w:t>x 790–866</w:t>
              <w:br/>
              <w:t>y 539–548</w:t>
            </w:r>
          </w:p>
        </w:tc>
        <w:tc>
          <w:tcPr>
            <w:tcW w:type="dxa" w:w="3402"/>
          </w:tcPr>
          <w:p>
            <w:pPr>
              <w:spacing w:after="40"/>
            </w:pPr>
            <w:r>
              <w:rPr>
                <w:sz w:val="18"/>
              </w:rPr>
              <w:t>unten, mittig</w:t>
              <w:br/>
              <w:t>x 57.2–62.7 %</w:t>
              <w:br/>
              <w:t>y 81.9–83.3 %</w:t>
            </w:r>
          </w:p>
        </w:tc>
      </w:tr>
      <w:tr>
        <w:trPr>
          <w:cantSplit/>
        </w:trPr>
        <w:tc>
          <w:tcPr>
            <w:tcW w:type="dxa" w:w="3288"/>
          </w:tcPr>
          <w:p>
            <w:pPr>
              <w:spacing w:after="40"/>
            </w:pPr>
            <w:r>
              <w:rPr>
                <w:sz w:val="18"/>
              </w:rPr>
              <w:t>Add Quick Actions</w:t>
            </w:r>
          </w:p>
        </w:tc>
        <w:tc>
          <w:tcPr>
            <w:tcW w:type="dxa" w:w="3005"/>
          </w:tcPr>
          <w:p>
            <w:pPr>
              <w:spacing w:after="40"/>
            </w:pPr>
            <w:r>
              <w:rPr>
                <w:sz w:val="18"/>
              </w:rPr>
              <w:t>x 1144–1225</w:t>
              <w:br/>
              <w:t>y 555–562</w:t>
            </w:r>
          </w:p>
        </w:tc>
        <w:tc>
          <w:tcPr>
            <w:tcW w:type="dxa" w:w="3402"/>
          </w:tcPr>
          <w:p>
            <w:pPr>
              <w:spacing w:after="40"/>
            </w:pPr>
            <w:r>
              <w:rPr>
                <w:sz w:val="18"/>
              </w:rPr>
              <w:t>unten, rechts</w:t>
              <w:br/>
              <w:t>x 82.8–88.6 %</w:t>
              <w:br/>
              <w:t>y 84.3–85.5 %</w:t>
            </w:r>
          </w:p>
        </w:tc>
      </w:tr>
      <w:tr>
        <w:trPr>
          <w:cantSplit/>
        </w:trPr>
        <w:tc>
          <w:tcPr>
            <w:tcW w:type="dxa" w:w="3288"/>
          </w:tcPr>
          <w:p>
            <w:pPr>
              <w:spacing w:after="40"/>
            </w:pPr>
            <w:r>
              <w:rPr>
                <w:sz w:val="18"/>
              </w:rPr>
              <w:t>Used</w:t>
            </w:r>
          </w:p>
        </w:tc>
        <w:tc>
          <w:tcPr>
            <w:tcW w:type="dxa" w:w="3005"/>
          </w:tcPr>
          <w:p>
            <w:pPr>
              <w:spacing w:after="40"/>
            </w:pPr>
            <w:r>
              <w:rPr>
                <w:sz w:val="18"/>
              </w:rPr>
              <w:t>x 426–448</w:t>
              <w:br/>
              <w:t>y 570–577</w:t>
            </w:r>
          </w:p>
        </w:tc>
        <w:tc>
          <w:tcPr>
            <w:tcW w:type="dxa" w:w="3402"/>
          </w:tcPr>
          <w:p>
            <w:pPr>
              <w:spacing w:after="40"/>
            </w:pPr>
            <w:r>
              <w:rPr>
                <w:sz w:val="18"/>
              </w:rPr>
              <w:t>unten, links</w:t>
              <w:br/>
              <w:t>x 30.8–32.5 %</w:t>
              <w:br/>
              <w:t>y 86.6–87.7 %</w:t>
            </w:r>
          </w:p>
        </w:tc>
      </w:tr>
      <w:tr>
        <w:trPr>
          <w:cantSplit/>
        </w:trPr>
        <w:tc>
          <w:tcPr>
            <w:tcW w:type="dxa" w:w="3288"/>
          </w:tcPr>
          <w:p>
            <w:pPr>
              <w:spacing w:after="40"/>
            </w:pPr>
            <w:r>
              <w:rPr>
                <w:sz w:val="18"/>
              </w:rPr>
              <w:t>MB</w:t>
            </w:r>
          </w:p>
        </w:tc>
        <w:tc>
          <w:tcPr>
            <w:tcW w:type="dxa" w:w="3005"/>
          </w:tcPr>
          <w:p>
            <w:pPr>
              <w:spacing w:after="40"/>
            </w:pPr>
            <w:r>
              <w:rPr>
                <w:sz w:val="18"/>
              </w:rPr>
              <w:t>x 480–494</w:t>
              <w:br/>
              <w:t>y 570–577</w:t>
            </w:r>
          </w:p>
        </w:tc>
        <w:tc>
          <w:tcPr>
            <w:tcW w:type="dxa" w:w="3402"/>
          </w:tcPr>
          <w:p>
            <w:pPr>
              <w:spacing w:after="40"/>
            </w:pPr>
            <w:r>
              <w:rPr>
                <w:sz w:val="18"/>
              </w:rPr>
              <w:t>unten, mittig</w:t>
              <w:br/>
              <w:t>x 34.7–35.8 %</w:t>
              <w:br/>
              <w:t>y 86.6–87.7 %</w:t>
            </w:r>
          </w:p>
        </w:tc>
      </w:tr>
      <w:tr>
        <w:trPr>
          <w:cantSplit/>
        </w:trPr>
        <w:tc>
          <w:tcPr>
            <w:tcW w:type="dxa" w:w="3288"/>
          </w:tcPr>
          <w:p>
            <w:pPr>
              <w:spacing w:after="40"/>
            </w:pPr>
            <w:r>
              <w:rPr>
                <w:sz w:val="18"/>
              </w:rPr>
              <w:t>of</w:t>
            </w:r>
          </w:p>
        </w:tc>
        <w:tc>
          <w:tcPr>
            <w:tcW w:type="dxa" w:w="3005"/>
          </w:tcPr>
          <w:p>
            <w:pPr>
              <w:spacing w:after="40"/>
            </w:pPr>
            <w:r>
              <w:rPr>
                <w:sz w:val="18"/>
              </w:rPr>
              <w:t>x 498–506</w:t>
              <w:br/>
              <w:t>y 570–577</w:t>
            </w:r>
          </w:p>
        </w:tc>
        <w:tc>
          <w:tcPr>
            <w:tcW w:type="dxa" w:w="3402"/>
          </w:tcPr>
          <w:p>
            <w:pPr>
              <w:spacing w:after="40"/>
            </w:pPr>
            <w:r>
              <w:rPr>
                <w:sz w:val="18"/>
              </w:rPr>
              <w:t>unten, mittig</w:t>
              <w:br/>
              <w:t>x 36.0–36.6 %</w:t>
              <w:br/>
              <w:t>y 86.6–87.7 %</w:t>
            </w:r>
          </w:p>
        </w:tc>
      </w:tr>
      <w:tr>
        <w:trPr>
          <w:cantSplit/>
        </w:trPr>
        <w:tc>
          <w:tcPr>
            <w:tcW w:type="dxa" w:w="3288"/>
          </w:tcPr>
          <w:p>
            <w:pPr>
              <w:spacing w:after="40"/>
            </w:pPr>
            <w:r>
              <w:rPr>
                <w:sz w:val="18"/>
              </w:rPr>
              <w:t>MB</w:t>
            </w:r>
          </w:p>
        </w:tc>
        <w:tc>
          <w:tcPr>
            <w:tcW w:type="dxa" w:w="3005"/>
          </w:tcPr>
          <w:p>
            <w:pPr>
              <w:spacing w:after="40"/>
            </w:pPr>
            <w:r>
              <w:rPr>
                <w:sz w:val="18"/>
              </w:rPr>
              <w:t>x 529–543</w:t>
              <w:br/>
              <w:t>y 570–577</w:t>
            </w:r>
          </w:p>
        </w:tc>
        <w:tc>
          <w:tcPr>
            <w:tcW w:type="dxa" w:w="3402"/>
          </w:tcPr>
          <w:p>
            <w:pPr>
              <w:spacing w:after="40"/>
            </w:pPr>
            <w:r>
              <w:rPr>
                <w:sz w:val="18"/>
              </w:rPr>
              <w:t>unten, mittig</w:t>
              <w:br/>
              <w:t>x 38.3–39.3 %</w:t>
              <w:br/>
              <w:t>y 86.6–87.7 %</w:t>
            </w:r>
          </w:p>
        </w:tc>
      </w:tr>
      <w:tr>
        <w:trPr>
          <w:cantSplit/>
        </w:trPr>
        <w:tc>
          <w:tcPr>
            <w:tcW w:type="dxa" w:w="3288"/>
          </w:tcPr>
          <w:p>
            <w:pPr>
              <w:spacing w:after="40"/>
            </w:pPr>
            <w:r>
              <w:rPr>
                <w:sz w:val="18"/>
              </w:rPr>
              <w:t>Working</w:t>
            </w:r>
          </w:p>
        </w:tc>
        <w:tc>
          <w:tcPr>
            <w:tcW w:type="dxa" w:w="3005"/>
          </w:tcPr>
          <w:p>
            <w:pPr>
              <w:spacing w:after="40"/>
            </w:pPr>
            <w:r>
              <w:rPr>
                <w:sz w:val="18"/>
              </w:rPr>
              <w:t>x 708–744</w:t>
              <w:br/>
              <w:t>y 576–585</w:t>
            </w:r>
          </w:p>
        </w:tc>
        <w:tc>
          <w:tcPr>
            <w:tcW w:type="dxa" w:w="3402"/>
          </w:tcPr>
          <w:p>
            <w:pPr>
              <w:spacing w:after="40"/>
            </w:pPr>
            <w:r>
              <w:rPr>
                <w:sz w:val="18"/>
              </w:rPr>
              <w:t>unten, mittig</w:t>
              <w:br/>
              <w:t>x 51.2–53.8 %</w:t>
              <w:br/>
              <w:t>y 87.5–88.9 %</w:t>
            </w:r>
          </w:p>
        </w:tc>
      </w:tr>
      <w:tr>
        <w:trPr>
          <w:cantSplit/>
        </w:trPr>
        <w:tc>
          <w:tcPr>
            <w:tcW w:type="dxa" w:w="3288"/>
          </w:tcPr>
          <w:p>
            <w:pPr>
              <w:spacing w:after="40"/>
            </w:pPr>
            <w:r>
              <w:rPr>
                <w:sz w:val="18"/>
              </w:rPr>
              <w:t>Security</w:t>
            </w:r>
          </w:p>
        </w:tc>
        <w:tc>
          <w:tcPr>
            <w:tcW w:type="dxa" w:w="3005"/>
          </w:tcPr>
          <w:p>
            <w:pPr>
              <w:spacing w:after="40"/>
            </w:pPr>
            <w:r>
              <w:rPr>
                <w:sz w:val="18"/>
              </w:rPr>
              <w:t>x 36–72</w:t>
              <w:br/>
              <w:t>y 609–618</w:t>
            </w:r>
          </w:p>
        </w:tc>
        <w:tc>
          <w:tcPr>
            <w:tcW w:type="dxa" w:w="3402"/>
          </w:tcPr>
          <w:p>
            <w:pPr>
              <w:spacing w:after="40"/>
            </w:pPr>
            <w:r>
              <w:rPr>
                <w:sz w:val="18"/>
              </w:rPr>
              <w:t>unten, links</w:t>
              <w:br/>
              <w:t>x 2.6–5.2 %</w:t>
              <w:br/>
              <w:t>y 92.6–93.9 %</w:t>
            </w:r>
          </w:p>
        </w:tc>
      </w:tr>
      <w:tr>
        <w:trPr>
          <w:cantSplit/>
        </w:trPr>
        <w:tc>
          <w:tcPr>
            <w:tcW w:type="dxa" w:w="3288"/>
          </w:tcPr>
          <w:p>
            <w:pPr>
              <w:spacing w:after="40"/>
            </w:pPr>
            <w:r>
              <w:rPr>
                <w:sz w:val="18"/>
              </w:rPr>
              <w:t>Used</w:t>
            </w:r>
          </w:p>
        </w:tc>
        <w:tc>
          <w:tcPr>
            <w:tcW w:type="dxa" w:w="3005"/>
          </w:tcPr>
          <w:p>
            <w:pPr>
              <w:spacing w:after="40"/>
            </w:pPr>
            <w:r>
              <w:rPr>
                <w:sz w:val="18"/>
              </w:rPr>
              <w:t>x 426–449</w:t>
              <w:br/>
              <w:t>y 615–622</w:t>
            </w:r>
          </w:p>
        </w:tc>
        <w:tc>
          <w:tcPr>
            <w:tcW w:type="dxa" w:w="3402"/>
          </w:tcPr>
          <w:p>
            <w:pPr>
              <w:spacing w:after="40"/>
            </w:pPr>
            <w:r>
              <w:rPr>
                <w:sz w:val="18"/>
              </w:rPr>
              <w:t>unten, links</w:t>
              <w:br/>
              <w:t>x 30.8–32.5 %</w:t>
              <w:br/>
              <w:t>y 93.5–94.5 %</w:t>
            </w:r>
          </w:p>
        </w:tc>
      </w:tr>
      <w:tr>
        <w:trPr>
          <w:cantSplit/>
        </w:trPr>
        <w:tc>
          <w:tcPr>
            <w:tcW w:type="dxa" w:w="3288"/>
          </w:tcPr>
          <w:p>
            <w:pPr>
              <w:spacing w:after="40"/>
            </w:pPr>
            <w:r>
              <w:rPr>
                <w:sz w:val="18"/>
              </w:rPr>
              <w:t>MB</w:t>
            </w:r>
          </w:p>
        </w:tc>
        <w:tc>
          <w:tcPr>
            <w:tcW w:type="dxa" w:w="3005"/>
          </w:tcPr>
          <w:p>
            <w:pPr>
              <w:spacing w:after="40"/>
            </w:pPr>
            <w:r>
              <w:rPr>
                <w:sz w:val="18"/>
              </w:rPr>
              <w:t>x 480–494</w:t>
              <w:br/>
              <w:t>y 614–622</w:t>
            </w:r>
          </w:p>
        </w:tc>
        <w:tc>
          <w:tcPr>
            <w:tcW w:type="dxa" w:w="3402"/>
          </w:tcPr>
          <w:p>
            <w:pPr>
              <w:spacing w:after="40"/>
            </w:pPr>
            <w:r>
              <w:rPr>
                <w:sz w:val="18"/>
              </w:rPr>
              <w:t>unten, mittig</w:t>
              <w:br/>
              <w:t>x 34.7–35.8 %</w:t>
              <w:br/>
              <w:t>y 93.4–94.5 %</w:t>
            </w:r>
          </w:p>
        </w:tc>
      </w:tr>
      <w:tr>
        <w:trPr>
          <w:cantSplit/>
        </w:trPr>
        <w:tc>
          <w:tcPr>
            <w:tcW w:type="dxa" w:w="3288"/>
          </w:tcPr>
          <w:p>
            <w:pPr>
              <w:spacing w:after="40"/>
            </w:pPr>
            <w:r>
              <w:rPr>
                <w:sz w:val="18"/>
              </w:rPr>
              <w:t>of</w:t>
            </w:r>
          </w:p>
        </w:tc>
        <w:tc>
          <w:tcPr>
            <w:tcW w:type="dxa" w:w="3005"/>
          </w:tcPr>
          <w:p>
            <w:pPr>
              <w:spacing w:after="40"/>
            </w:pPr>
            <w:r>
              <w:rPr>
                <w:sz w:val="18"/>
              </w:rPr>
              <w:t>x 498–506</w:t>
              <w:br/>
              <w:t>y 615–622</w:t>
            </w:r>
          </w:p>
        </w:tc>
        <w:tc>
          <w:tcPr>
            <w:tcW w:type="dxa" w:w="3402"/>
          </w:tcPr>
          <w:p>
            <w:pPr>
              <w:spacing w:after="40"/>
            </w:pPr>
            <w:r>
              <w:rPr>
                <w:sz w:val="18"/>
              </w:rPr>
              <w:t>unten, mittig</w:t>
              <w:br/>
              <w:t>x 36.0–36.6 %</w:t>
              <w:br/>
              <w:t>y 93.5–94.5 %</w:t>
            </w:r>
          </w:p>
        </w:tc>
      </w:tr>
      <w:tr>
        <w:trPr>
          <w:cantSplit/>
        </w:trPr>
        <w:tc>
          <w:tcPr>
            <w:tcW w:type="dxa" w:w="3288"/>
          </w:tcPr>
          <w:p>
            <w:pPr>
              <w:spacing w:after="40"/>
            </w:pPr>
            <w:r>
              <w:rPr>
                <w:sz w:val="18"/>
              </w:rPr>
              <w:t>MB</w:t>
            </w:r>
          </w:p>
        </w:tc>
        <w:tc>
          <w:tcPr>
            <w:tcW w:type="dxa" w:w="3005"/>
          </w:tcPr>
          <w:p>
            <w:pPr>
              <w:spacing w:after="40"/>
            </w:pPr>
            <w:r>
              <w:rPr>
                <w:sz w:val="18"/>
              </w:rPr>
              <w:t>x 529–543</w:t>
              <w:br/>
              <w:t>y 614–622</w:t>
            </w:r>
          </w:p>
        </w:tc>
        <w:tc>
          <w:tcPr>
            <w:tcW w:type="dxa" w:w="3402"/>
          </w:tcPr>
          <w:p>
            <w:pPr>
              <w:spacing w:after="40"/>
            </w:pPr>
            <w:r>
              <w:rPr>
                <w:sz w:val="18"/>
              </w:rPr>
              <w:t>unten, mittig</w:t>
              <w:br/>
              <w:t>x 38.3–39.3 %</w:t>
              <w:br/>
              <w:t>y 93.4–94.5 %</w:t>
            </w:r>
          </w:p>
        </w:tc>
      </w:tr>
      <w:tr>
        <w:trPr>
          <w:cantSplit/>
        </w:trPr>
        <w:tc>
          <w:tcPr>
            <w:tcW w:type="dxa" w:w="3288"/>
          </w:tcPr>
          <w:p>
            <w:pPr>
              <w:spacing w:after="40"/>
            </w:pPr>
            <w:r>
              <w:rPr>
                <w:sz w:val="18"/>
              </w:rPr>
              <w:t>Working</w:t>
            </w:r>
          </w:p>
        </w:tc>
        <w:tc>
          <w:tcPr>
            <w:tcW w:type="dxa" w:w="3005"/>
          </w:tcPr>
          <w:p>
            <w:pPr>
              <w:spacing w:after="40"/>
            </w:pPr>
            <w:r>
              <w:rPr>
                <w:sz w:val="18"/>
              </w:rPr>
              <w:t>x 708–744</w:t>
              <w:br/>
              <w:t>y 620–630</w:t>
            </w:r>
          </w:p>
        </w:tc>
        <w:tc>
          <w:tcPr>
            <w:tcW w:type="dxa" w:w="3402"/>
          </w:tcPr>
          <w:p>
            <w:pPr>
              <w:spacing w:after="40"/>
            </w:pPr>
            <w:r>
              <w:rPr>
                <w:sz w:val="18"/>
              </w:rPr>
              <w:t>unten, mittig</w:t>
              <w:br/>
              <w:t>x 51.2–53.8 %</w:t>
              <w:br/>
              <w:t>y 94.3–95.7 %</w:t>
            </w:r>
          </w:p>
        </w:tc>
      </w:tr>
      <w:tr>
        <w:trPr>
          <w:cantSplit/>
        </w:trPr>
        <w:tc>
          <w:tcPr>
            <w:tcW w:type="dxa" w:w="3288"/>
          </w:tcPr>
          <w:p>
            <w:pPr>
              <w:spacing w:after="40"/>
            </w:pPr>
            <w:r>
              <w:rPr>
                <w:sz w:val="18"/>
              </w:rPr>
              <w:t>System</w:t>
            </w:r>
          </w:p>
        </w:tc>
        <w:tc>
          <w:tcPr>
            <w:tcW w:type="dxa" w:w="3005"/>
          </w:tcPr>
          <w:p>
            <w:pPr>
              <w:spacing w:after="40"/>
            </w:pPr>
            <w:r>
              <w:rPr>
                <w:sz w:val="18"/>
              </w:rPr>
              <w:t>x 36–68</w:t>
              <w:br/>
              <w:t>y 635–644</w:t>
            </w:r>
          </w:p>
        </w:tc>
        <w:tc>
          <w:tcPr>
            <w:tcW w:type="dxa" w:w="3402"/>
          </w:tcPr>
          <w:p>
            <w:pPr>
              <w:spacing w:after="40"/>
            </w:pPr>
            <w:r>
              <w:rPr>
                <w:sz w:val="18"/>
              </w:rPr>
              <w:t>unten, links</w:t>
              <w:br/>
              <w:t>x 2.6–4.9 %</w:t>
              <w:br/>
              <w:t>y 96.5–97.9 %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4: Capacities: Verbrauchsübersicht</w:t>
      </w:r>
    </w:p>
    <w:p>
      <w:r>
        <w:t>Bildformat: 1381 × 660 Pixel. Die folgenden Positionen beziehen sich auf dieses vollständige Bild.</w:t>
      </w:r>
    </w:p>
    <w:p>
      <w:pPr>
        <w:pStyle w:val="Heading2"/>
      </w:pPr>
      <w:r>
        <w:t>1. Gesamtaufbau und sichtbarer Zustand</w:t>
      </w:r>
    </w:p>
    <w:p>
      <w:pPr>
        <w:pStyle w:val="Heading3"/>
      </w:pPr>
      <w:r>
        <w:t>Gesamtansicht</w:t>
      </w:r>
    </w:p>
    <w:p>
      <w:r>
        <w:t>Die Seite zeigt eine Verbrauchsübersicht mit Kennzahlenkarten oben und Diagrammen darunter. Links ist die globale Navigation sichtbar. Der Inhalt erstreckt sich über die übrige Bildschirmbreite.</w:t>
      </w:r>
    </w:p>
    <w:p>
      <w:pPr>
        <w:pStyle w:val="Heading3"/>
      </w:pPr>
      <w:r>
        <w:t>Filter und Kennzahlen oben</w:t>
      </w:r>
    </w:p>
    <w:p>
      <w:r>
        <w:t>Im oberen Bereich stehen die Filter Time Range, Units und Spaces. Darunter sind vier Kennzahlenbereiche nebeneinander angeordnet: Total CU Consumption, SAP HANA Cloud: Memory and Compute CU Consumption, SAP HANA Cloud: Disk Storage CU Consumption und Foundation Block: FB Consumption. Die Karten enthalten jeweils eine größere Kennzahl sowie kleinere Zeilen zum aktuellen und vorherigen Monat. Die numerischen Werte werden hier nicht wiedergegeben.</w:t>
      </w:r>
    </w:p>
    <w:p>
      <w:pPr>
        <w:pStyle w:val="Heading3"/>
      </w:pPr>
      <w:r>
        <w:t>Diagramme im mittleren Bereich</w:t>
      </w:r>
    </w:p>
    <w:p>
      <w:r>
        <w:t>Unter den Kennzahlen stehen Diagrammbereiche mit den Ansichten „Daily Consumption“ und „Cumulative Consumption“. Ein Balkendiagramm zeigt mehrere schmale blaue Säulen entlang einer horizontalen Zeitachse. Die Diagramme besitzen Überschriften, Achsenbeschriftungen und kleine Symbole rechts neben der jeweiligen Überschrift.</w:t>
      </w:r>
    </w:p>
    <w:p>
      <w:pPr>
        <w:pStyle w:val="Heading3"/>
      </w:pPr>
      <w:r>
        <w:t>Unterer Bereich</w:t>
      </w:r>
    </w:p>
    <w:p>
      <w:r>
        <w:t>Weiter unten beginnt ein zusätzlicher Diagrammbereich für den Speicherverbrauch. Der Screenshot zeigt davon nur den oberen Teil. Die Karten und Diagramme sind durch Abstände und helle Hintergrundflächen voneinander getrennt; es ist kein Dialog eingeblendet.</w:t>
      </w:r>
    </w:p>
    <w:p>
      <w:pPr>
        <w:pStyle w:val="Heading2"/>
      </w:pPr>
      <w:r>
        <w:t>2. Räumliche Beschreibung von oben nach unten</w:t>
      </w:r>
    </w:p>
    <w:p>
      <w:pPr>
        <w:pStyle w:val="Heading3"/>
      </w:pPr>
      <w:r>
        <w:t>Filterzeile</w:t>
      </w:r>
    </w:p>
    <w:p>
      <w:r>
        <w:rPr>
          <w:b/>
        </w:rPr>
        <w:t xml:space="preserve">Ungefähre Bildregion: </w:t>
      </w:r>
      <w:r>
        <w:t>x 16–97 %, y 12–19 %</w:t>
      </w:r>
    </w:p>
    <w:p>
      <w:r>
        <w:t>Time Range steht links, Units mittig und Spaces rechts. Die Felder liegen auf einer gemeinsamen horizontalen Linie.</w:t>
      </w:r>
    </w:p>
    <w:p>
      <w:pPr>
        <w:pStyle w:val="Heading3"/>
      </w:pPr>
      <w:r>
        <w:t>Vier Kennzahlenbereiche</w:t>
      </w:r>
    </w:p>
    <w:p>
      <w:r>
        <w:rPr>
          <w:b/>
        </w:rPr>
        <w:t xml:space="preserve">Ungefähre Bildregion: </w:t>
      </w:r>
      <w:r>
        <w:t>x 16–97 %, y 20–42 %</w:t>
      </w:r>
    </w:p>
    <w:p>
      <w:r>
        <w:t>Von links nach rechts: Gesamtverbrauch, HANA-Cloud-Arbeitsspeicher und Rechenleistung, HANA-Cloud-Festplattenspeicher und Foundation Block. Überschriften stehen jeweils über der großen Wertposition; darunter folgen kleinere Monatszeilen.</w:t>
      </w:r>
    </w:p>
    <w:p>
      <w:pPr>
        <w:pStyle w:val="Heading3"/>
      </w:pPr>
      <w:r>
        <w:t>Diagramme</w:t>
      </w:r>
    </w:p>
    <w:p>
      <w:r>
        <w:rPr>
          <w:b/>
        </w:rPr>
        <w:t xml:space="preserve">Ungefähre Bildregion: </w:t>
      </w:r>
      <w:r>
        <w:t>x 16–97 %, y 43–100 %</w:t>
      </w:r>
    </w:p>
    <w:p>
      <w:r>
        <w:t>Die Diagramme liegen untereinander. Daily Consumption und Cumulative Consumption stehen im jeweiligen Kopfbereich. Blaue Säulen stehen senkrecht auf einer horizontalen Achse. Der nächste Diagrammbereich beginnt am unteren Bildrand und ist nur teilweise zu sehen.</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Capacities</w:t>
            </w:r>
          </w:p>
        </w:tc>
        <w:tc>
          <w:tcPr>
            <w:tcW w:type="dxa" w:w="3005"/>
          </w:tcPr>
          <w:p>
            <w:pPr>
              <w:spacing w:after="40"/>
            </w:pPr>
            <w:r>
              <w:rPr>
                <w:sz w:val="18"/>
              </w:rPr>
              <w:t>x 160–209</w:t>
              <w:br/>
              <w:t>y 38–48</w:t>
            </w:r>
          </w:p>
        </w:tc>
        <w:tc>
          <w:tcPr>
            <w:tcW w:type="dxa" w:w="3402"/>
          </w:tcPr>
          <w:p>
            <w:pPr>
              <w:spacing w:after="40"/>
            </w:pPr>
            <w:r>
              <w:rPr>
                <w:sz w:val="18"/>
              </w:rPr>
              <w:t>oben, links</w:t>
              <w:br/>
              <w:t>x 11.6–15.1 %</w:t>
              <w:br/>
              <w:t>y 5.8–7.3 %</w:t>
            </w:r>
          </w:p>
        </w:tc>
      </w:tr>
      <w:tr>
        <w:trPr>
          <w:cantSplit/>
        </w:trPr>
        <w:tc>
          <w:tcPr>
            <w:tcW w:type="dxa" w:w="3288"/>
          </w:tcPr>
          <w:p>
            <w:pPr>
              <w:spacing w:after="40"/>
            </w:pPr>
            <w:r>
              <w:rPr>
                <w:sz w:val="18"/>
              </w:rPr>
              <w:t>Home</w:t>
            </w:r>
          </w:p>
        </w:tc>
        <w:tc>
          <w:tcPr>
            <w:tcW w:type="dxa" w:w="3005"/>
          </w:tcPr>
          <w:p>
            <w:pPr>
              <w:spacing w:after="40"/>
            </w:pPr>
            <w:r>
              <w:rPr>
                <w:sz w:val="18"/>
              </w:rPr>
              <w:t>x 34–60</w:t>
              <w:br/>
              <w:t>y 74–82</w:t>
            </w:r>
          </w:p>
        </w:tc>
        <w:tc>
          <w:tcPr>
            <w:tcW w:type="dxa" w:w="3402"/>
          </w:tcPr>
          <w:p>
            <w:pPr>
              <w:spacing w:after="40"/>
            </w:pPr>
            <w:r>
              <w:rPr>
                <w:sz w:val="18"/>
              </w:rPr>
              <w:t>oben, links</w:t>
              <w:br/>
              <w:t>x 2.5–4.4 %</w:t>
              <w:br/>
              <w:t>y 11.2–12.4 %</w:t>
            </w:r>
          </w:p>
        </w:tc>
      </w:tr>
      <w:tr>
        <w:trPr>
          <w:cantSplit/>
        </w:trPr>
        <w:tc>
          <w:tcPr>
            <w:tcW w:type="dxa" w:w="3288"/>
          </w:tcPr>
          <w:p>
            <w:pPr>
              <w:spacing w:after="40"/>
            </w:pPr>
            <w:r>
              <w:rPr>
                <w:sz w:val="18"/>
              </w:rPr>
              <w:t>Capacities</w:t>
            </w:r>
          </w:p>
        </w:tc>
        <w:tc>
          <w:tcPr>
            <w:tcW w:type="dxa" w:w="3005"/>
          </w:tcPr>
          <w:p>
            <w:pPr>
              <w:spacing w:after="40"/>
            </w:pPr>
            <w:r>
              <w:rPr>
                <w:sz w:val="18"/>
              </w:rPr>
              <w:t>x 219–308</w:t>
              <w:br/>
              <w:t>y 74–92</w:t>
            </w:r>
          </w:p>
        </w:tc>
        <w:tc>
          <w:tcPr>
            <w:tcW w:type="dxa" w:w="3402"/>
          </w:tcPr>
          <w:p>
            <w:pPr>
              <w:spacing w:after="40"/>
            </w:pPr>
            <w:r>
              <w:rPr>
                <w:sz w:val="18"/>
              </w:rPr>
              <w:t>oben, links</w:t>
              <w:br/>
              <w:t>x 15.9–22.3 %</w:t>
              <w:br/>
              <w:t>y 11.2–13.9 %</w:t>
            </w:r>
          </w:p>
        </w:tc>
      </w:tr>
      <w:tr>
        <w:trPr>
          <w:cantSplit/>
        </w:trPr>
        <w:tc>
          <w:tcPr>
            <w:tcW w:type="dxa" w:w="3288"/>
          </w:tcPr>
          <w:p>
            <w:pPr>
              <w:spacing w:after="40"/>
            </w:pPr>
            <w:r>
              <w:rPr>
                <w:sz w:val="18"/>
              </w:rPr>
              <w:t>Monitoring</w:t>
            </w:r>
          </w:p>
        </w:tc>
        <w:tc>
          <w:tcPr>
            <w:tcW w:type="dxa" w:w="3005"/>
          </w:tcPr>
          <w:p>
            <w:pPr>
              <w:spacing w:after="40"/>
            </w:pPr>
            <w:r>
              <w:rPr>
                <w:sz w:val="18"/>
              </w:rPr>
              <w:t>x 314–408</w:t>
              <w:br/>
              <w:t>y 74–92</w:t>
            </w:r>
          </w:p>
        </w:tc>
        <w:tc>
          <w:tcPr>
            <w:tcW w:type="dxa" w:w="3402"/>
          </w:tcPr>
          <w:p>
            <w:pPr>
              <w:spacing w:after="40"/>
            </w:pPr>
            <w:r>
              <w:rPr>
                <w:sz w:val="18"/>
              </w:rPr>
              <w:t>oben, links</w:t>
              <w:br/>
              <w:t>x 22.7–29.6 %</w:t>
              <w:br/>
              <w:t>y 11.2–13.9 %</w:t>
            </w:r>
          </w:p>
        </w:tc>
      </w:tr>
      <w:tr>
        <w:trPr>
          <w:cantSplit/>
        </w:trPr>
        <w:tc>
          <w:tcPr>
            <w:tcW w:type="dxa" w:w="3288"/>
          </w:tcPr>
          <w:p>
            <w:pPr>
              <w:spacing w:after="40"/>
            </w:pPr>
            <w:r>
              <w:rPr>
                <w:sz w:val="18"/>
              </w:rPr>
              <w:t>System</w:t>
            </w:r>
          </w:p>
        </w:tc>
        <w:tc>
          <w:tcPr>
            <w:tcW w:type="dxa" w:w="3005"/>
          </w:tcPr>
          <w:p>
            <w:pPr>
              <w:spacing w:after="40"/>
            </w:pPr>
            <w:r>
              <w:rPr>
                <w:sz w:val="18"/>
              </w:rPr>
              <w:t>x 1174–1206</w:t>
              <w:br/>
              <w:t>y 79–88</w:t>
            </w:r>
          </w:p>
        </w:tc>
        <w:tc>
          <w:tcPr>
            <w:tcW w:type="dxa" w:w="3402"/>
          </w:tcPr>
          <w:p>
            <w:pPr>
              <w:spacing w:after="40"/>
            </w:pPr>
            <w:r>
              <w:rPr>
                <w:sz w:val="18"/>
              </w:rPr>
              <w:t>oben, rechts</w:t>
              <w:br/>
              <w:t>x 85.0–87.3 %</w:t>
              <w:br/>
              <w:t>y 12.0–13.3 %</w:t>
            </w:r>
          </w:p>
        </w:tc>
      </w:tr>
      <w:tr>
        <w:trPr>
          <w:cantSplit/>
        </w:trPr>
        <w:tc>
          <w:tcPr>
            <w:tcW w:type="dxa" w:w="3288"/>
          </w:tcPr>
          <w:p>
            <w:pPr>
              <w:spacing w:after="40"/>
            </w:pPr>
            <w:r>
              <w:rPr>
                <w:sz w:val="18"/>
              </w:rPr>
              <w:t>Repository Explorer</w:t>
            </w:r>
          </w:p>
        </w:tc>
        <w:tc>
          <w:tcPr>
            <w:tcW w:type="dxa" w:w="3005"/>
          </w:tcPr>
          <w:p>
            <w:pPr>
              <w:spacing w:after="40"/>
            </w:pPr>
            <w:r>
              <w:rPr>
                <w:sz w:val="18"/>
              </w:rPr>
              <w:t>x 34–121</w:t>
              <w:br/>
              <w:t>y 100–110</w:t>
            </w:r>
          </w:p>
        </w:tc>
        <w:tc>
          <w:tcPr>
            <w:tcW w:type="dxa" w:w="3402"/>
          </w:tcPr>
          <w:p>
            <w:pPr>
              <w:spacing w:after="40"/>
            </w:pPr>
            <w:r>
              <w:rPr>
                <w:sz w:val="18"/>
              </w:rPr>
              <w:t>oben, links</w:t>
              <w:br/>
              <w:t>x 2.5–8.8 %</w:t>
              <w:br/>
              <w:t>y 15.2–16.7 %</w:t>
            </w:r>
          </w:p>
        </w:tc>
      </w:tr>
      <w:tr>
        <w:trPr>
          <w:cantSplit/>
        </w:trPr>
        <w:tc>
          <w:tcPr>
            <w:tcW w:type="dxa" w:w="3288"/>
          </w:tcPr>
          <w:p>
            <w:pPr>
              <w:spacing w:after="40"/>
            </w:pPr>
            <w:r>
              <w:rPr>
                <w:sz w:val="18"/>
              </w:rPr>
              <w:t>Monitoring</w:t>
            </w:r>
          </w:p>
        </w:tc>
        <w:tc>
          <w:tcPr>
            <w:tcW w:type="dxa" w:w="3005"/>
          </w:tcPr>
          <w:p>
            <w:pPr>
              <w:spacing w:after="40"/>
            </w:pPr>
            <w:r>
              <w:rPr>
                <w:sz w:val="18"/>
              </w:rPr>
              <w:t>x 34–82</w:t>
              <w:br/>
              <w:t>y 126–136</w:t>
            </w:r>
          </w:p>
        </w:tc>
        <w:tc>
          <w:tcPr>
            <w:tcW w:type="dxa" w:w="3402"/>
          </w:tcPr>
          <w:p>
            <w:pPr>
              <w:spacing w:after="40"/>
            </w:pPr>
            <w:r>
              <w:rPr>
                <w:sz w:val="18"/>
              </w:rPr>
              <w:t>oben, links</w:t>
              <w:br/>
              <w:t>x 2.5–5.9 %</w:t>
              <w:br/>
              <w:t>y 19.1–20.6 %</w:t>
            </w:r>
          </w:p>
        </w:tc>
      </w:tr>
      <w:tr>
        <w:trPr>
          <w:cantSplit/>
        </w:trPr>
        <w:tc>
          <w:tcPr>
            <w:tcW w:type="dxa" w:w="3288"/>
          </w:tcPr>
          <w:p>
            <w:pPr>
              <w:spacing w:after="40"/>
            </w:pPr>
            <w:r>
              <w:rPr>
                <w:sz w:val="18"/>
              </w:rPr>
              <w:t>Date and Time Range</w:t>
            </w:r>
          </w:p>
        </w:tc>
        <w:tc>
          <w:tcPr>
            <w:tcW w:type="dxa" w:w="3005"/>
          </w:tcPr>
          <w:p>
            <w:pPr>
              <w:spacing w:after="40"/>
            </w:pPr>
            <w:r>
              <w:rPr>
                <w:sz w:val="18"/>
              </w:rPr>
              <w:t>x 220–314</w:t>
              <w:br/>
              <w:t>y 118–127</w:t>
            </w:r>
          </w:p>
        </w:tc>
        <w:tc>
          <w:tcPr>
            <w:tcW w:type="dxa" w:w="3402"/>
          </w:tcPr>
          <w:p>
            <w:pPr>
              <w:spacing w:after="40"/>
            </w:pPr>
            <w:r>
              <w:rPr>
                <w:sz w:val="18"/>
              </w:rPr>
              <w:t>oben, links</w:t>
              <w:br/>
              <w:t>x 15.9–22.7 %</w:t>
              <w:br/>
              <w:t>y 17.8–19.2 %</w:t>
            </w:r>
          </w:p>
        </w:tc>
      </w:tr>
      <w:tr>
        <w:trPr>
          <w:cantSplit/>
        </w:trPr>
        <w:tc>
          <w:tcPr>
            <w:tcW w:type="dxa" w:w="3288"/>
          </w:tcPr>
          <w:p>
            <w:pPr>
              <w:spacing w:after="40"/>
            </w:pPr>
            <w:r>
              <w:rPr>
                <w:sz w:val="18"/>
              </w:rPr>
              <w:t>System and Spaces</w:t>
            </w:r>
          </w:p>
        </w:tc>
        <w:tc>
          <w:tcPr>
            <w:tcW w:type="dxa" w:w="3005"/>
          </w:tcPr>
          <w:p>
            <w:pPr>
              <w:spacing w:after="40"/>
            </w:pPr>
            <w:r>
              <w:rPr>
                <w:sz w:val="18"/>
              </w:rPr>
              <w:t>x 34–121</w:t>
              <w:br/>
              <w:t>y 152–162</w:t>
            </w:r>
          </w:p>
        </w:tc>
        <w:tc>
          <w:tcPr>
            <w:tcW w:type="dxa" w:w="3402"/>
          </w:tcPr>
          <w:p>
            <w:pPr>
              <w:spacing w:after="40"/>
            </w:pPr>
            <w:r>
              <w:rPr>
                <w:sz w:val="18"/>
              </w:rPr>
              <w:t>oben, links</w:t>
              <w:br/>
              <w:t>x 2.5–8.8 %</w:t>
              <w:br/>
              <w:t>y 23.0–24.5 %</w:t>
            </w:r>
          </w:p>
        </w:tc>
      </w:tr>
      <w:tr>
        <w:trPr>
          <w:cantSplit/>
        </w:trPr>
        <w:tc>
          <w:tcPr>
            <w:tcW w:type="dxa" w:w="3288"/>
          </w:tcPr>
          <w:p>
            <w:pPr>
              <w:spacing w:after="40"/>
            </w:pPr>
            <w:r>
              <w:rPr>
                <w:sz w:val="18"/>
              </w:rPr>
              <w:t>Units</w:t>
            </w:r>
          </w:p>
        </w:tc>
        <w:tc>
          <w:tcPr>
            <w:tcW w:type="dxa" w:w="3005"/>
          </w:tcPr>
          <w:p>
            <w:pPr>
              <w:spacing w:after="40"/>
            </w:pPr>
            <w:r>
              <w:rPr>
                <w:sz w:val="18"/>
              </w:rPr>
              <w:t>x 254–278</w:t>
              <w:br/>
              <w:t>y 177–184</w:t>
            </w:r>
          </w:p>
        </w:tc>
        <w:tc>
          <w:tcPr>
            <w:tcW w:type="dxa" w:w="3402"/>
          </w:tcPr>
          <w:p>
            <w:pPr>
              <w:spacing w:after="40"/>
            </w:pPr>
            <w:r>
              <w:rPr>
                <w:sz w:val="18"/>
              </w:rPr>
              <w:t>oben, links</w:t>
              <w:br/>
              <w:t>x 18.4–20.1 %</w:t>
              <w:br/>
              <w:t>y 26.8–27.9 %</w:t>
            </w:r>
          </w:p>
        </w:tc>
      </w:tr>
      <w:tr>
        <w:trPr>
          <w:cantSplit/>
        </w:trPr>
        <w:tc>
          <w:tcPr>
            <w:tcW w:type="dxa" w:w="3288"/>
          </w:tcPr>
          <w:p>
            <w:pPr>
              <w:spacing w:after="40"/>
            </w:pPr>
            <w:r>
              <w:rPr>
                <w:sz w:val="18"/>
              </w:rPr>
              <w:t>Spaces</w:t>
            </w:r>
          </w:p>
        </w:tc>
        <w:tc>
          <w:tcPr>
            <w:tcW w:type="dxa" w:w="3005"/>
          </w:tcPr>
          <w:p>
            <w:pPr>
              <w:spacing w:after="40"/>
            </w:pPr>
            <w:r>
              <w:rPr>
                <w:sz w:val="18"/>
              </w:rPr>
              <w:t>x 302–336</w:t>
              <w:br/>
              <w:t>y 176–186</w:t>
            </w:r>
          </w:p>
        </w:tc>
        <w:tc>
          <w:tcPr>
            <w:tcW w:type="dxa" w:w="3402"/>
          </w:tcPr>
          <w:p>
            <w:pPr>
              <w:spacing w:after="40"/>
            </w:pPr>
            <w:r>
              <w:rPr>
                <w:sz w:val="18"/>
              </w:rPr>
              <w:t>oben, links</w:t>
              <w:br/>
              <w:t>x 21.9–24.3 %</w:t>
              <w:br/>
              <w:t>y 26.7–28.2 %</w:t>
            </w:r>
          </w:p>
        </w:tc>
      </w:tr>
      <w:tr>
        <w:trPr>
          <w:cantSplit/>
        </w:trPr>
        <w:tc>
          <w:tcPr>
            <w:tcW w:type="dxa" w:w="3288"/>
          </w:tcPr>
          <w:p>
            <w:pPr>
              <w:spacing w:after="40"/>
            </w:pPr>
            <w:r>
              <w:rPr>
                <w:sz w:val="18"/>
              </w:rPr>
              <w:t>Task Logs</w:t>
            </w:r>
          </w:p>
        </w:tc>
        <w:tc>
          <w:tcPr>
            <w:tcW w:type="dxa" w:w="3005"/>
          </w:tcPr>
          <w:p>
            <w:pPr>
              <w:spacing w:after="40"/>
            </w:pPr>
            <w:r>
              <w:rPr>
                <w:sz w:val="18"/>
              </w:rPr>
              <w:t>x 34–77</w:t>
              <w:br/>
              <w:t>y 204–214</w:t>
            </w:r>
          </w:p>
        </w:tc>
        <w:tc>
          <w:tcPr>
            <w:tcW w:type="dxa" w:w="3402"/>
          </w:tcPr>
          <w:p>
            <w:pPr>
              <w:spacing w:after="40"/>
            </w:pPr>
            <w:r>
              <w:rPr>
                <w:sz w:val="18"/>
              </w:rPr>
              <w:t>oben, links</w:t>
              <w:br/>
              <w:t>x 2.5–5.6 %</w:t>
              <w:br/>
              <w:t>y 30.9–32.4 %</w:t>
            </w:r>
          </w:p>
        </w:tc>
      </w:tr>
      <w:tr>
        <w:trPr>
          <w:cantSplit/>
        </w:trPr>
        <w:tc>
          <w:tcPr>
            <w:tcW w:type="dxa" w:w="3288"/>
          </w:tcPr>
          <w:p>
            <w:pPr>
              <w:spacing w:after="40"/>
            </w:pPr>
            <w:r>
              <w:rPr>
                <w:sz w:val="18"/>
              </w:rPr>
              <w:t>Expensive Statement Logs</w:t>
            </w:r>
          </w:p>
        </w:tc>
        <w:tc>
          <w:tcPr>
            <w:tcW w:type="dxa" w:w="3005"/>
          </w:tcPr>
          <w:p>
            <w:pPr>
              <w:spacing w:after="40"/>
            </w:pPr>
            <w:r>
              <w:rPr>
                <w:sz w:val="18"/>
              </w:rPr>
              <w:t>x 34–152</w:t>
              <w:br/>
              <w:t>y 230–240</w:t>
            </w:r>
          </w:p>
        </w:tc>
        <w:tc>
          <w:tcPr>
            <w:tcW w:type="dxa" w:w="3402"/>
          </w:tcPr>
          <w:p>
            <w:pPr>
              <w:spacing w:after="40"/>
            </w:pPr>
            <w:r>
              <w:rPr>
                <w:sz w:val="18"/>
              </w:rPr>
              <w:t>auf mittlerer Höhe, links</w:t>
              <w:br/>
              <w:t>x 2.5–11.0 %</w:t>
              <w:br/>
              <w:t>y 34.8–36.4 %</w:t>
            </w:r>
          </w:p>
        </w:tc>
      </w:tr>
      <w:tr>
        <w:trPr>
          <w:cantSplit/>
        </w:trPr>
        <w:tc>
          <w:tcPr>
            <w:tcW w:type="dxa" w:w="3288"/>
          </w:tcPr>
          <w:p>
            <w:pPr>
              <w:spacing w:after="40"/>
            </w:pPr>
            <w:r>
              <w:rPr>
                <w:sz w:val="18"/>
              </w:rPr>
              <w:t>SAP HANA Cloud:</w:t>
            </w:r>
          </w:p>
        </w:tc>
        <w:tc>
          <w:tcPr>
            <w:tcW w:type="dxa" w:w="3005"/>
          </w:tcPr>
          <w:p>
            <w:pPr>
              <w:spacing w:after="40"/>
            </w:pPr>
            <w:r>
              <w:rPr>
                <w:sz w:val="18"/>
              </w:rPr>
              <w:t>x 512–594</w:t>
              <w:br/>
              <w:t>y 234–241</w:t>
            </w:r>
          </w:p>
        </w:tc>
        <w:tc>
          <w:tcPr>
            <w:tcW w:type="dxa" w:w="3402"/>
          </w:tcPr>
          <w:p>
            <w:pPr>
              <w:spacing w:after="40"/>
            </w:pPr>
            <w:r>
              <w:rPr>
                <w:sz w:val="18"/>
              </w:rPr>
              <w:t>auf mittlerer Höhe, mittig</w:t>
              <w:br/>
              <w:t>x 37.1–43.0 %</w:t>
              <w:br/>
              <w:t>y 35.4–36.5 %</w:t>
            </w:r>
          </w:p>
        </w:tc>
      </w:tr>
      <w:tr>
        <w:trPr>
          <w:cantSplit/>
        </w:trPr>
        <w:tc>
          <w:tcPr>
            <w:tcW w:type="dxa" w:w="3288"/>
          </w:tcPr>
          <w:p>
            <w:pPr>
              <w:spacing w:after="40"/>
            </w:pPr>
            <w:r>
              <w:rPr>
                <w:sz w:val="18"/>
              </w:rPr>
              <w:t>SAP HANA Cloud:</w:t>
            </w:r>
          </w:p>
        </w:tc>
        <w:tc>
          <w:tcPr>
            <w:tcW w:type="dxa" w:w="3005"/>
          </w:tcPr>
          <w:p>
            <w:pPr>
              <w:spacing w:after="40"/>
            </w:pPr>
            <w:r>
              <w:rPr>
                <w:sz w:val="18"/>
              </w:rPr>
              <w:t>x 754–836</w:t>
              <w:br/>
              <w:t>y 234–241</w:t>
            </w:r>
          </w:p>
        </w:tc>
        <w:tc>
          <w:tcPr>
            <w:tcW w:type="dxa" w:w="3402"/>
          </w:tcPr>
          <w:p>
            <w:pPr>
              <w:spacing w:after="40"/>
            </w:pPr>
            <w:r>
              <w:rPr>
                <w:sz w:val="18"/>
              </w:rPr>
              <w:t>auf mittlerer Höhe, mittig</w:t>
              <w:br/>
              <w:t>x 54.6–60.5 %</w:t>
              <w:br/>
              <w:t>y 35.4–36.5 %</w:t>
            </w:r>
          </w:p>
        </w:tc>
      </w:tr>
      <w:tr>
        <w:trPr>
          <w:cantSplit/>
        </w:trPr>
        <w:tc>
          <w:tcPr>
            <w:tcW w:type="dxa" w:w="3288"/>
          </w:tcPr>
          <w:p>
            <w:pPr>
              <w:spacing w:after="40"/>
            </w:pPr>
            <w:r>
              <w:rPr>
                <w:sz w:val="18"/>
              </w:rPr>
              <w:t>Disk Storage</w:t>
            </w:r>
          </w:p>
        </w:tc>
        <w:tc>
          <w:tcPr>
            <w:tcW w:type="dxa" w:w="3005"/>
          </w:tcPr>
          <w:p>
            <w:pPr>
              <w:spacing w:after="40"/>
            </w:pPr>
            <w:r>
              <w:rPr>
                <w:sz w:val="18"/>
              </w:rPr>
              <w:t>x 843–902</w:t>
              <w:br/>
              <w:t>y 234–243</w:t>
            </w:r>
          </w:p>
        </w:tc>
        <w:tc>
          <w:tcPr>
            <w:tcW w:type="dxa" w:w="3402"/>
          </w:tcPr>
          <w:p>
            <w:pPr>
              <w:spacing w:after="40"/>
            </w:pPr>
            <w:r>
              <w:rPr>
                <w:sz w:val="18"/>
              </w:rPr>
              <w:t>auf mittlerer Höhe, mittig</w:t>
              <w:br/>
              <w:t>x 61.0–65.3 %</w:t>
              <w:br/>
              <w:t>y 35.4–36.8 %</w:t>
            </w:r>
          </w:p>
        </w:tc>
      </w:tr>
      <w:tr>
        <w:trPr>
          <w:cantSplit/>
        </w:trPr>
        <w:tc>
          <w:tcPr>
            <w:tcW w:type="dxa" w:w="3288"/>
          </w:tcPr>
          <w:p>
            <w:pPr>
              <w:spacing w:after="40"/>
            </w:pPr>
            <w:r>
              <w:rPr>
                <w:sz w:val="18"/>
              </w:rPr>
              <w:t>Foundation Block:</w:t>
            </w:r>
          </w:p>
        </w:tc>
        <w:tc>
          <w:tcPr>
            <w:tcW w:type="dxa" w:w="3005"/>
          </w:tcPr>
          <w:p>
            <w:pPr>
              <w:spacing w:after="40"/>
            </w:pPr>
            <w:r>
              <w:rPr>
                <w:sz w:val="18"/>
              </w:rPr>
              <w:t>x 994–1082</w:t>
              <w:br/>
              <w:t>y 234–241</w:t>
            </w:r>
          </w:p>
        </w:tc>
        <w:tc>
          <w:tcPr>
            <w:tcW w:type="dxa" w:w="3402"/>
          </w:tcPr>
          <w:p>
            <w:pPr>
              <w:spacing w:after="40"/>
            </w:pPr>
            <w:r>
              <w:rPr>
                <w:sz w:val="18"/>
              </w:rPr>
              <w:t>auf mittlerer Höhe, rechts</w:t>
              <w:br/>
              <w:t>x 72.0–78.3 %</w:t>
              <w:br/>
              <w:t>y 35.4–36.5 %</w:t>
            </w:r>
          </w:p>
        </w:tc>
      </w:tr>
      <w:tr>
        <w:trPr>
          <w:cantSplit/>
        </w:trPr>
        <w:tc>
          <w:tcPr>
            <w:tcW w:type="dxa" w:w="3288"/>
          </w:tcPr>
          <w:p>
            <w:pPr>
              <w:spacing w:after="40"/>
            </w:pPr>
            <w:r>
              <w:rPr>
                <w:sz w:val="18"/>
              </w:rPr>
              <w:t>Total CU Consumption</w:t>
            </w:r>
          </w:p>
        </w:tc>
        <w:tc>
          <w:tcPr>
            <w:tcW w:type="dxa" w:w="3005"/>
          </w:tcPr>
          <w:p>
            <w:pPr>
              <w:spacing w:after="40"/>
            </w:pPr>
            <w:r>
              <w:rPr>
                <w:sz w:val="18"/>
              </w:rPr>
              <w:t>x 271–379</w:t>
              <w:br/>
              <w:t>y 236–246</w:t>
            </w:r>
          </w:p>
        </w:tc>
        <w:tc>
          <w:tcPr>
            <w:tcW w:type="dxa" w:w="3402"/>
          </w:tcPr>
          <w:p>
            <w:pPr>
              <w:spacing w:after="40"/>
            </w:pPr>
            <w:r>
              <w:rPr>
                <w:sz w:val="18"/>
              </w:rPr>
              <w:t>auf mittlerer Höhe, links</w:t>
              <w:br/>
              <w:t>x 19.6–27.4 %</w:t>
              <w:br/>
              <w:t>y 35.8–37.3 %</w:t>
            </w:r>
          </w:p>
        </w:tc>
      </w:tr>
      <w:tr>
        <w:trPr>
          <w:cantSplit/>
        </w:trPr>
        <w:tc>
          <w:tcPr>
            <w:tcW w:type="dxa" w:w="3288"/>
          </w:tcPr>
          <w:p>
            <w:pPr>
              <w:spacing w:after="40"/>
            </w:pPr>
            <w:r>
              <w:rPr>
                <w:sz w:val="18"/>
              </w:rPr>
              <w:t>CU Consumption</w:t>
            </w:r>
          </w:p>
        </w:tc>
        <w:tc>
          <w:tcPr>
            <w:tcW w:type="dxa" w:w="3005"/>
          </w:tcPr>
          <w:p>
            <w:pPr>
              <w:spacing w:after="40"/>
            </w:pPr>
            <w:r>
              <w:rPr>
                <w:sz w:val="18"/>
              </w:rPr>
              <w:t>x 559–640</w:t>
              <w:br/>
              <w:t>y 245–255</w:t>
            </w:r>
          </w:p>
        </w:tc>
        <w:tc>
          <w:tcPr>
            <w:tcW w:type="dxa" w:w="3402"/>
          </w:tcPr>
          <w:p>
            <w:pPr>
              <w:spacing w:after="40"/>
            </w:pPr>
            <w:r>
              <w:rPr>
                <w:sz w:val="18"/>
              </w:rPr>
              <w:t>auf mittlerer Höhe, mittig</w:t>
              <w:br/>
              <w:t>x 40.5–46.3 %</w:t>
              <w:br/>
              <w:t>y 37.1–38.6 %</w:t>
            </w:r>
          </w:p>
        </w:tc>
      </w:tr>
      <w:tr>
        <w:trPr>
          <w:cantSplit/>
        </w:trPr>
        <w:tc>
          <w:tcPr>
            <w:tcW w:type="dxa" w:w="3288"/>
          </w:tcPr>
          <w:p>
            <w:pPr>
              <w:spacing w:after="40"/>
            </w:pPr>
            <w:r>
              <w:rPr>
                <w:sz w:val="18"/>
              </w:rPr>
              <w:t>CU Consumption</w:t>
            </w:r>
          </w:p>
        </w:tc>
        <w:tc>
          <w:tcPr>
            <w:tcW w:type="dxa" w:w="3005"/>
          </w:tcPr>
          <w:p>
            <w:pPr>
              <w:spacing w:after="40"/>
            </w:pPr>
            <w:r>
              <w:rPr>
                <w:sz w:val="18"/>
              </w:rPr>
              <w:t>x 753–835</w:t>
              <w:br/>
              <w:t>y 245–255</w:t>
            </w:r>
          </w:p>
        </w:tc>
        <w:tc>
          <w:tcPr>
            <w:tcW w:type="dxa" w:w="3402"/>
          </w:tcPr>
          <w:p>
            <w:pPr>
              <w:spacing w:after="40"/>
            </w:pPr>
            <w:r>
              <w:rPr>
                <w:sz w:val="18"/>
              </w:rPr>
              <w:t>auf mittlerer Höhe, mittig</w:t>
              <w:br/>
              <w:t>x 54.5–60.5 %</w:t>
              <w:br/>
              <w:t>y 37.1–38.6 %</w:t>
            </w:r>
          </w:p>
        </w:tc>
      </w:tr>
      <w:tr>
        <w:trPr>
          <w:cantSplit/>
        </w:trPr>
        <w:tc>
          <w:tcPr>
            <w:tcW w:type="dxa" w:w="3288"/>
          </w:tcPr>
          <w:p>
            <w:pPr>
              <w:spacing w:after="40"/>
            </w:pPr>
            <w:r>
              <w:rPr>
                <w:sz w:val="18"/>
              </w:rPr>
              <w:t>FB Consumption</w:t>
            </w:r>
          </w:p>
        </w:tc>
        <w:tc>
          <w:tcPr>
            <w:tcW w:type="dxa" w:w="3005"/>
          </w:tcPr>
          <w:p>
            <w:pPr>
              <w:spacing w:after="40"/>
            </w:pPr>
            <w:r>
              <w:rPr>
                <w:sz w:val="18"/>
              </w:rPr>
              <w:t>x 964–1058</w:t>
              <w:br/>
              <w:t>y 244–255</w:t>
            </w:r>
          </w:p>
        </w:tc>
        <w:tc>
          <w:tcPr>
            <w:tcW w:type="dxa" w:w="3402"/>
          </w:tcPr>
          <w:p>
            <w:pPr>
              <w:spacing w:after="40"/>
            </w:pPr>
            <w:r>
              <w:rPr>
                <w:sz w:val="18"/>
              </w:rPr>
              <w:t>auf mittlerer Höhe, rechts</w:t>
              <w:br/>
              <w:t>x 69.8–76.6 %</w:t>
              <w:br/>
              <w:t>y 36.9–38.6 %</w:t>
            </w:r>
          </w:p>
        </w:tc>
      </w:tr>
      <w:tr>
        <w:trPr>
          <w:cantSplit/>
        </w:trPr>
        <w:tc>
          <w:tcPr>
            <w:tcW w:type="dxa" w:w="3288"/>
          </w:tcPr>
          <w:p>
            <w:pPr>
              <w:spacing w:after="40"/>
            </w:pPr>
            <w:r>
              <w:rPr>
                <w:sz w:val="18"/>
              </w:rPr>
              <w:t>Elastic Compute Nodes</w:t>
            </w:r>
          </w:p>
        </w:tc>
        <w:tc>
          <w:tcPr>
            <w:tcW w:type="dxa" w:w="3005"/>
          </w:tcPr>
          <w:p>
            <w:pPr>
              <w:spacing w:after="40"/>
            </w:pPr>
            <w:r>
              <w:rPr>
                <w:sz w:val="18"/>
              </w:rPr>
              <w:t>x 34–138</w:t>
              <w:br/>
              <w:t>y 256–266</w:t>
            </w:r>
          </w:p>
        </w:tc>
        <w:tc>
          <w:tcPr>
            <w:tcW w:type="dxa" w:w="3402"/>
          </w:tcPr>
          <w:p>
            <w:pPr>
              <w:spacing w:after="40"/>
            </w:pPr>
            <w:r>
              <w:rPr>
                <w:sz w:val="18"/>
              </w:rPr>
              <w:t>auf mittlerer Höhe, links</w:t>
              <w:br/>
              <w:t>x 2.5–10.0 %</w:t>
              <w:br/>
              <w:t>y 38.8–40.2 %</w:t>
            </w:r>
          </w:p>
        </w:tc>
      </w:tr>
      <w:tr>
        <w:trPr>
          <w:cantSplit/>
        </w:trPr>
        <w:tc>
          <w:tcPr>
            <w:tcW w:type="dxa" w:w="3288"/>
          </w:tcPr>
          <w:p>
            <w:pPr>
              <w:spacing w:after="40"/>
            </w:pPr>
            <w:r>
              <w:rPr>
                <w:sz w:val="18"/>
              </w:rPr>
              <w:t>Data Integration</w:t>
            </w:r>
          </w:p>
        </w:tc>
        <w:tc>
          <w:tcPr>
            <w:tcW w:type="dxa" w:w="3005"/>
          </w:tcPr>
          <w:p>
            <w:pPr>
              <w:spacing w:after="40"/>
            </w:pPr>
            <w:r>
              <w:rPr>
                <w:sz w:val="18"/>
              </w:rPr>
              <w:t>x 34–105</w:t>
              <w:br/>
              <w:t>y 282–292</w:t>
            </w:r>
          </w:p>
        </w:tc>
        <w:tc>
          <w:tcPr>
            <w:tcW w:type="dxa" w:w="3402"/>
          </w:tcPr>
          <w:p>
            <w:pPr>
              <w:spacing w:after="40"/>
            </w:pPr>
            <w:r>
              <w:rPr>
                <w:sz w:val="18"/>
              </w:rPr>
              <w:t>auf mittlerer Höhe, links</w:t>
              <w:br/>
              <w:t>x 2.5–7.6 %</w:t>
              <w:br/>
              <w:t>y 42.7–44.2 %</w:t>
            </w:r>
          </w:p>
        </w:tc>
      </w:tr>
      <w:tr>
        <w:trPr>
          <w:cantSplit/>
        </w:trPr>
        <w:tc>
          <w:tcPr>
            <w:tcW w:type="dxa" w:w="3288"/>
          </w:tcPr>
          <w:p>
            <w:pPr>
              <w:spacing w:after="40"/>
            </w:pPr>
            <w:r>
              <w:rPr>
                <w:sz w:val="18"/>
              </w:rPr>
              <w:t>Consumption last month</w:t>
            </w:r>
          </w:p>
        </w:tc>
        <w:tc>
          <w:tcPr>
            <w:tcW w:type="dxa" w:w="3005"/>
          </w:tcPr>
          <w:p>
            <w:pPr>
              <w:spacing w:after="40"/>
            </w:pPr>
            <w:r>
              <w:rPr>
                <w:sz w:val="18"/>
              </w:rPr>
              <w:t>x 231–339</w:t>
              <w:br/>
              <w:t>y 336–346</w:t>
            </w:r>
          </w:p>
        </w:tc>
        <w:tc>
          <w:tcPr>
            <w:tcW w:type="dxa" w:w="3402"/>
          </w:tcPr>
          <w:p>
            <w:pPr>
              <w:spacing w:after="40"/>
            </w:pPr>
            <w:r>
              <w:rPr>
                <w:sz w:val="18"/>
              </w:rPr>
              <w:t>auf mittlerer Höhe, links</w:t>
              <w:br/>
              <w:t>x 16.7–24.5 %</w:t>
              <w:br/>
              <w:t>y 50.9–52.3 %</w:t>
            </w:r>
          </w:p>
        </w:tc>
      </w:tr>
      <w:tr>
        <w:trPr>
          <w:cantSplit/>
        </w:trPr>
        <w:tc>
          <w:tcPr>
            <w:tcW w:type="dxa" w:w="3288"/>
          </w:tcPr>
          <w:p>
            <w:pPr>
              <w:spacing w:after="40"/>
            </w:pPr>
            <w:r>
              <w:rPr>
                <w:sz w:val="18"/>
              </w:rPr>
              <w:t>Consumption this month.</w:t>
            </w:r>
          </w:p>
        </w:tc>
        <w:tc>
          <w:tcPr>
            <w:tcW w:type="dxa" w:w="3005"/>
          </w:tcPr>
          <w:p>
            <w:pPr>
              <w:spacing w:after="40"/>
            </w:pPr>
            <w:r>
              <w:rPr>
                <w:sz w:val="18"/>
              </w:rPr>
              <w:t>x 472–580</w:t>
              <w:br/>
              <w:t>y 330–340</w:t>
            </w:r>
          </w:p>
        </w:tc>
        <w:tc>
          <w:tcPr>
            <w:tcW w:type="dxa" w:w="3402"/>
          </w:tcPr>
          <w:p>
            <w:pPr>
              <w:spacing w:after="40"/>
            </w:pPr>
            <w:r>
              <w:rPr>
                <w:sz w:val="18"/>
              </w:rPr>
              <w:t>auf mittlerer Höhe, mittig</w:t>
              <w:br/>
              <w:t>x 34.2–42.0 %</w:t>
              <w:br/>
              <w:t>y 50.0–51.5 %</w:t>
            </w:r>
          </w:p>
        </w:tc>
      </w:tr>
      <w:tr>
        <w:trPr>
          <w:cantSplit/>
        </w:trPr>
        <w:tc>
          <w:tcPr>
            <w:tcW w:type="dxa" w:w="3288"/>
          </w:tcPr>
          <w:p>
            <w:pPr>
              <w:spacing w:after="40"/>
            </w:pPr>
            <w:r>
              <w:rPr>
                <w:sz w:val="18"/>
              </w:rPr>
              <w:t>Consumption last month:</w:t>
            </w:r>
          </w:p>
        </w:tc>
        <w:tc>
          <w:tcPr>
            <w:tcW w:type="dxa" w:w="3005"/>
          </w:tcPr>
          <w:p>
            <w:pPr>
              <w:spacing w:after="40"/>
            </w:pPr>
            <w:r>
              <w:rPr>
                <w:sz w:val="18"/>
              </w:rPr>
              <w:t>x 472–580</w:t>
              <w:br/>
              <w:t>y 342–351</w:t>
            </w:r>
          </w:p>
        </w:tc>
        <w:tc>
          <w:tcPr>
            <w:tcW w:type="dxa" w:w="3402"/>
          </w:tcPr>
          <w:p>
            <w:pPr>
              <w:spacing w:after="40"/>
            </w:pPr>
            <w:r>
              <w:rPr>
                <w:sz w:val="18"/>
              </w:rPr>
              <w:t>auf mittlerer Höhe, mittig</w:t>
              <w:br/>
              <w:t>x 34.2–42.0 %</w:t>
              <w:br/>
              <w:t>y 51.8–53.2 %</w:t>
            </w:r>
          </w:p>
        </w:tc>
      </w:tr>
      <w:tr>
        <w:trPr>
          <w:cantSplit/>
        </w:trPr>
        <w:tc>
          <w:tcPr>
            <w:tcW w:type="dxa" w:w="3288"/>
          </w:tcPr>
          <w:p>
            <w:pPr>
              <w:spacing w:after="40"/>
            </w:pPr>
            <w:r>
              <w:rPr>
                <w:sz w:val="18"/>
              </w:rPr>
              <w:t>Consumption this month.</w:t>
            </w:r>
          </w:p>
        </w:tc>
        <w:tc>
          <w:tcPr>
            <w:tcW w:type="dxa" w:w="3005"/>
          </w:tcPr>
          <w:p>
            <w:pPr>
              <w:spacing w:after="40"/>
            </w:pPr>
            <w:r>
              <w:rPr>
                <w:sz w:val="18"/>
              </w:rPr>
              <w:t>x 954–1062</w:t>
              <w:br/>
              <w:t>y 330–340</w:t>
            </w:r>
          </w:p>
        </w:tc>
        <w:tc>
          <w:tcPr>
            <w:tcW w:type="dxa" w:w="3402"/>
          </w:tcPr>
          <w:p>
            <w:pPr>
              <w:spacing w:after="40"/>
            </w:pPr>
            <w:r>
              <w:rPr>
                <w:sz w:val="18"/>
              </w:rPr>
              <w:t>auf mittlerer Höhe, rechts</w:t>
              <w:br/>
              <w:t>x 69.1–76.9 %</w:t>
              <w:br/>
              <w:t>y 50.0–51.5 %</w:t>
            </w:r>
          </w:p>
        </w:tc>
      </w:tr>
      <w:tr>
        <w:trPr>
          <w:cantSplit/>
        </w:trPr>
        <w:tc>
          <w:tcPr>
            <w:tcW w:type="dxa" w:w="3288"/>
          </w:tcPr>
          <w:p>
            <w:pPr>
              <w:spacing w:after="40"/>
            </w:pPr>
            <w:r>
              <w:rPr>
                <w:sz w:val="18"/>
              </w:rPr>
              <w:t>Apps</w:t>
            </w:r>
          </w:p>
        </w:tc>
        <w:tc>
          <w:tcPr>
            <w:tcW w:type="dxa" w:w="3005"/>
          </w:tcPr>
          <w:p>
            <w:pPr>
              <w:spacing w:after="40"/>
            </w:pPr>
            <w:r>
              <w:rPr>
                <w:sz w:val="18"/>
              </w:rPr>
              <w:t>x 17–39</w:t>
              <w:br/>
              <w:t>y 353–362</w:t>
            </w:r>
          </w:p>
        </w:tc>
        <w:tc>
          <w:tcPr>
            <w:tcW w:type="dxa" w:w="3402"/>
          </w:tcPr>
          <w:p>
            <w:pPr>
              <w:spacing w:after="40"/>
            </w:pPr>
            <w:r>
              <w:rPr>
                <w:sz w:val="18"/>
              </w:rPr>
              <w:t>auf mittlerer Höhe, links</w:t>
              <w:br/>
              <w:t>x 1.2–2.8 %</w:t>
              <w:br/>
              <w:t>y 53.5–54.8 %</w:t>
            </w:r>
          </w:p>
        </w:tc>
      </w:tr>
      <w:tr>
        <w:trPr>
          <w:cantSplit/>
        </w:trPr>
        <w:tc>
          <w:tcPr>
            <w:tcW w:type="dxa" w:w="3288"/>
          </w:tcPr>
          <w:p>
            <w:pPr>
              <w:spacing w:after="40"/>
            </w:pPr>
            <w:r>
              <w:rPr>
                <w:sz w:val="18"/>
              </w:rPr>
              <w:t>Semantic Onboarding</w:t>
            </w:r>
          </w:p>
        </w:tc>
        <w:tc>
          <w:tcPr>
            <w:tcW w:type="dxa" w:w="3005"/>
          </w:tcPr>
          <w:p>
            <w:pPr>
              <w:spacing w:after="40"/>
            </w:pPr>
            <w:r>
              <w:rPr>
                <w:sz w:val="18"/>
              </w:rPr>
              <w:t>x 34–130</w:t>
              <w:br/>
              <w:t>y 378–388</w:t>
            </w:r>
          </w:p>
        </w:tc>
        <w:tc>
          <w:tcPr>
            <w:tcW w:type="dxa" w:w="3402"/>
          </w:tcPr>
          <w:p>
            <w:pPr>
              <w:spacing w:after="40"/>
            </w:pPr>
            <w:r>
              <w:rPr>
                <w:sz w:val="18"/>
              </w:rPr>
              <w:t>auf mittlerer Höhe, links</w:t>
              <w:br/>
              <w:t>x 2.5–9.4 %</w:t>
              <w:br/>
              <w:t>y 57.3–58.8 %</w:t>
            </w:r>
          </w:p>
        </w:tc>
      </w:tr>
      <w:tr>
        <w:trPr>
          <w:cantSplit/>
        </w:trPr>
        <w:tc>
          <w:tcPr>
            <w:tcW w:type="dxa" w:w="3288"/>
          </w:tcPr>
          <w:p>
            <w:pPr>
              <w:spacing w:after="40"/>
            </w:pPr>
            <w:r>
              <w:rPr>
                <w:sz w:val="18"/>
              </w:rPr>
              <w:t>(Total</w:t>
            </w:r>
          </w:p>
        </w:tc>
        <w:tc>
          <w:tcPr>
            <w:tcW w:type="dxa" w:w="3005"/>
          </w:tcPr>
          <w:p>
            <w:pPr>
              <w:spacing w:after="40"/>
            </w:pPr>
            <w:r>
              <w:rPr>
                <w:sz w:val="18"/>
              </w:rPr>
              <w:t>x 231–260</w:t>
              <w:br/>
              <w:t>y 400–418</w:t>
            </w:r>
          </w:p>
        </w:tc>
        <w:tc>
          <w:tcPr>
            <w:tcW w:type="dxa" w:w="3402"/>
          </w:tcPr>
          <w:p>
            <w:pPr>
              <w:spacing w:after="40"/>
            </w:pPr>
            <w:r>
              <w:rPr>
                <w:sz w:val="18"/>
              </w:rPr>
              <w:t>auf mittlerer Höhe, links</w:t>
              <w:br/>
              <w:t>x 16.7–18.8 %</w:t>
              <w:br/>
              <w:t>y 60.6–63.3 %</w:t>
            </w:r>
          </w:p>
        </w:tc>
      </w:tr>
      <w:tr>
        <w:trPr>
          <w:cantSplit/>
        </w:trPr>
        <w:tc>
          <w:tcPr>
            <w:tcW w:type="dxa" w:w="3288"/>
          </w:tcPr>
          <w:p>
            <w:pPr>
              <w:spacing w:after="40"/>
            </w:pPr>
            <w:r>
              <w:rPr>
                <w:sz w:val="18"/>
              </w:rPr>
              <w:t>Daily Consumption</w:t>
            </w:r>
          </w:p>
        </w:tc>
        <w:tc>
          <w:tcPr>
            <w:tcW w:type="dxa" w:w="3005"/>
          </w:tcPr>
          <w:p>
            <w:pPr>
              <w:spacing w:after="40"/>
            </w:pPr>
            <w:r>
              <w:rPr>
                <w:sz w:val="18"/>
              </w:rPr>
              <w:t>x 281–370</w:t>
              <w:br/>
              <w:t>y 398–420</w:t>
            </w:r>
          </w:p>
        </w:tc>
        <w:tc>
          <w:tcPr>
            <w:tcW w:type="dxa" w:w="3402"/>
          </w:tcPr>
          <w:p>
            <w:pPr>
              <w:spacing w:after="40"/>
            </w:pPr>
            <w:r>
              <w:rPr>
                <w:sz w:val="18"/>
              </w:rPr>
              <w:t>auf mittlerer Höhe, links</w:t>
              <w:br/>
              <w:t>x 20.3–26.8 %</w:t>
              <w:br/>
              <w:t>y 60.3–63.6 %</w:t>
            </w:r>
          </w:p>
        </w:tc>
      </w:tr>
      <w:tr>
        <w:trPr>
          <w:cantSplit/>
        </w:trPr>
        <w:tc>
          <w:tcPr>
            <w:tcW w:type="dxa" w:w="3288"/>
          </w:tcPr>
          <w:p>
            <w:pPr>
              <w:spacing w:after="40"/>
            </w:pPr>
            <w:r>
              <w:rPr>
                <w:sz w:val="18"/>
              </w:rPr>
              <w:t>Business Builder</w:t>
            </w:r>
          </w:p>
        </w:tc>
        <w:tc>
          <w:tcPr>
            <w:tcW w:type="dxa" w:w="3005"/>
          </w:tcPr>
          <w:p>
            <w:pPr>
              <w:spacing w:after="40"/>
            </w:pPr>
            <w:r>
              <w:rPr>
                <w:sz w:val="18"/>
              </w:rPr>
              <w:t>x 34–108</w:t>
              <w:br/>
              <w:t>y 404–412</w:t>
            </w:r>
          </w:p>
        </w:tc>
        <w:tc>
          <w:tcPr>
            <w:tcW w:type="dxa" w:w="3402"/>
          </w:tcPr>
          <w:p>
            <w:pPr>
              <w:spacing w:after="40"/>
            </w:pPr>
            <w:r>
              <w:rPr>
                <w:sz w:val="18"/>
              </w:rPr>
              <w:t>auf mittlerer Höhe, links</w:t>
              <w:br/>
              <w:t>x 2.5–7.8 %</w:t>
              <w:br/>
              <w:t>y 61.3–62.4 %</w:t>
            </w:r>
          </w:p>
        </w:tc>
      </w:tr>
      <w:tr>
        <w:trPr>
          <w:cantSplit/>
        </w:trPr>
        <w:tc>
          <w:tcPr>
            <w:tcW w:type="dxa" w:w="3288"/>
          </w:tcPr>
          <w:p>
            <w:pPr>
              <w:spacing w:after="40"/>
            </w:pPr>
            <w:r>
              <w:rPr>
                <w:sz w:val="18"/>
              </w:rPr>
              <w:t>Cumulative Consumption</w:t>
            </w:r>
          </w:p>
        </w:tc>
        <w:tc>
          <w:tcPr>
            <w:tcW w:type="dxa" w:w="3005"/>
          </w:tcPr>
          <w:p>
            <w:pPr>
              <w:spacing w:after="40"/>
            </w:pPr>
            <w:r>
              <w:rPr>
                <w:sz w:val="18"/>
              </w:rPr>
              <w:t>x 392–513</w:t>
              <w:br/>
              <w:t>y 405–415</w:t>
            </w:r>
          </w:p>
        </w:tc>
        <w:tc>
          <w:tcPr>
            <w:tcW w:type="dxa" w:w="3402"/>
          </w:tcPr>
          <w:p>
            <w:pPr>
              <w:spacing w:after="40"/>
            </w:pPr>
            <w:r>
              <w:rPr>
                <w:sz w:val="18"/>
              </w:rPr>
              <w:t>auf mittlerer Höhe, links</w:t>
              <w:br/>
              <w:t>x 28.4–37.1 %</w:t>
              <w:br/>
              <w:t>y 61.4–62.9 %</w:t>
            </w:r>
          </w:p>
        </w:tc>
      </w:tr>
      <w:tr>
        <w:trPr>
          <w:cantSplit/>
        </w:trPr>
        <w:tc>
          <w:tcPr>
            <w:tcW w:type="dxa" w:w="3288"/>
          </w:tcPr>
          <w:p>
            <w:pPr>
              <w:spacing w:after="40"/>
            </w:pPr>
            <w:r>
              <w:rPr>
                <w:sz w:val="18"/>
              </w:rPr>
              <w:t>Data Builder</w:t>
            </w:r>
          </w:p>
        </w:tc>
        <w:tc>
          <w:tcPr>
            <w:tcW w:type="dxa" w:w="3005"/>
          </w:tcPr>
          <w:p>
            <w:pPr>
              <w:spacing w:after="40"/>
            </w:pPr>
            <w:r>
              <w:rPr>
                <w:sz w:val="18"/>
              </w:rPr>
              <w:t>x 34–89</w:t>
              <w:br/>
              <w:t>y 430–438</w:t>
            </w:r>
          </w:p>
        </w:tc>
        <w:tc>
          <w:tcPr>
            <w:tcW w:type="dxa" w:w="3402"/>
          </w:tcPr>
          <w:p>
            <w:pPr>
              <w:spacing w:after="40"/>
            </w:pPr>
            <w:r>
              <w:rPr>
                <w:sz w:val="18"/>
              </w:rPr>
              <w:t>auf mittlerer Höhe, links</w:t>
              <w:br/>
              <w:t>x 2.5–6.4 %</w:t>
              <w:br/>
              <w:t>y 65.2–66.4 %</w:t>
            </w:r>
          </w:p>
        </w:tc>
      </w:tr>
      <w:tr>
        <w:trPr>
          <w:cantSplit/>
        </w:trPr>
        <w:tc>
          <w:tcPr>
            <w:tcW w:type="dxa" w:w="3288"/>
          </w:tcPr>
          <w:p>
            <w:pPr>
              <w:spacing w:after="40"/>
            </w:pPr>
            <w:r>
              <w:rPr>
                <w:sz w:val="18"/>
              </w:rPr>
              <w:t>Connections</w:t>
            </w:r>
          </w:p>
        </w:tc>
        <w:tc>
          <w:tcPr>
            <w:tcW w:type="dxa" w:w="3005"/>
          </w:tcPr>
          <w:p>
            <w:pPr>
              <w:spacing w:after="40"/>
            </w:pPr>
            <w:r>
              <w:rPr>
                <w:sz w:val="18"/>
              </w:rPr>
              <w:t>x 34–90</w:t>
              <w:br/>
              <w:t>y 454–468</w:t>
            </w:r>
          </w:p>
        </w:tc>
        <w:tc>
          <w:tcPr>
            <w:tcW w:type="dxa" w:w="3402"/>
          </w:tcPr>
          <w:p>
            <w:pPr>
              <w:spacing w:after="40"/>
            </w:pPr>
            <w:r>
              <w:rPr>
                <w:sz w:val="18"/>
              </w:rPr>
              <w:t>unten, links</w:t>
              <w:br/>
              <w:t>x 2.5–6.6 %</w:t>
              <w:br/>
              <w:t>y 68.9–70.9 %</w:t>
            </w:r>
          </w:p>
        </w:tc>
      </w:tr>
      <w:tr>
        <w:trPr>
          <w:cantSplit/>
        </w:trPr>
        <w:tc>
          <w:tcPr>
            <w:tcW w:type="dxa" w:w="3288"/>
          </w:tcPr>
          <w:p>
            <w:pPr>
              <w:spacing w:after="40"/>
            </w:pPr>
            <w:r>
              <w:rPr>
                <w:sz w:val="18"/>
              </w:rPr>
              <w:t>Utilities</w:t>
            </w:r>
          </w:p>
        </w:tc>
        <w:tc>
          <w:tcPr>
            <w:tcW w:type="dxa" w:w="3005"/>
          </w:tcPr>
          <w:p>
            <w:pPr>
              <w:spacing w:after="40"/>
            </w:pPr>
            <w:r>
              <w:rPr>
                <w:sz w:val="18"/>
              </w:rPr>
              <w:t>x 17–49</w:t>
              <w:br/>
              <w:t>y 490–497</w:t>
            </w:r>
          </w:p>
        </w:tc>
        <w:tc>
          <w:tcPr>
            <w:tcW w:type="dxa" w:w="3402"/>
          </w:tcPr>
          <w:p>
            <w:pPr>
              <w:spacing w:after="40"/>
            </w:pPr>
            <w:r>
              <w:rPr>
                <w:sz w:val="18"/>
              </w:rPr>
              <w:t>unten, links</w:t>
              <w:br/>
              <w:t>x 1.2–3.5 %</w:t>
              <w:br/>
              <w:t>y 74.2–75.3 %</w:t>
            </w:r>
          </w:p>
        </w:tc>
      </w:tr>
      <w:tr>
        <w:trPr>
          <w:cantSplit/>
        </w:trPr>
        <w:tc>
          <w:tcPr>
            <w:tcW w:type="dxa" w:w="3288"/>
          </w:tcPr>
          <w:p>
            <w:pPr>
              <w:spacing w:after="40"/>
            </w:pPr>
            <w:r>
              <w:rPr>
                <w:sz w:val="18"/>
              </w:rPr>
              <w:t>Space Management</w:t>
            </w:r>
          </w:p>
        </w:tc>
        <w:tc>
          <w:tcPr>
            <w:tcW w:type="dxa" w:w="3005"/>
          </w:tcPr>
          <w:p>
            <w:pPr>
              <w:spacing w:after="40"/>
            </w:pPr>
            <w:r>
              <w:rPr>
                <w:sz w:val="18"/>
              </w:rPr>
              <w:t>x 34–123</w:t>
              <w:br/>
              <w:t>y 516–525</w:t>
            </w:r>
          </w:p>
        </w:tc>
        <w:tc>
          <w:tcPr>
            <w:tcW w:type="dxa" w:w="3402"/>
          </w:tcPr>
          <w:p>
            <w:pPr>
              <w:spacing w:after="40"/>
            </w:pPr>
            <w:r>
              <w:rPr>
                <w:sz w:val="18"/>
              </w:rPr>
              <w:t>unten, links</w:t>
              <w:br/>
              <w:t>x 2.5–8.9 %</w:t>
              <w:br/>
              <w:t>y 78.1–79.5 %</w:t>
            </w:r>
          </w:p>
        </w:tc>
      </w:tr>
      <w:tr>
        <w:trPr>
          <w:cantSplit/>
        </w:trPr>
        <w:tc>
          <w:tcPr>
            <w:tcW w:type="dxa" w:w="3288"/>
          </w:tcPr>
          <w:p>
            <w:pPr>
              <w:spacing w:after="40"/>
            </w:pPr>
            <w:r>
              <w:rPr>
                <w:sz w:val="18"/>
              </w:rPr>
              <w:t>Translation</w:t>
            </w:r>
          </w:p>
        </w:tc>
        <w:tc>
          <w:tcPr>
            <w:tcW w:type="dxa" w:w="3005"/>
          </w:tcPr>
          <w:p>
            <w:pPr>
              <w:spacing w:after="40"/>
            </w:pPr>
            <w:r>
              <w:rPr>
                <w:sz w:val="18"/>
              </w:rPr>
              <w:t>x 34–82</w:t>
              <w:br/>
              <w:t>y 542–549</w:t>
            </w:r>
          </w:p>
        </w:tc>
        <w:tc>
          <w:tcPr>
            <w:tcW w:type="dxa" w:w="3402"/>
          </w:tcPr>
          <w:p>
            <w:pPr>
              <w:spacing w:after="40"/>
            </w:pPr>
            <w:r>
              <w:rPr>
                <w:sz w:val="18"/>
              </w:rPr>
              <w:t>unten, links</w:t>
              <w:br/>
              <w:t>x 2.5–5.9 %</w:t>
              <w:br/>
              <w:t>y 82.0–83.2 %</w:t>
            </w:r>
          </w:p>
        </w:tc>
      </w:tr>
      <w:tr>
        <w:trPr>
          <w:cantSplit/>
        </w:trPr>
        <w:tc>
          <w:tcPr>
            <w:tcW w:type="dxa" w:w="3288"/>
          </w:tcPr>
          <w:p>
            <w:pPr>
              <w:spacing w:after="40"/>
            </w:pPr>
            <w:r>
              <w:rPr>
                <w:sz w:val="18"/>
              </w:rPr>
              <w:t>Transport</w:t>
            </w:r>
          </w:p>
        </w:tc>
        <w:tc>
          <w:tcPr>
            <w:tcW w:type="dxa" w:w="3005"/>
          </w:tcPr>
          <w:p>
            <w:pPr>
              <w:spacing w:after="40"/>
            </w:pPr>
            <w:r>
              <w:rPr>
                <w:sz w:val="18"/>
              </w:rPr>
              <w:t>x 34–76</w:t>
              <w:br/>
              <w:t>y 568–577</w:t>
            </w:r>
          </w:p>
        </w:tc>
        <w:tc>
          <w:tcPr>
            <w:tcW w:type="dxa" w:w="3402"/>
          </w:tcPr>
          <w:p>
            <w:pPr>
              <w:spacing w:after="40"/>
            </w:pPr>
            <w:r>
              <w:rPr>
                <w:sz w:val="18"/>
              </w:rPr>
              <w:t>unten, links</w:t>
              <w:br/>
              <w:t>x 2.5–5.5 %</w:t>
              <w:br/>
              <w:t>y 86.0–87.4 %</w:t>
            </w:r>
          </w:p>
        </w:tc>
      </w:tr>
      <w:tr>
        <w:trPr>
          <w:cantSplit/>
        </w:trPr>
        <w:tc>
          <w:tcPr>
            <w:tcW w:type="dxa" w:w="3288"/>
          </w:tcPr>
          <w:p>
            <w:pPr>
              <w:spacing w:after="40"/>
            </w:pPr>
            <w:r>
              <w:rPr>
                <w:sz w:val="18"/>
              </w:rPr>
              <w:t>Security</w:t>
            </w:r>
          </w:p>
        </w:tc>
        <w:tc>
          <w:tcPr>
            <w:tcW w:type="dxa" w:w="3005"/>
          </w:tcPr>
          <w:p>
            <w:pPr>
              <w:spacing w:after="40"/>
            </w:pPr>
            <w:r>
              <w:rPr>
                <w:sz w:val="18"/>
              </w:rPr>
              <w:t>x 32–70</w:t>
              <w:br/>
              <w:t>y 607–619</w:t>
            </w:r>
          </w:p>
        </w:tc>
        <w:tc>
          <w:tcPr>
            <w:tcW w:type="dxa" w:w="3402"/>
          </w:tcPr>
          <w:p>
            <w:pPr>
              <w:spacing w:after="40"/>
            </w:pPr>
            <w:r>
              <w:rPr>
                <w:sz w:val="18"/>
              </w:rPr>
              <w:t>unten, links</w:t>
              <w:br/>
              <w:t>x 2.4–5.1 %</w:t>
              <w:br/>
              <w:t>y 92.0–93.8 %</w:t>
            </w:r>
          </w:p>
        </w:tc>
      </w:tr>
      <w:tr>
        <w:trPr>
          <w:cantSplit/>
        </w:trPr>
        <w:tc>
          <w:tcPr>
            <w:tcW w:type="dxa" w:w="3288"/>
          </w:tcPr>
          <w:p>
            <w:pPr>
              <w:spacing w:after="40"/>
            </w:pPr>
            <w:r>
              <w:rPr>
                <w:sz w:val="18"/>
              </w:rPr>
              <w:t>system</w:t>
            </w:r>
          </w:p>
        </w:tc>
        <w:tc>
          <w:tcPr>
            <w:tcW w:type="dxa" w:w="3005"/>
          </w:tcPr>
          <w:p>
            <w:pPr>
              <w:spacing w:after="40"/>
            </w:pPr>
            <w:r>
              <w:rPr>
                <w:sz w:val="18"/>
              </w:rPr>
              <w:t>x 31–66</w:t>
              <w:br/>
              <w:t>y 633–645</w:t>
            </w:r>
          </w:p>
        </w:tc>
        <w:tc>
          <w:tcPr>
            <w:tcW w:type="dxa" w:w="3402"/>
          </w:tcPr>
          <w:p>
            <w:pPr>
              <w:spacing w:after="40"/>
            </w:pPr>
            <w:r>
              <w:rPr>
                <w:sz w:val="18"/>
              </w:rPr>
              <w:t>unten, links</w:t>
              <w:br/>
              <w:t>x 2.2–4.8 %</w:t>
              <w:br/>
              <w:t>y 95.9–97.7 %</w:t>
            </w:r>
          </w:p>
        </w:tc>
      </w:tr>
      <w:tr>
        <w:trPr>
          <w:cantSplit/>
        </w:trPr>
        <w:tc>
          <w:tcPr>
            <w:tcW w:type="dxa" w:w="3288"/>
          </w:tcPr>
          <w:p>
            <w:pPr>
              <w:spacing w:after="40"/>
            </w:pPr>
            <w:r>
              <w:rPr>
                <w:sz w:val="18"/>
              </w:rPr>
              <w:t>SAP HANA Cloud</w:t>
            </w:r>
          </w:p>
        </w:tc>
        <w:tc>
          <w:tcPr>
            <w:tcW w:type="dxa" w:w="3005"/>
          </w:tcPr>
          <w:p>
            <w:pPr>
              <w:spacing w:after="40"/>
            </w:pPr>
            <w:r>
              <w:rPr>
                <w:sz w:val="18"/>
              </w:rPr>
              <w:t>x 238–320</w:t>
              <w:br/>
              <w:t>y 638–645</w:t>
            </w:r>
          </w:p>
        </w:tc>
        <w:tc>
          <w:tcPr>
            <w:tcW w:type="dxa" w:w="3402"/>
          </w:tcPr>
          <w:p>
            <w:pPr>
              <w:spacing w:after="40"/>
            </w:pPr>
            <w:r>
              <w:rPr>
                <w:sz w:val="18"/>
              </w:rPr>
              <w:t>unten, links</w:t>
              <w:br/>
              <w:t>x 17.2–23.1 %</w:t>
              <w:br/>
              <w:t>y 96.6–97.7 %</w:t>
            </w:r>
          </w:p>
        </w:tc>
      </w:tr>
      <w:tr>
        <w:trPr>
          <w:cantSplit/>
        </w:trPr>
        <w:tc>
          <w:tcPr>
            <w:tcW w:type="dxa" w:w="3288"/>
          </w:tcPr>
          <w:p>
            <w:pPr>
              <w:spacing w:after="40"/>
            </w:pPr>
            <w:r>
              <w:rPr>
                <w:sz w:val="18"/>
              </w:rPr>
              <w:t>Daily Consumption</w:t>
            </w:r>
          </w:p>
        </w:tc>
        <w:tc>
          <w:tcPr>
            <w:tcW w:type="dxa" w:w="3005"/>
          </w:tcPr>
          <w:p>
            <w:pPr>
              <w:spacing w:after="40"/>
            </w:pPr>
            <w:r>
              <w:rPr>
                <w:sz w:val="18"/>
              </w:rPr>
              <w:t>x 365–456</w:t>
              <w:br/>
              <w:t>y 638–647</w:t>
            </w:r>
          </w:p>
        </w:tc>
        <w:tc>
          <w:tcPr>
            <w:tcW w:type="dxa" w:w="3402"/>
          </w:tcPr>
          <w:p>
            <w:pPr>
              <w:spacing w:after="40"/>
            </w:pPr>
            <w:r>
              <w:rPr>
                <w:sz w:val="18"/>
              </w:rPr>
              <w:t>unten, links</w:t>
              <w:br/>
              <w:t>x 26.4–33.0 %</w:t>
              <w:br/>
              <w:t>y 96.6–98.0 %</w:t>
            </w:r>
          </w:p>
        </w:tc>
      </w:tr>
      <w:tr>
        <w:trPr>
          <w:cantSplit/>
        </w:trPr>
        <w:tc>
          <w:tcPr>
            <w:tcW w:type="dxa" w:w="3288"/>
          </w:tcPr>
          <w:p>
            <w:pPr>
              <w:spacing w:after="40"/>
            </w:pPr>
            <w:r>
              <w:rPr>
                <w:sz w:val="18"/>
              </w:rPr>
              <w:t>Cumulative Consumption</w:t>
            </w:r>
          </w:p>
        </w:tc>
        <w:tc>
          <w:tcPr>
            <w:tcW w:type="dxa" w:w="3005"/>
          </w:tcPr>
          <w:p>
            <w:pPr>
              <w:spacing w:after="40"/>
            </w:pPr>
            <w:r>
              <w:rPr>
                <w:sz w:val="18"/>
              </w:rPr>
              <w:t>x 518–639</w:t>
              <w:br/>
              <w:t>y 638–647</w:t>
            </w:r>
          </w:p>
        </w:tc>
        <w:tc>
          <w:tcPr>
            <w:tcW w:type="dxa" w:w="3402"/>
          </w:tcPr>
          <w:p>
            <w:pPr>
              <w:spacing w:after="40"/>
            </w:pPr>
            <w:r>
              <w:rPr>
                <w:sz w:val="18"/>
              </w:rPr>
              <w:t>unten, mittig</w:t>
              <w:br/>
              <w:t>x 37.5–46.3 %</w:t>
              <w:br/>
              <w:t>y 96.6–98.0 %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5: System and Spaces: Speicher- und Fehlerkarten</w:t>
      </w:r>
    </w:p>
    <w:p>
      <w:r>
        <w:t>Bildformat: 1382 × 658 Pixel. Die folgenden Positionen beziehen sich auf dieses vollständige Bild.</w:t>
      </w:r>
    </w:p>
    <w:p>
      <w:pPr>
        <w:pStyle w:val="Heading2"/>
      </w:pPr>
      <w:r>
        <w:t>1. Gesamtaufbau und sichtbarer Zustand</w:t>
      </w:r>
    </w:p>
    <w:p>
      <w:pPr>
        <w:pStyle w:val="Heading3"/>
      </w:pPr>
      <w:r>
        <w:t>Gesamtansicht</w:t>
      </w:r>
    </w:p>
    <w:p>
      <w:r>
        <w:t>Das Bild zeigt eine technische Monitoring-Seite mit mehreren Kennzahlenkarten. Die globale Navigation liegt links. Der Hauptbereich besteht aus einer oberen Kartenreihe und weiteren Karten darunter.</w:t>
      </w:r>
    </w:p>
    <w:p>
      <w:pPr>
        <w:pStyle w:val="Heading3"/>
      </w:pPr>
      <w:r>
        <w:t>Obere Reihe</w:t>
      </w:r>
    </w:p>
    <w:p>
      <w:r>
        <w:t>Links befindet sich „Disk Storage Used“ mit mehreren Größenangaben und einem kreisförmigen beziehungsweise ringförmigen Diagramm. Daneben steht „Disk Used by Spaces for Storage“ mit den Kategorien Used, Usable und Total. Rechts zeigt „Object Store Usage“ eine farblich gegliederte Verteilung. Sichtbare Kategorien sind Other Data, Data in Spaces, Administrative Data und Audit Log Data. Die geschwärzten Zahlen werden nicht beschrieben.</w:t>
      </w:r>
    </w:p>
    <w:p>
      <w:pPr>
        <w:pStyle w:val="Heading3"/>
      </w:pPr>
      <w:r>
        <w:t>Mittlere und untere Karten</w:t>
      </w:r>
    </w:p>
    <w:p>
      <w:r>
        <w:t>Weitere Karten tragen die Überschriften Used by Spaces for Storage, Failed Tasks und Out-of-Memory Errors. Die Fehlerkarten beziehen sich sichtbar auf „Last 24 Hours“ und enthalten „View Logs“. Darunter folgen Errors (Workload Class) by Space, Out-of-Memory Errors (MDS Requests), Admission Control Rejection Events und Admission Control Queuing Events. Mehrere dieser Bereiche zeigen „No data“.</w:t>
      </w:r>
    </w:p>
    <w:p>
      <w:pPr>
        <w:pStyle w:val="Heading3"/>
      </w:pPr>
      <w:r>
        <w:t>Anordnung und Bedienelemente</w:t>
      </w:r>
    </w:p>
    <w:p>
      <w:r>
        <w:t>Die einzelnen Karten sind weiß und durch deutliche Zwischenräume getrennt. Rechts befindet sich die Schaltfläche „Open Database Instance“. Unterschiedliche Karten zeigen entweder Kennzahlen, Diagramme oder einen leeren Datenzustand. Es ist keine einzelne Fehlermeldung als Dialog geöffnet.</w:t>
      </w:r>
    </w:p>
    <w:p>
      <w:pPr>
        <w:pStyle w:val="Heading2"/>
      </w:pPr>
      <w:r>
        <w:t>2. Räumliche Beschreibung von oben nach unten</w:t>
      </w:r>
    </w:p>
    <w:p>
      <w:pPr>
        <w:pStyle w:val="Heading3"/>
      </w:pPr>
      <w:r>
        <w:t>Oberste Kartenreihe</w:t>
      </w:r>
    </w:p>
    <w:p>
      <w:r>
        <w:rPr>
          <w:b/>
        </w:rPr>
        <w:t xml:space="preserve">Ungefähre Bildregion: </w:t>
      </w:r>
      <w:r>
        <w:t>x 16–97 %, y 14–52 %</w:t>
      </w:r>
    </w:p>
    <w:p>
      <w:r>
        <w:t>Links steht Disk Storage Used mit einer ringförmigen Grafik. Mittig liegt Disk Used by Spaces for Storage mit Used, Usable und Total. Rechts liegt Object Store Usage mit einem farbigen Diagramm und einer darunter angeordneten Legende.</w:t>
      </w:r>
    </w:p>
    <w:p>
      <w:pPr>
        <w:pStyle w:val="Heading3"/>
      </w:pPr>
      <w:r>
        <w:t>Zweite Kartenreihe</w:t>
      </w:r>
    </w:p>
    <w:p>
      <w:r>
        <w:rPr>
          <w:b/>
        </w:rPr>
        <w:t xml:space="preserve">Ungefähre Bildregion: </w:t>
      </w:r>
      <w:r>
        <w:t>x 16–76 %, y 52–75 %</w:t>
      </w:r>
    </w:p>
    <w:p>
      <w:r>
        <w:t>Used by Spaces for Storage steht links. Failed Tasks liegt daneben, Out-of-Memory Errors rechts davon. Die Fehlerkarten enthalten kleine Zeitraumzeilen und View Logs.</w:t>
      </w:r>
    </w:p>
    <w:p>
      <w:pPr>
        <w:pStyle w:val="Heading3"/>
      </w:pPr>
      <w:r>
        <w:t>Untere Karten</w:t>
      </w:r>
    </w:p>
    <w:p>
      <w:r>
        <w:rPr>
          <w:b/>
        </w:rPr>
        <w:t xml:space="preserve">Ungefähre Bildregion: </w:t>
      </w:r>
      <w:r>
        <w:t>x 16–97 %, y 75–100 %</w:t>
      </w:r>
    </w:p>
    <w:p>
      <w:r>
        <w:t>Weitere Fehler- und Admission-Control-Bereiche sind als einzelne weiße Karten angeordnet. No data steht in mehreren Karten innerhalb des Inhaltsbereichs. Open Database Instance liegt rechts im unteren Hauptbereich.</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System and Spaces</w:t>
            </w:r>
          </w:p>
        </w:tc>
        <w:tc>
          <w:tcPr>
            <w:tcW w:type="dxa" w:w="3005"/>
          </w:tcPr>
          <w:p>
            <w:pPr>
              <w:spacing w:after="40"/>
            </w:pPr>
            <w:r>
              <w:rPr>
                <w:sz w:val="18"/>
              </w:rPr>
              <w:t>x 161–254</w:t>
              <w:br/>
              <w:t>y 39–49</w:t>
            </w:r>
          </w:p>
        </w:tc>
        <w:tc>
          <w:tcPr>
            <w:tcW w:type="dxa" w:w="3402"/>
          </w:tcPr>
          <w:p>
            <w:pPr>
              <w:spacing w:after="40"/>
            </w:pPr>
            <w:r>
              <w:rPr>
                <w:sz w:val="18"/>
              </w:rPr>
              <w:t>oben, links</w:t>
              <w:br/>
              <w:t>x 11.6–18.3 %</w:t>
              <w:br/>
              <w:t>y 5.9–7.4 %</w:t>
            </w:r>
          </w:p>
        </w:tc>
      </w:tr>
      <w:tr>
        <w:trPr>
          <w:cantSplit/>
        </w:trPr>
        <w:tc>
          <w:tcPr>
            <w:tcW w:type="dxa" w:w="3288"/>
          </w:tcPr>
          <w:p>
            <w:pPr>
              <w:spacing w:after="40"/>
            </w:pPr>
            <w:r>
              <w:rPr>
                <w:sz w:val="18"/>
              </w:rPr>
              <w:t>Home</w:t>
            </w:r>
          </w:p>
        </w:tc>
        <w:tc>
          <w:tcPr>
            <w:tcW w:type="dxa" w:w="3005"/>
          </w:tcPr>
          <w:p>
            <w:pPr>
              <w:spacing w:after="40"/>
            </w:pPr>
            <w:r>
              <w:rPr>
                <w:sz w:val="18"/>
              </w:rPr>
              <w:t>x 34–60</w:t>
              <w:br/>
              <w:t>y 75–83</w:t>
            </w:r>
          </w:p>
        </w:tc>
        <w:tc>
          <w:tcPr>
            <w:tcW w:type="dxa" w:w="3402"/>
          </w:tcPr>
          <w:p>
            <w:pPr>
              <w:spacing w:after="40"/>
            </w:pPr>
            <w:r>
              <w:rPr>
                <w:sz w:val="18"/>
              </w:rPr>
              <w:t>oben, links</w:t>
              <w:br/>
              <w:t>x 2.5–4.4 %</w:t>
              <w:br/>
              <w:t>y 11.4–12.6 %</w:t>
            </w:r>
          </w:p>
        </w:tc>
      </w:tr>
      <w:tr>
        <w:trPr>
          <w:cantSplit/>
        </w:trPr>
        <w:tc>
          <w:tcPr>
            <w:tcW w:type="dxa" w:w="3288"/>
          </w:tcPr>
          <w:p>
            <w:pPr>
              <w:spacing w:after="40"/>
            </w:pPr>
            <w:r>
              <w:rPr>
                <w:sz w:val="18"/>
              </w:rPr>
              <w:t>System and Spaces</w:t>
            </w:r>
          </w:p>
        </w:tc>
        <w:tc>
          <w:tcPr>
            <w:tcW w:type="dxa" w:w="3005"/>
          </w:tcPr>
          <w:p>
            <w:pPr>
              <w:spacing w:after="40"/>
            </w:pPr>
            <w:r>
              <w:rPr>
                <w:sz w:val="18"/>
              </w:rPr>
              <w:t>x 220–385</w:t>
              <w:br/>
              <w:t>y 76–93</w:t>
            </w:r>
          </w:p>
        </w:tc>
        <w:tc>
          <w:tcPr>
            <w:tcW w:type="dxa" w:w="3402"/>
          </w:tcPr>
          <w:p>
            <w:pPr>
              <w:spacing w:after="40"/>
            </w:pPr>
            <w:r>
              <w:rPr>
                <w:sz w:val="18"/>
              </w:rPr>
              <w:t>oben, links</w:t>
              <w:br/>
              <w:t>x 15.9–27.9 %</w:t>
              <w:br/>
              <w:t>y 11.6–14.1 %</w:t>
            </w:r>
          </w:p>
        </w:tc>
      </w:tr>
      <w:tr>
        <w:trPr>
          <w:cantSplit/>
        </w:trPr>
        <w:tc>
          <w:tcPr>
            <w:tcW w:type="dxa" w:w="3288"/>
          </w:tcPr>
          <w:p>
            <w:pPr>
              <w:spacing w:after="40"/>
            </w:pPr>
            <w:r>
              <w:rPr>
                <w:sz w:val="18"/>
              </w:rPr>
              <w:t>Monitoring</w:t>
            </w:r>
          </w:p>
        </w:tc>
        <w:tc>
          <w:tcPr>
            <w:tcW w:type="dxa" w:w="3005"/>
          </w:tcPr>
          <w:p>
            <w:pPr>
              <w:spacing w:after="40"/>
            </w:pPr>
            <w:r>
              <w:rPr>
                <w:sz w:val="18"/>
              </w:rPr>
              <w:t>x 390–486</w:t>
              <w:br/>
              <w:t>y 75–93</w:t>
            </w:r>
          </w:p>
        </w:tc>
        <w:tc>
          <w:tcPr>
            <w:tcW w:type="dxa" w:w="3402"/>
          </w:tcPr>
          <w:p>
            <w:pPr>
              <w:spacing w:after="40"/>
            </w:pPr>
            <w:r>
              <w:rPr>
                <w:sz w:val="18"/>
              </w:rPr>
              <w:t>oben, links</w:t>
              <w:br/>
              <w:t>x 28.2–35.2 %</w:t>
              <w:br/>
              <w:t>y 11.4–14.1 %</w:t>
            </w:r>
          </w:p>
        </w:tc>
      </w:tr>
      <w:tr>
        <w:trPr>
          <w:cantSplit/>
        </w:trPr>
        <w:tc>
          <w:tcPr>
            <w:tcW w:type="dxa" w:w="3288"/>
          </w:tcPr>
          <w:p>
            <w:pPr>
              <w:spacing w:after="40"/>
            </w:pPr>
            <w:r>
              <w:rPr>
                <w:sz w:val="18"/>
              </w:rPr>
              <w:t>Open Database Instance</w:t>
            </w:r>
          </w:p>
        </w:tc>
        <w:tc>
          <w:tcPr>
            <w:tcW w:type="dxa" w:w="3005"/>
          </w:tcPr>
          <w:p>
            <w:pPr>
              <w:spacing w:after="40"/>
            </w:pPr>
            <w:r>
              <w:rPr>
                <w:sz w:val="18"/>
              </w:rPr>
              <w:t>x 1233–1342</w:t>
              <w:br/>
              <w:t>y 80–89</w:t>
            </w:r>
          </w:p>
        </w:tc>
        <w:tc>
          <w:tcPr>
            <w:tcW w:type="dxa" w:w="3402"/>
          </w:tcPr>
          <w:p>
            <w:pPr>
              <w:spacing w:after="40"/>
            </w:pPr>
            <w:r>
              <w:rPr>
                <w:sz w:val="18"/>
              </w:rPr>
              <w:t>oben, rechts</w:t>
              <w:br/>
              <w:t>x 89.2–97.1 %</w:t>
              <w:br/>
              <w:t>y 12.1–13.5 %</w:t>
            </w:r>
          </w:p>
        </w:tc>
      </w:tr>
      <w:tr>
        <w:trPr>
          <w:cantSplit/>
        </w:trPr>
        <w:tc>
          <w:tcPr>
            <w:tcW w:type="dxa" w:w="3288"/>
          </w:tcPr>
          <w:p>
            <w:pPr>
              <w:spacing w:after="40"/>
            </w:pPr>
            <w:r>
              <w:rPr>
                <w:sz w:val="18"/>
              </w:rPr>
              <w:t>Repository Explorer</w:t>
            </w:r>
          </w:p>
        </w:tc>
        <w:tc>
          <w:tcPr>
            <w:tcW w:type="dxa" w:w="3005"/>
          </w:tcPr>
          <w:p>
            <w:pPr>
              <w:spacing w:after="40"/>
            </w:pPr>
            <w:r>
              <w:rPr>
                <w:sz w:val="18"/>
              </w:rPr>
              <w:t>x 34–122</w:t>
              <w:br/>
              <w:t>y 101–111</w:t>
            </w:r>
          </w:p>
        </w:tc>
        <w:tc>
          <w:tcPr>
            <w:tcW w:type="dxa" w:w="3402"/>
          </w:tcPr>
          <w:p>
            <w:pPr>
              <w:spacing w:after="40"/>
            </w:pPr>
            <w:r>
              <w:rPr>
                <w:sz w:val="18"/>
              </w:rPr>
              <w:t>oben, links</w:t>
              <w:br/>
              <w:t>x 2.5–8.8 %</w:t>
              <w:br/>
              <w:t>y 15.3–16.9 %</w:t>
            </w:r>
          </w:p>
        </w:tc>
      </w:tr>
      <w:tr>
        <w:trPr>
          <w:cantSplit/>
        </w:trPr>
        <w:tc>
          <w:tcPr>
            <w:tcW w:type="dxa" w:w="3288"/>
          </w:tcPr>
          <w:p>
            <w:pPr>
              <w:spacing w:after="40"/>
            </w:pPr>
            <w:r>
              <w:rPr>
                <w:sz w:val="18"/>
              </w:rPr>
              <w:t>Monitoring</w:t>
            </w:r>
          </w:p>
        </w:tc>
        <w:tc>
          <w:tcPr>
            <w:tcW w:type="dxa" w:w="3005"/>
          </w:tcPr>
          <w:p>
            <w:pPr>
              <w:spacing w:after="40"/>
            </w:pPr>
            <w:r>
              <w:rPr>
                <w:sz w:val="18"/>
              </w:rPr>
              <w:t>x 34–82</w:t>
              <w:br/>
              <w:t>y 127–137</w:t>
            </w:r>
          </w:p>
        </w:tc>
        <w:tc>
          <w:tcPr>
            <w:tcW w:type="dxa" w:w="3402"/>
          </w:tcPr>
          <w:p>
            <w:pPr>
              <w:spacing w:after="40"/>
            </w:pPr>
            <w:r>
              <w:rPr>
                <w:sz w:val="18"/>
              </w:rPr>
              <w:t>oben, links</w:t>
              <w:br/>
              <w:t>x 2.5–5.9 %</w:t>
              <w:br/>
              <w:t>y 19.3–20.8 %</w:t>
            </w:r>
          </w:p>
        </w:tc>
      </w:tr>
      <w:tr>
        <w:trPr>
          <w:cantSplit/>
        </w:trPr>
        <w:tc>
          <w:tcPr>
            <w:tcW w:type="dxa" w:w="3288"/>
          </w:tcPr>
          <w:p>
            <w:pPr>
              <w:spacing w:after="40"/>
            </w:pPr>
            <w:r>
              <w:rPr>
                <w:sz w:val="18"/>
              </w:rPr>
              <w:t>Disk Storage</w:t>
            </w:r>
          </w:p>
        </w:tc>
        <w:tc>
          <w:tcPr>
            <w:tcW w:type="dxa" w:w="3005"/>
          </w:tcPr>
          <w:p>
            <w:pPr>
              <w:spacing w:after="40"/>
            </w:pPr>
            <w:r>
              <w:rPr>
                <w:sz w:val="18"/>
              </w:rPr>
              <w:t>x 208–269</w:t>
              <w:br/>
              <w:t>y 163–172</w:t>
            </w:r>
          </w:p>
        </w:tc>
        <w:tc>
          <w:tcPr>
            <w:tcW w:type="dxa" w:w="3402"/>
          </w:tcPr>
          <w:p>
            <w:pPr>
              <w:spacing w:after="40"/>
            </w:pPr>
            <w:r>
              <w:rPr>
                <w:sz w:val="18"/>
              </w:rPr>
              <w:t>oben, links</w:t>
              <w:br/>
              <w:t>x 15.1–19.5 %</w:t>
              <w:br/>
              <w:t>y 24.8–26.1 %</w:t>
            </w:r>
          </w:p>
        </w:tc>
      </w:tr>
      <w:tr>
        <w:trPr>
          <w:cantSplit/>
        </w:trPr>
        <w:tc>
          <w:tcPr>
            <w:tcW w:type="dxa" w:w="3288"/>
          </w:tcPr>
          <w:p>
            <w:pPr>
              <w:spacing w:after="40"/>
            </w:pPr>
            <w:r>
              <w:rPr>
                <w:sz w:val="18"/>
              </w:rPr>
              <w:t>Disk Storage Used</w:t>
            </w:r>
          </w:p>
        </w:tc>
        <w:tc>
          <w:tcPr>
            <w:tcW w:type="dxa" w:w="3005"/>
          </w:tcPr>
          <w:p>
            <w:pPr>
              <w:spacing w:after="40"/>
            </w:pPr>
            <w:r>
              <w:rPr>
                <w:sz w:val="18"/>
              </w:rPr>
              <w:t>x 634–721</w:t>
              <w:br/>
              <w:t>y 163–172</w:t>
            </w:r>
          </w:p>
        </w:tc>
        <w:tc>
          <w:tcPr>
            <w:tcW w:type="dxa" w:w="3402"/>
          </w:tcPr>
          <w:p>
            <w:pPr>
              <w:spacing w:after="40"/>
            </w:pPr>
            <w:r>
              <w:rPr>
                <w:sz w:val="18"/>
              </w:rPr>
              <w:t>oben, mittig</w:t>
              <w:br/>
              <w:t>x 45.9–52.2 %</w:t>
              <w:br/>
              <w:t>y 24.8–26.2 %</w:t>
            </w:r>
          </w:p>
        </w:tc>
      </w:tr>
      <w:tr>
        <w:trPr>
          <w:cantSplit/>
        </w:trPr>
        <w:tc>
          <w:tcPr>
            <w:tcW w:type="dxa" w:w="3288"/>
          </w:tcPr>
          <w:p>
            <w:pPr>
              <w:spacing w:after="40"/>
            </w:pPr>
            <w:r>
              <w:rPr>
                <w:sz w:val="18"/>
              </w:rPr>
              <w:t>Disk Used by Spaces for Storage</w:t>
            </w:r>
          </w:p>
        </w:tc>
        <w:tc>
          <w:tcPr>
            <w:tcW w:type="dxa" w:w="3005"/>
          </w:tcPr>
          <w:p>
            <w:pPr>
              <w:spacing w:after="40"/>
            </w:pPr>
            <w:r>
              <w:rPr>
                <w:sz w:val="18"/>
              </w:rPr>
              <w:t>x 1060–1216</w:t>
              <w:br/>
              <w:t>y 163–172</w:t>
            </w:r>
          </w:p>
        </w:tc>
        <w:tc>
          <w:tcPr>
            <w:tcW w:type="dxa" w:w="3402"/>
          </w:tcPr>
          <w:p>
            <w:pPr>
              <w:spacing w:after="40"/>
            </w:pPr>
            <w:r>
              <w:rPr>
                <w:sz w:val="18"/>
              </w:rPr>
              <w:t>oben, rechts</w:t>
              <w:br/>
              <w:t>x 76.7–88.0 %</w:t>
              <w:br/>
              <w:t>y 24.8–26.2 %</w:t>
            </w:r>
          </w:p>
        </w:tc>
      </w:tr>
      <w:tr>
        <w:trPr>
          <w:cantSplit/>
        </w:trPr>
        <w:tc>
          <w:tcPr>
            <w:tcW w:type="dxa" w:w="3288"/>
          </w:tcPr>
          <w:p>
            <w:pPr>
              <w:spacing w:after="40"/>
            </w:pPr>
            <w:r>
              <w:rPr>
                <w:sz w:val="18"/>
              </w:rPr>
              <w:t>Capacities</w:t>
            </w:r>
          </w:p>
        </w:tc>
        <w:tc>
          <w:tcPr>
            <w:tcW w:type="dxa" w:w="3005"/>
          </w:tcPr>
          <w:p>
            <w:pPr>
              <w:spacing w:after="40"/>
            </w:pPr>
            <w:r>
              <w:rPr>
                <w:sz w:val="18"/>
              </w:rPr>
              <w:t>x 34–80</w:t>
              <w:br/>
              <w:t>y 179–189</w:t>
            </w:r>
          </w:p>
        </w:tc>
        <w:tc>
          <w:tcPr>
            <w:tcW w:type="dxa" w:w="3402"/>
          </w:tcPr>
          <w:p>
            <w:pPr>
              <w:spacing w:after="40"/>
            </w:pPr>
            <w:r>
              <w:rPr>
                <w:sz w:val="18"/>
              </w:rPr>
              <w:t>oben, links</w:t>
              <w:br/>
              <w:t>x 2.5–5.8 %</w:t>
              <w:br/>
              <w:t>y 27.2–28.7 %</w:t>
            </w:r>
          </w:p>
        </w:tc>
      </w:tr>
      <w:tr>
        <w:trPr>
          <w:cantSplit/>
        </w:trPr>
        <w:tc>
          <w:tcPr>
            <w:tcW w:type="dxa" w:w="3288"/>
          </w:tcPr>
          <w:p>
            <w:pPr>
              <w:spacing w:after="40"/>
            </w:pPr>
            <w:r>
              <w:rPr>
                <w:sz w:val="18"/>
              </w:rPr>
              <w:t>Task Logs</w:t>
            </w:r>
          </w:p>
        </w:tc>
        <w:tc>
          <w:tcPr>
            <w:tcW w:type="dxa" w:w="3005"/>
          </w:tcPr>
          <w:p>
            <w:pPr>
              <w:spacing w:after="40"/>
            </w:pPr>
            <w:r>
              <w:rPr>
                <w:sz w:val="18"/>
              </w:rPr>
              <w:t>x 34–78</w:t>
              <w:br/>
              <w:t>y 205–215</w:t>
            </w:r>
          </w:p>
        </w:tc>
        <w:tc>
          <w:tcPr>
            <w:tcW w:type="dxa" w:w="3402"/>
          </w:tcPr>
          <w:p>
            <w:pPr>
              <w:spacing w:after="40"/>
            </w:pPr>
            <w:r>
              <w:rPr>
                <w:sz w:val="18"/>
              </w:rPr>
              <w:t>oben, links</w:t>
              <w:br/>
              <w:t>x 2.5–5.6 %</w:t>
              <w:br/>
              <w:t>y 31.2–32.7 %</w:t>
            </w:r>
          </w:p>
        </w:tc>
      </w:tr>
      <w:tr>
        <w:trPr>
          <w:cantSplit/>
        </w:trPr>
        <w:tc>
          <w:tcPr>
            <w:tcW w:type="dxa" w:w="3288"/>
          </w:tcPr>
          <w:p>
            <w:pPr>
              <w:spacing w:after="40"/>
            </w:pPr>
            <w:r>
              <w:rPr>
                <w:sz w:val="18"/>
              </w:rPr>
              <w:t>Type</w:t>
            </w:r>
          </w:p>
        </w:tc>
        <w:tc>
          <w:tcPr>
            <w:tcW w:type="dxa" w:w="3005"/>
          </w:tcPr>
          <w:p>
            <w:pPr>
              <w:spacing w:after="40"/>
            </w:pPr>
            <w:r>
              <w:rPr>
                <w:sz w:val="18"/>
              </w:rPr>
              <w:t>x 214–236</w:t>
              <w:br/>
              <w:t>y 209–219</w:t>
            </w:r>
          </w:p>
        </w:tc>
        <w:tc>
          <w:tcPr>
            <w:tcW w:type="dxa" w:w="3402"/>
          </w:tcPr>
          <w:p>
            <w:pPr>
              <w:spacing w:after="40"/>
            </w:pPr>
            <w:r>
              <w:rPr>
                <w:sz w:val="18"/>
              </w:rPr>
              <w:t>oben, links</w:t>
              <w:br/>
              <w:t>x 15.5–17.1 %</w:t>
              <w:br/>
              <w:t>y 31.8–33.3 %</w:t>
            </w:r>
          </w:p>
        </w:tc>
      </w:tr>
      <w:tr>
        <w:trPr>
          <w:cantSplit/>
        </w:trPr>
        <w:tc>
          <w:tcPr>
            <w:tcW w:type="dxa" w:w="3288"/>
          </w:tcPr>
          <w:p>
            <w:pPr>
              <w:spacing w:after="40"/>
            </w:pPr>
            <w:r>
              <w:rPr>
                <w:sz w:val="18"/>
              </w:rPr>
              <w:t>Used</w:t>
            </w:r>
          </w:p>
        </w:tc>
        <w:tc>
          <w:tcPr>
            <w:tcW w:type="dxa" w:w="3005"/>
          </w:tcPr>
          <w:p>
            <w:pPr>
              <w:spacing w:after="40"/>
            </w:pPr>
            <w:r>
              <w:rPr>
                <w:sz w:val="18"/>
              </w:rPr>
              <w:t>x 457–480</w:t>
              <w:br/>
              <w:t>y 209–217</w:t>
            </w:r>
          </w:p>
        </w:tc>
        <w:tc>
          <w:tcPr>
            <w:tcW w:type="dxa" w:w="3402"/>
          </w:tcPr>
          <w:p>
            <w:pPr>
              <w:spacing w:after="40"/>
            </w:pPr>
            <w:r>
              <w:rPr>
                <w:sz w:val="18"/>
              </w:rPr>
              <w:t>oben, mittig</w:t>
              <w:br/>
              <w:t>x 33.1–34.7 %</w:t>
              <w:br/>
              <w:t>y 31.8–33.0 %</w:t>
            </w:r>
          </w:p>
        </w:tc>
      </w:tr>
      <w:tr>
        <w:trPr>
          <w:cantSplit/>
        </w:trPr>
        <w:tc>
          <w:tcPr>
            <w:tcW w:type="dxa" w:w="3288"/>
          </w:tcPr>
          <w:p>
            <w:pPr>
              <w:spacing w:after="40"/>
            </w:pPr>
            <w:r>
              <w:rPr>
                <w:sz w:val="18"/>
              </w:rPr>
              <w:t>Usable</w:t>
            </w:r>
          </w:p>
        </w:tc>
        <w:tc>
          <w:tcPr>
            <w:tcW w:type="dxa" w:w="3005"/>
          </w:tcPr>
          <w:p>
            <w:pPr>
              <w:spacing w:after="40"/>
            </w:pPr>
            <w:r>
              <w:rPr>
                <w:sz w:val="18"/>
              </w:rPr>
              <w:t>x 511–542</w:t>
              <w:br/>
              <w:t>y 209–217</w:t>
            </w:r>
          </w:p>
        </w:tc>
        <w:tc>
          <w:tcPr>
            <w:tcW w:type="dxa" w:w="3402"/>
          </w:tcPr>
          <w:p>
            <w:pPr>
              <w:spacing w:after="40"/>
            </w:pPr>
            <w:r>
              <w:rPr>
                <w:sz w:val="18"/>
              </w:rPr>
              <w:t>oben, mittig</w:t>
              <w:br/>
              <w:t>x 37.0–39.2 %</w:t>
              <w:br/>
              <w:t>y 31.8–33.0 %</w:t>
            </w:r>
          </w:p>
        </w:tc>
      </w:tr>
      <w:tr>
        <w:trPr>
          <w:cantSplit/>
        </w:trPr>
        <w:tc>
          <w:tcPr>
            <w:tcW w:type="dxa" w:w="3288"/>
          </w:tcPr>
          <w:p>
            <w:pPr>
              <w:spacing w:after="40"/>
            </w:pPr>
            <w:r>
              <w:rPr>
                <w:sz w:val="18"/>
              </w:rPr>
              <w:t>Total</w:t>
            </w:r>
          </w:p>
        </w:tc>
        <w:tc>
          <w:tcPr>
            <w:tcW w:type="dxa" w:w="3005"/>
          </w:tcPr>
          <w:p>
            <w:pPr>
              <w:spacing w:after="40"/>
            </w:pPr>
            <w:r>
              <w:rPr>
                <w:sz w:val="18"/>
              </w:rPr>
              <w:t>x 582–604</w:t>
              <w:br/>
              <w:t>y 209–217</w:t>
            </w:r>
          </w:p>
        </w:tc>
        <w:tc>
          <w:tcPr>
            <w:tcW w:type="dxa" w:w="3402"/>
          </w:tcPr>
          <w:p>
            <w:pPr>
              <w:spacing w:after="40"/>
            </w:pPr>
            <w:r>
              <w:rPr>
                <w:sz w:val="18"/>
              </w:rPr>
              <w:t>oben, mittig</w:t>
              <w:br/>
              <w:t>x 42.1–43.7 %</w:t>
              <w:br/>
              <w:t>y 31.8–33.0 %</w:t>
            </w:r>
          </w:p>
        </w:tc>
      </w:tr>
      <w:tr>
        <w:trPr>
          <w:cantSplit/>
        </w:trPr>
        <w:tc>
          <w:tcPr>
            <w:tcW w:type="dxa" w:w="3288"/>
          </w:tcPr>
          <w:p>
            <w:pPr>
              <w:spacing w:after="40"/>
            </w:pPr>
            <w:r>
              <w:rPr>
                <w:sz w:val="18"/>
              </w:rPr>
              <w:t>Expensive Statement Logs</w:t>
            </w:r>
          </w:p>
        </w:tc>
        <w:tc>
          <w:tcPr>
            <w:tcW w:type="dxa" w:w="3005"/>
          </w:tcPr>
          <w:p>
            <w:pPr>
              <w:spacing w:after="40"/>
            </w:pPr>
            <w:r>
              <w:rPr>
                <w:sz w:val="18"/>
              </w:rPr>
              <w:t>x 34–152</w:t>
              <w:br/>
              <w:t>y 232–241</w:t>
            </w:r>
          </w:p>
        </w:tc>
        <w:tc>
          <w:tcPr>
            <w:tcW w:type="dxa" w:w="3402"/>
          </w:tcPr>
          <w:p>
            <w:pPr>
              <w:spacing w:after="40"/>
            </w:pPr>
            <w:r>
              <w:rPr>
                <w:sz w:val="18"/>
              </w:rPr>
              <w:t>auf mittlerer Höhe, links</w:t>
              <w:br/>
              <w:t>x 2.5–11.0 %</w:t>
              <w:br/>
              <w:t>y 35.2–36.6 %</w:t>
            </w:r>
          </w:p>
        </w:tc>
      </w:tr>
      <w:tr>
        <w:trPr>
          <w:cantSplit/>
        </w:trPr>
        <w:tc>
          <w:tcPr>
            <w:tcW w:type="dxa" w:w="3288"/>
          </w:tcPr>
          <w:p>
            <w:pPr>
              <w:spacing w:after="40"/>
            </w:pPr>
            <w:r>
              <w:rPr>
                <w:sz w:val="18"/>
              </w:rPr>
              <w:t>Other Data</w:t>
            </w:r>
          </w:p>
        </w:tc>
        <w:tc>
          <w:tcPr>
            <w:tcW w:type="dxa" w:w="3005"/>
          </w:tcPr>
          <w:p>
            <w:pPr>
              <w:spacing w:after="40"/>
            </w:pPr>
            <w:r>
              <w:rPr>
                <w:sz w:val="18"/>
              </w:rPr>
              <w:t>x 809–857</w:t>
              <w:br/>
              <w:t>y 236–243</w:t>
            </w:r>
          </w:p>
        </w:tc>
        <w:tc>
          <w:tcPr>
            <w:tcW w:type="dxa" w:w="3402"/>
          </w:tcPr>
          <w:p>
            <w:pPr>
              <w:spacing w:after="40"/>
            </w:pPr>
            <w:r>
              <w:rPr>
                <w:sz w:val="18"/>
              </w:rPr>
              <w:t>auf mittlerer Höhe, mittig</w:t>
              <w:br/>
              <w:t>x 58.5–62.0 %</w:t>
              <w:br/>
              <w:t>y 35.9–36.9 %</w:t>
            </w:r>
          </w:p>
        </w:tc>
      </w:tr>
      <w:tr>
        <w:trPr>
          <w:cantSplit/>
        </w:trPr>
        <w:tc>
          <w:tcPr>
            <w:tcW w:type="dxa" w:w="3288"/>
          </w:tcPr>
          <w:p>
            <w:pPr>
              <w:spacing w:after="40"/>
            </w:pPr>
            <w:r>
              <w:rPr>
                <w:sz w:val="18"/>
              </w:rPr>
              <w:t>Elastic Compute Nodes</w:t>
            </w:r>
          </w:p>
        </w:tc>
        <w:tc>
          <w:tcPr>
            <w:tcW w:type="dxa" w:w="3005"/>
          </w:tcPr>
          <w:p>
            <w:pPr>
              <w:spacing w:after="40"/>
            </w:pPr>
            <w:r>
              <w:rPr>
                <w:sz w:val="18"/>
              </w:rPr>
              <w:t>x 34–138</w:t>
              <w:br/>
              <w:t>y 258–267</w:t>
            </w:r>
          </w:p>
        </w:tc>
        <w:tc>
          <w:tcPr>
            <w:tcW w:type="dxa" w:w="3402"/>
          </w:tcPr>
          <w:p>
            <w:pPr>
              <w:spacing w:after="40"/>
            </w:pPr>
            <w:r>
              <w:rPr>
                <w:sz w:val="18"/>
              </w:rPr>
              <w:t>auf mittlerer Höhe, links</w:t>
              <w:br/>
              <w:t>x 2.5–10.0 %</w:t>
              <w:br/>
              <w:t>y 39.1–40.6 %</w:t>
            </w:r>
          </w:p>
        </w:tc>
      </w:tr>
      <w:tr>
        <w:trPr>
          <w:cantSplit/>
        </w:trPr>
        <w:tc>
          <w:tcPr>
            <w:tcW w:type="dxa" w:w="3288"/>
          </w:tcPr>
          <w:p>
            <w:pPr>
              <w:spacing w:after="40"/>
            </w:pPr>
            <w:r>
              <w:rPr>
                <w:sz w:val="18"/>
              </w:rPr>
              <w:t>Data in Spaces</w:t>
            </w:r>
          </w:p>
        </w:tc>
        <w:tc>
          <w:tcPr>
            <w:tcW w:type="dxa" w:w="3005"/>
          </w:tcPr>
          <w:p>
            <w:pPr>
              <w:spacing w:after="40"/>
            </w:pPr>
            <w:r>
              <w:rPr>
                <w:sz w:val="18"/>
              </w:rPr>
              <w:t>x 810–875</w:t>
              <w:br/>
              <w:t>y 264–272</w:t>
            </w:r>
          </w:p>
        </w:tc>
        <w:tc>
          <w:tcPr>
            <w:tcW w:type="dxa" w:w="3402"/>
          </w:tcPr>
          <w:p>
            <w:pPr>
              <w:spacing w:after="40"/>
            </w:pPr>
            <w:r>
              <w:rPr>
                <w:sz w:val="18"/>
              </w:rPr>
              <w:t>auf mittlerer Höhe, mittig</w:t>
              <w:br/>
              <w:t>x 58.6–63.3 %</w:t>
              <w:br/>
              <w:t>y 40.0–41.4 %</w:t>
            </w:r>
          </w:p>
        </w:tc>
      </w:tr>
      <w:tr>
        <w:trPr>
          <w:cantSplit/>
        </w:trPr>
        <w:tc>
          <w:tcPr>
            <w:tcW w:type="dxa" w:w="3288"/>
          </w:tcPr>
          <w:p>
            <w:pPr>
              <w:spacing w:after="40"/>
            </w:pPr>
            <w:r>
              <w:rPr>
                <w:sz w:val="18"/>
              </w:rPr>
              <w:t>Data Integration</w:t>
            </w:r>
          </w:p>
        </w:tc>
        <w:tc>
          <w:tcPr>
            <w:tcW w:type="dxa" w:w="3005"/>
          </w:tcPr>
          <w:p>
            <w:pPr>
              <w:spacing w:after="40"/>
            </w:pPr>
            <w:r>
              <w:rPr>
                <w:sz w:val="18"/>
              </w:rPr>
              <w:t>x 34–105</w:t>
              <w:br/>
              <w:t>y 284–293</w:t>
            </w:r>
          </w:p>
        </w:tc>
        <w:tc>
          <w:tcPr>
            <w:tcW w:type="dxa" w:w="3402"/>
          </w:tcPr>
          <w:p>
            <w:pPr>
              <w:spacing w:after="40"/>
            </w:pPr>
            <w:r>
              <w:rPr>
                <w:sz w:val="18"/>
              </w:rPr>
              <w:t>auf mittlerer Höhe, links</w:t>
              <w:br/>
              <w:t>x 2.5–7.6 %</w:t>
              <w:br/>
              <w:t>y 43.2–44.5 %</w:t>
            </w:r>
          </w:p>
        </w:tc>
      </w:tr>
      <w:tr>
        <w:trPr>
          <w:cantSplit/>
        </w:trPr>
        <w:tc>
          <w:tcPr>
            <w:tcW w:type="dxa" w:w="3288"/>
          </w:tcPr>
          <w:p>
            <w:pPr>
              <w:spacing w:after="40"/>
            </w:pPr>
            <w:r>
              <w:rPr>
                <w:sz w:val="18"/>
              </w:rPr>
              <w:t>Administrative Data</w:t>
            </w:r>
          </w:p>
        </w:tc>
        <w:tc>
          <w:tcPr>
            <w:tcW w:type="dxa" w:w="3005"/>
          </w:tcPr>
          <w:p>
            <w:pPr>
              <w:spacing w:after="40"/>
            </w:pPr>
            <w:r>
              <w:rPr>
                <w:sz w:val="18"/>
              </w:rPr>
              <w:t>x 809–895</w:t>
              <w:br/>
              <w:t>y 291–298</w:t>
            </w:r>
          </w:p>
        </w:tc>
        <w:tc>
          <w:tcPr>
            <w:tcW w:type="dxa" w:w="3402"/>
          </w:tcPr>
          <w:p>
            <w:pPr>
              <w:spacing w:after="40"/>
            </w:pPr>
            <w:r>
              <w:rPr>
                <w:sz w:val="18"/>
              </w:rPr>
              <w:t>auf mittlerer Höhe, mittig</w:t>
              <w:br/>
              <w:t>x 58.5–64.8 %</w:t>
              <w:br/>
              <w:t>y 44.2–45.3 %</w:t>
            </w:r>
          </w:p>
        </w:tc>
      </w:tr>
      <w:tr>
        <w:trPr>
          <w:cantSplit/>
        </w:trPr>
        <w:tc>
          <w:tcPr>
            <w:tcW w:type="dxa" w:w="3288"/>
          </w:tcPr>
          <w:p>
            <w:pPr>
              <w:spacing w:after="40"/>
            </w:pPr>
            <w:r>
              <w:rPr>
                <w:sz w:val="18"/>
              </w:rPr>
              <w:t>MB)</w:t>
            </w:r>
          </w:p>
        </w:tc>
        <w:tc>
          <w:tcPr>
            <w:tcW w:type="dxa" w:w="3005"/>
          </w:tcPr>
          <w:p>
            <w:pPr>
              <w:spacing w:after="40"/>
            </w:pPr>
            <w:r>
              <w:rPr>
                <w:sz w:val="18"/>
              </w:rPr>
              <w:t>x 930–948</w:t>
              <w:br/>
              <w:t>y 291–300</w:t>
            </w:r>
          </w:p>
        </w:tc>
        <w:tc>
          <w:tcPr>
            <w:tcW w:type="dxa" w:w="3402"/>
          </w:tcPr>
          <w:p>
            <w:pPr>
              <w:spacing w:after="40"/>
            </w:pPr>
            <w:r>
              <w:rPr>
                <w:sz w:val="18"/>
              </w:rPr>
              <w:t>auf mittlerer Höhe, rechts</w:t>
              <w:br/>
              <w:t>x 67.3–68.6 %</w:t>
              <w:br/>
              <w:t>y 44.2–45.5 %</w:t>
            </w:r>
          </w:p>
        </w:tc>
      </w:tr>
      <w:tr>
        <w:trPr>
          <w:cantSplit/>
        </w:trPr>
        <w:tc>
          <w:tcPr>
            <w:tcW w:type="dxa" w:w="3288"/>
          </w:tcPr>
          <w:p>
            <w:pPr>
              <w:spacing w:after="40"/>
            </w:pPr>
            <w:r>
              <w:rPr>
                <w:sz w:val="18"/>
              </w:rPr>
              <w:t>Used by Spaces for Storage</w:t>
            </w:r>
          </w:p>
        </w:tc>
        <w:tc>
          <w:tcPr>
            <w:tcW w:type="dxa" w:w="3005"/>
          </w:tcPr>
          <w:p>
            <w:pPr>
              <w:spacing w:after="40"/>
            </w:pPr>
            <w:r>
              <w:rPr>
                <w:sz w:val="18"/>
              </w:rPr>
              <w:t>x 251–382</w:t>
              <w:br/>
              <w:t>y 304–314</w:t>
            </w:r>
          </w:p>
        </w:tc>
        <w:tc>
          <w:tcPr>
            <w:tcW w:type="dxa" w:w="3402"/>
          </w:tcPr>
          <w:p>
            <w:pPr>
              <w:spacing w:after="40"/>
            </w:pPr>
            <w:r>
              <w:rPr>
                <w:sz w:val="18"/>
              </w:rPr>
              <w:t>auf mittlerer Höhe, links</w:t>
              <w:br/>
              <w:t>x 18.2–27.7 %</w:t>
              <w:br/>
              <w:t>y 46.3–47.7 %</w:t>
            </w:r>
          </w:p>
        </w:tc>
      </w:tr>
      <w:tr>
        <w:trPr>
          <w:cantSplit/>
        </w:trPr>
        <w:tc>
          <w:tcPr>
            <w:tcW w:type="dxa" w:w="3288"/>
          </w:tcPr>
          <w:p>
            <w:pPr>
              <w:spacing w:after="40"/>
            </w:pPr>
            <w:r>
              <w:rPr>
                <w:sz w:val="18"/>
              </w:rPr>
              <w:t>Failed Tasks</w:t>
            </w:r>
          </w:p>
        </w:tc>
        <w:tc>
          <w:tcPr>
            <w:tcW w:type="dxa" w:w="3005"/>
          </w:tcPr>
          <w:p>
            <w:pPr>
              <w:spacing w:after="40"/>
            </w:pPr>
            <w:r>
              <w:rPr>
                <w:sz w:val="18"/>
              </w:rPr>
              <w:t>x 422–480</w:t>
              <w:br/>
              <w:t>y 304–312</w:t>
            </w:r>
          </w:p>
        </w:tc>
        <w:tc>
          <w:tcPr>
            <w:tcW w:type="dxa" w:w="3402"/>
          </w:tcPr>
          <w:p>
            <w:pPr>
              <w:spacing w:after="40"/>
            </w:pPr>
            <w:r>
              <w:rPr>
                <w:sz w:val="18"/>
              </w:rPr>
              <w:t>auf mittlerer Höhe, links</w:t>
              <w:br/>
              <w:t>x 30.5–34.7 %</w:t>
              <w:br/>
              <w:t>y 46.3–47.4 %</w:t>
            </w:r>
          </w:p>
        </w:tc>
      </w:tr>
      <w:tr>
        <w:trPr>
          <w:cantSplit/>
        </w:trPr>
        <w:tc>
          <w:tcPr>
            <w:tcW w:type="dxa" w:w="3288"/>
          </w:tcPr>
          <w:p>
            <w:pPr>
              <w:spacing w:after="40"/>
            </w:pPr>
            <w:r>
              <w:rPr>
                <w:sz w:val="18"/>
              </w:rPr>
              <w:t>Out-of-Memory Errors</w:t>
            </w:r>
          </w:p>
        </w:tc>
        <w:tc>
          <w:tcPr>
            <w:tcW w:type="dxa" w:w="3005"/>
          </w:tcPr>
          <w:p>
            <w:pPr>
              <w:spacing w:after="40"/>
            </w:pPr>
            <w:r>
              <w:rPr>
                <w:sz w:val="18"/>
              </w:rPr>
              <w:t>x 1060–1165</w:t>
              <w:br/>
              <w:t>y 304–314</w:t>
            </w:r>
          </w:p>
        </w:tc>
        <w:tc>
          <w:tcPr>
            <w:tcW w:type="dxa" w:w="3402"/>
          </w:tcPr>
          <w:p>
            <w:pPr>
              <w:spacing w:after="40"/>
            </w:pPr>
            <w:r>
              <w:rPr>
                <w:sz w:val="18"/>
              </w:rPr>
              <w:t>auf mittlerer Höhe, rechts</w:t>
              <w:br/>
              <w:t>x 76.7–84.3 %</w:t>
              <w:br/>
              <w:t>y 46.3–47.7 %</w:t>
            </w:r>
          </w:p>
        </w:tc>
      </w:tr>
      <w:tr>
        <w:trPr>
          <w:cantSplit/>
        </w:trPr>
        <w:tc>
          <w:tcPr>
            <w:tcW w:type="dxa" w:w="3288"/>
          </w:tcPr>
          <w:p>
            <w:pPr>
              <w:spacing w:after="40"/>
            </w:pPr>
            <w:r>
              <w:rPr>
                <w:sz w:val="18"/>
              </w:rPr>
              <w:t>Audit Log Data</w:t>
            </w:r>
          </w:p>
        </w:tc>
        <w:tc>
          <w:tcPr>
            <w:tcW w:type="dxa" w:w="3005"/>
          </w:tcPr>
          <w:p>
            <w:pPr>
              <w:spacing w:after="40"/>
            </w:pPr>
            <w:r>
              <w:rPr>
                <w:sz w:val="18"/>
              </w:rPr>
              <w:t>x 809–874</w:t>
              <w:br/>
              <w:t>y 318–328</w:t>
            </w:r>
          </w:p>
        </w:tc>
        <w:tc>
          <w:tcPr>
            <w:tcW w:type="dxa" w:w="3402"/>
          </w:tcPr>
          <w:p>
            <w:pPr>
              <w:spacing w:after="40"/>
            </w:pPr>
            <w:r>
              <w:rPr>
                <w:sz w:val="18"/>
              </w:rPr>
              <w:t>auf mittlerer Höhe, mittig</w:t>
              <w:br/>
              <w:t>x 58.5–63.2 %</w:t>
              <w:br/>
              <w:t>y 48.4–49.8 %</w:t>
            </w:r>
          </w:p>
        </w:tc>
      </w:tr>
      <w:tr>
        <w:trPr>
          <w:cantSplit/>
        </w:trPr>
        <w:tc>
          <w:tcPr>
            <w:tcW w:type="dxa" w:w="3288"/>
          </w:tcPr>
          <w:p>
            <w:pPr>
              <w:spacing w:after="40"/>
            </w:pPr>
            <w:r>
              <w:rPr>
                <w:sz w:val="18"/>
              </w:rPr>
              <w:t>Apps</w:t>
            </w:r>
          </w:p>
        </w:tc>
        <w:tc>
          <w:tcPr>
            <w:tcW w:type="dxa" w:w="3005"/>
          </w:tcPr>
          <w:p>
            <w:pPr>
              <w:spacing w:after="40"/>
            </w:pPr>
            <w:r>
              <w:rPr>
                <w:sz w:val="18"/>
              </w:rPr>
              <w:t>x 17–39</w:t>
              <w:br/>
              <w:t>y 355–364</w:t>
            </w:r>
          </w:p>
        </w:tc>
        <w:tc>
          <w:tcPr>
            <w:tcW w:type="dxa" w:w="3402"/>
          </w:tcPr>
          <w:p>
            <w:pPr>
              <w:spacing w:after="40"/>
            </w:pPr>
            <w:r>
              <w:rPr>
                <w:sz w:val="18"/>
              </w:rPr>
              <w:t>auf mittlerer Höhe, links</w:t>
              <w:br/>
              <w:t>x 1.2–2.8 %</w:t>
              <w:br/>
              <w:t>y 54.0–55.2 %</w:t>
            </w:r>
          </w:p>
        </w:tc>
      </w:tr>
      <w:tr>
        <w:trPr>
          <w:cantSplit/>
        </w:trPr>
        <w:tc>
          <w:tcPr>
            <w:tcW w:type="dxa" w:w="3288"/>
          </w:tcPr>
          <w:p>
            <w:pPr>
              <w:spacing w:after="40"/>
            </w:pPr>
            <w:r>
              <w:rPr>
                <w:sz w:val="18"/>
              </w:rPr>
              <w:t>Semantic Onboarding</w:t>
            </w:r>
          </w:p>
        </w:tc>
        <w:tc>
          <w:tcPr>
            <w:tcW w:type="dxa" w:w="3005"/>
          </w:tcPr>
          <w:p>
            <w:pPr>
              <w:spacing w:after="40"/>
            </w:pPr>
            <w:r>
              <w:rPr>
                <w:sz w:val="18"/>
              </w:rPr>
              <w:t>x 34–131</w:t>
              <w:br/>
              <w:t>y 381–390</w:t>
            </w:r>
          </w:p>
        </w:tc>
        <w:tc>
          <w:tcPr>
            <w:tcW w:type="dxa" w:w="3402"/>
          </w:tcPr>
          <w:p>
            <w:pPr>
              <w:spacing w:after="40"/>
            </w:pPr>
            <w:r>
              <w:rPr>
                <w:sz w:val="18"/>
              </w:rPr>
              <w:t>auf mittlerer Höhe, links</w:t>
              <w:br/>
              <w:t>x 2.5–9.5 %</w:t>
              <w:br/>
              <w:t>y 57.9–59.3 %</w:t>
            </w:r>
          </w:p>
        </w:tc>
      </w:tr>
      <w:tr>
        <w:trPr>
          <w:cantSplit/>
        </w:trPr>
        <w:tc>
          <w:tcPr>
            <w:tcW w:type="dxa" w:w="3288"/>
          </w:tcPr>
          <w:p>
            <w:pPr>
              <w:spacing w:after="40"/>
            </w:pPr>
            <w:r>
              <w:rPr>
                <w:sz w:val="18"/>
              </w:rPr>
              <w:t>Business Builder</w:t>
            </w:r>
          </w:p>
        </w:tc>
        <w:tc>
          <w:tcPr>
            <w:tcW w:type="dxa" w:w="3005"/>
          </w:tcPr>
          <w:p>
            <w:pPr>
              <w:spacing w:after="40"/>
            </w:pPr>
            <w:r>
              <w:rPr>
                <w:sz w:val="18"/>
              </w:rPr>
              <w:t>x 34–108</w:t>
              <w:br/>
              <w:t>y 407–414</w:t>
            </w:r>
          </w:p>
        </w:tc>
        <w:tc>
          <w:tcPr>
            <w:tcW w:type="dxa" w:w="3402"/>
          </w:tcPr>
          <w:p>
            <w:pPr>
              <w:spacing w:after="40"/>
            </w:pPr>
            <w:r>
              <w:rPr>
                <w:sz w:val="18"/>
              </w:rPr>
              <w:t>auf mittlerer Höhe, links</w:t>
              <w:br/>
              <w:t>x 2.5–7.9 %</w:t>
              <w:br/>
              <w:t>y 61.9–62.9 %</w:t>
            </w:r>
          </w:p>
        </w:tc>
      </w:tr>
      <w:tr>
        <w:trPr>
          <w:cantSplit/>
        </w:trPr>
        <w:tc>
          <w:tcPr>
            <w:tcW w:type="dxa" w:w="3288"/>
          </w:tcPr>
          <w:p>
            <w:pPr>
              <w:spacing w:after="40"/>
            </w:pPr>
            <w:r>
              <w:rPr>
                <w:sz w:val="18"/>
              </w:rPr>
              <w:t>View Logs</w:t>
            </w:r>
          </w:p>
        </w:tc>
        <w:tc>
          <w:tcPr>
            <w:tcW w:type="dxa" w:w="3005"/>
          </w:tcPr>
          <w:p>
            <w:pPr>
              <w:spacing w:after="40"/>
            </w:pPr>
            <w:r>
              <w:rPr>
                <w:sz w:val="18"/>
              </w:rPr>
              <w:t>x 530–575</w:t>
              <w:br/>
              <w:t>y 410–419</w:t>
            </w:r>
          </w:p>
        </w:tc>
        <w:tc>
          <w:tcPr>
            <w:tcW w:type="dxa" w:w="3402"/>
          </w:tcPr>
          <w:p>
            <w:pPr>
              <w:spacing w:after="40"/>
            </w:pPr>
            <w:r>
              <w:rPr>
                <w:sz w:val="18"/>
              </w:rPr>
              <w:t>auf mittlerer Höhe, mittig</w:t>
              <w:br/>
              <w:t>x 38.4–41.6 %</w:t>
              <w:br/>
              <w:t>y 62.3–63.7 %</w:t>
            </w:r>
          </w:p>
        </w:tc>
      </w:tr>
      <w:tr>
        <w:trPr>
          <w:cantSplit/>
        </w:trPr>
        <w:tc>
          <w:tcPr>
            <w:tcW w:type="dxa" w:w="3288"/>
          </w:tcPr>
          <w:p>
            <w:pPr>
              <w:spacing w:after="40"/>
            </w:pPr>
            <w:r>
              <w:rPr>
                <w:sz w:val="18"/>
              </w:rPr>
              <w:t>View Logs</w:t>
            </w:r>
          </w:p>
        </w:tc>
        <w:tc>
          <w:tcPr>
            <w:tcW w:type="dxa" w:w="3005"/>
          </w:tcPr>
          <w:p>
            <w:pPr>
              <w:spacing w:after="40"/>
            </w:pPr>
            <w:r>
              <w:rPr>
                <w:sz w:val="18"/>
              </w:rPr>
              <w:t>x 1168–1213</w:t>
              <w:br/>
              <w:t>y 410–419</w:t>
            </w:r>
          </w:p>
        </w:tc>
        <w:tc>
          <w:tcPr>
            <w:tcW w:type="dxa" w:w="3402"/>
          </w:tcPr>
          <w:p>
            <w:pPr>
              <w:spacing w:after="40"/>
            </w:pPr>
            <w:r>
              <w:rPr>
                <w:sz w:val="18"/>
              </w:rPr>
              <w:t>auf mittlerer Höhe, rechts</w:t>
              <w:br/>
              <w:t>x 84.6–87.8 %</w:t>
              <w:br/>
              <w:t>y 62.3–63.7 %</w:t>
            </w:r>
          </w:p>
        </w:tc>
      </w:tr>
      <w:tr>
        <w:trPr>
          <w:cantSplit/>
        </w:trPr>
        <w:tc>
          <w:tcPr>
            <w:tcW w:type="dxa" w:w="3288"/>
          </w:tcPr>
          <w:p>
            <w:pPr>
              <w:spacing w:after="40"/>
            </w:pPr>
            <w:r>
              <w:rPr>
                <w:sz w:val="18"/>
              </w:rPr>
              <w:t>Data Builder</w:t>
            </w:r>
          </w:p>
        </w:tc>
        <w:tc>
          <w:tcPr>
            <w:tcW w:type="dxa" w:w="3005"/>
          </w:tcPr>
          <w:p>
            <w:pPr>
              <w:spacing w:after="40"/>
            </w:pPr>
            <w:r>
              <w:rPr>
                <w:sz w:val="18"/>
              </w:rPr>
              <w:t>x 32–92</w:t>
              <w:br/>
              <w:t>y 428–444</w:t>
            </w:r>
          </w:p>
        </w:tc>
        <w:tc>
          <w:tcPr>
            <w:tcW w:type="dxa" w:w="3402"/>
          </w:tcPr>
          <w:p>
            <w:pPr>
              <w:spacing w:after="40"/>
            </w:pPr>
            <w:r>
              <w:rPr>
                <w:sz w:val="18"/>
              </w:rPr>
              <w:t>auf mittlerer Höhe, links</w:t>
              <w:br/>
              <w:t>x 2.4–6.6 %</w:t>
              <w:br/>
              <w:t>y 65.0–67.5 %</w:t>
            </w:r>
          </w:p>
        </w:tc>
      </w:tr>
      <w:tr>
        <w:trPr>
          <w:cantSplit/>
        </w:trPr>
        <w:tc>
          <w:tcPr>
            <w:tcW w:type="dxa" w:w="3288"/>
          </w:tcPr>
          <w:p>
            <w:pPr>
              <w:spacing w:after="40"/>
            </w:pPr>
            <w:r>
              <w:rPr>
                <w:sz w:val="18"/>
              </w:rPr>
              <w:t>Out-of-Memory Errors</w:t>
            </w:r>
          </w:p>
        </w:tc>
        <w:tc>
          <w:tcPr>
            <w:tcW w:type="dxa" w:w="3005"/>
          </w:tcPr>
          <w:p>
            <w:pPr>
              <w:spacing w:after="40"/>
            </w:pPr>
            <w:r>
              <w:rPr>
                <w:sz w:val="18"/>
              </w:rPr>
              <w:t>x 238–342</w:t>
              <w:br/>
              <w:t>y 446–456</w:t>
            </w:r>
          </w:p>
        </w:tc>
        <w:tc>
          <w:tcPr>
            <w:tcW w:type="dxa" w:w="3402"/>
          </w:tcPr>
          <w:p>
            <w:pPr>
              <w:spacing w:after="40"/>
            </w:pPr>
            <w:r>
              <w:rPr>
                <w:sz w:val="18"/>
              </w:rPr>
              <w:t>unten, links</w:t>
              <w:br/>
              <w:t>x 17.2–24.8 %</w:t>
              <w:br/>
              <w:t>y 67.9–69.3 %</w:t>
            </w:r>
          </w:p>
        </w:tc>
      </w:tr>
      <w:tr>
        <w:trPr>
          <w:cantSplit/>
        </w:trPr>
        <w:tc>
          <w:tcPr>
            <w:tcW w:type="dxa" w:w="3288"/>
          </w:tcPr>
          <w:p>
            <w:pPr>
              <w:spacing w:after="40"/>
            </w:pPr>
            <w:r>
              <w:rPr>
                <w:sz w:val="18"/>
              </w:rPr>
              <w:t>(Workload Class)</w:t>
            </w:r>
          </w:p>
        </w:tc>
        <w:tc>
          <w:tcPr>
            <w:tcW w:type="dxa" w:w="3005"/>
          </w:tcPr>
          <w:p>
            <w:pPr>
              <w:spacing w:after="40"/>
            </w:pPr>
            <w:r>
              <w:rPr>
                <w:sz w:val="18"/>
              </w:rPr>
              <w:t>x 346–427</w:t>
              <w:br/>
              <w:t>y 446–456</w:t>
            </w:r>
          </w:p>
        </w:tc>
        <w:tc>
          <w:tcPr>
            <w:tcW w:type="dxa" w:w="3402"/>
          </w:tcPr>
          <w:p>
            <w:pPr>
              <w:spacing w:after="40"/>
            </w:pPr>
            <w:r>
              <w:rPr>
                <w:sz w:val="18"/>
              </w:rPr>
              <w:t>unten, links</w:t>
              <w:br/>
              <w:t>x 25.0–30.9 %</w:t>
              <w:br/>
              <w:t>y 67.9–69.3 %</w:t>
            </w:r>
          </w:p>
        </w:tc>
      </w:tr>
      <w:tr>
        <w:trPr>
          <w:cantSplit/>
        </w:trPr>
        <w:tc>
          <w:tcPr>
            <w:tcW w:type="dxa" w:w="3288"/>
          </w:tcPr>
          <w:p>
            <w:pPr>
              <w:spacing w:after="40"/>
            </w:pPr>
            <w:r>
              <w:rPr>
                <w:sz w:val="18"/>
              </w:rPr>
              <w:t>by Space</w:t>
            </w:r>
          </w:p>
        </w:tc>
        <w:tc>
          <w:tcPr>
            <w:tcW w:type="dxa" w:w="3005"/>
          </w:tcPr>
          <w:p>
            <w:pPr>
              <w:spacing w:after="40"/>
            </w:pPr>
            <w:r>
              <w:rPr>
                <w:sz w:val="18"/>
              </w:rPr>
              <w:t>x 430–474</w:t>
              <w:br/>
              <w:t>y 446–456</w:t>
            </w:r>
          </w:p>
        </w:tc>
        <w:tc>
          <w:tcPr>
            <w:tcW w:type="dxa" w:w="3402"/>
          </w:tcPr>
          <w:p>
            <w:pPr>
              <w:spacing w:after="40"/>
            </w:pPr>
            <w:r>
              <w:rPr>
                <w:sz w:val="18"/>
              </w:rPr>
              <w:t>unten, links</w:t>
              <w:br/>
              <w:t>x 31.2–34.3 %</w:t>
              <w:br/>
              <w:t>y 67.9–69.3 %</w:t>
            </w:r>
          </w:p>
        </w:tc>
      </w:tr>
      <w:tr>
        <w:trPr>
          <w:cantSplit/>
        </w:trPr>
        <w:tc>
          <w:tcPr>
            <w:tcW w:type="dxa" w:w="3288"/>
          </w:tcPr>
          <w:p>
            <w:pPr>
              <w:spacing w:after="40"/>
            </w:pPr>
            <w:r>
              <w:rPr>
                <w:sz w:val="18"/>
              </w:rPr>
              <w:t>Errors</w:t>
            </w:r>
          </w:p>
        </w:tc>
        <w:tc>
          <w:tcPr>
            <w:tcW w:type="dxa" w:w="3005"/>
          </w:tcPr>
          <w:p>
            <w:pPr>
              <w:spacing w:after="40"/>
            </w:pPr>
            <w:r>
              <w:rPr>
                <w:sz w:val="18"/>
              </w:rPr>
              <w:t>x 710–739</w:t>
              <w:br/>
              <w:t>y 446–454</w:t>
            </w:r>
          </w:p>
        </w:tc>
        <w:tc>
          <w:tcPr>
            <w:tcW w:type="dxa" w:w="3402"/>
          </w:tcPr>
          <w:p>
            <w:pPr>
              <w:spacing w:after="40"/>
            </w:pPr>
            <w:r>
              <w:rPr>
                <w:sz w:val="18"/>
              </w:rPr>
              <w:t>unten, mittig</w:t>
              <w:br/>
              <w:t>x 51.4–53.5 %</w:t>
              <w:br/>
              <w:t>y 67.9–69.0 %</w:t>
            </w:r>
          </w:p>
        </w:tc>
      </w:tr>
      <w:tr>
        <w:trPr>
          <w:cantSplit/>
        </w:trPr>
        <w:tc>
          <w:tcPr>
            <w:tcW w:type="dxa" w:w="3288"/>
          </w:tcPr>
          <w:p>
            <w:pPr>
              <w:spacing w:after="40"/>
            </w:pPr>
            <w:r>
              <w:rPr>
                <w:sz w:val="18"/>
              </w:rPr>
              <w:t>(MDS Requests)</w:t>
            </w:r>
          </w:p>
        </w:tc>
        <w:tc>
          <w:tcPr>
            <w:tcW w:type="dxa" w:w="3005"/>
          </w:tcPr>
          <w:p>
            <w:pPr>
              <w:spacing w:after="40"/>
            </w:pPr>
            <w:r>
              <w:rPr>
                <w:sz w:val="18"/>
              </w:rPr>
              <w:t>x 742–818</w:t>
              <w:br/>
              <w:t>y 446–456</w:t>
            </w:r>
          </w:p>
        </w:tc>
        <w:tc>
          <w:tcPr>
            <w:tcW w:type="dxa" w:w="3402"/>
          </w:tcPr>
          <w:p>
            <w:pPr>
              <w:spacing w:after="40"/>
            </w:pPr>
            <w:r>
              <w:rPr>
                <w:sz w:val="18"/>
              </w:rPr>
              <w:t>unten, mittig</w:t>
              <w:br/>
              <w:t>x 53.7–59.2 %</w:t>
              <w:br/>
              <w:t>y 67.9–69.3 %</w:t>
            </w:r>
          </w:p>
        </w:tc>
      </w:tr>
      <w:tr>
        <w:trPr>
          <w:cantSplit/>
        </w:trPr>
        <w:tc>
          <w:tcPr>
            <w:tcW w:type="dxa" w:w="3288"/>
          </w:tcPr>
          <w:p>
            <w:pPr>
              <w:spacing w:after="40"/>
            </w:pPr>
            <w:r>
              <w:rPr>
                <w:sz w:val="18"/>
              </w:rPr>
              <w:t>Admission Control Rejection Events</w:t>
            </w:r>
          </w:p>
        </w:tc>
        <w:tc>
          <w:tcPr>
            <w:tcW w:type="dxa" w:w="3005"/>
          </w:tcPr>
          <w:p>
            <w:pPr>
              <w:spacing w:after="40"/>
            </w:pPr>
            <w:r>
              <w:rPr>
                <w:sz w:val="18"/>
              </w:rPr>
              <w:t>x 1060–1232</w:t>
              <w:br/>
              <w:t>y 446–456</w:t>
            </w:r>
          </w:p>
        </w:tc>
        <w:tc>
          <w:tcPr>
            <w:tcW w:type="dxa" w:w="3402"/>
          </w:tcPr>
          <w:p>
            <w:pPr>
              <w:spacing w:after="40"/>
            </w:pPr>
            <w:r>
              <w:rPr>
                <w:sz w:val="18"/>
              </w:rPr>
              <w:t>unten, rechts</w:t>
              <w:br/>
              <w:t>x 76.7–89.1 %</w:t>
              <w:br/>
              <w:t>y 67.9–69.3 %</w:t>
            </w:r>
          </w:p>
        </w:tc>
      </w:tr>
      <w:tr>
        <w:trPr>
          <w:cantSplit/>
        </w:trPr>
        <w:tc>
          <w:tcPr>
            <w:tcW w:type="dxa" w:w="3288"/>
          </w:tcPr>
          <w:p>
            <w:pPr>
              <w:spacing w:after="40"/>
            </w:pPr>
            <w:r>
              <w:rPr>
                <w:sz w:val="18"/>
              </w:rPr>
              <w:t>Connections</w:t>
            </w:r>
          </w:p>
        </w:tc>
        <w:tc>
          <w:tcPr>
            <w:tcW w:type="dxa" w:w="3005"/>
          </w:tcPr>
          <w:p>
            <w:pPr>
              <w:spacing w:after="40"/>
            </w:pPr>
            <w:r>
              <w:rPr>
                <w:sz w:val="18"/>
              </w:rPr>
              <w:t>x 32–92</w:t>
              <w:br/>
              <w:t>y 457–470</w:t>
            </w:r>
          </w:p>
        </w:tc>
        <w:tc>
          <w:tcPr>
            <w:tcW w:type="dxa" w:w="3402"/>
          </w:tcPr>
          <w:p>
            <w:pPr>
              <w:spacing w:after="40"/>
            </w:pPr>
            <w:r>
              <w:rPr>
                <w:sz w:val="18"/>
              </w:rPr>
              <w:t>unten, links</w:t>
              <w:br/>
              <w:t>x 2.3–6.7 %</w:t>
              <w:br/>
              <w:t>y 69.5–71.5 %</w:t>
            </w:r>
          </w:p>
        </w:tc>
      </w:tr>
      <w:tr>
        <w:trPr>
          <w:cantSplit/>
        </w:trPr>
        <w:tc>
          <w:tcPr>
            <w:tcW w:type="dxa" w:w="3288"/>
          </w:tcPr>
          <w:p>
            <w:pPr>
              <w:spacing w:after="40"/>
            </w:pPr>
            <w:r>
              <w:rPr>
                <w:sz w:val="18"/>
              </w:rPr>
              <w:t>Utilities</w:t>
            </w:r>
          </w:p>
        </w:tc>
        <w:tc>
          <w:tcPr>
            <w:tcW w:type="dxa" w:w="3005"/>
          </w:tcPr>
          <w:p>
            <w:pPr>
              <w:spacing w:after="40"/>
            </w:pPr>
            <w:r>
              <w:rPr>
                <w:sz w:val="18"/>
              </w:rPr>
              <w:t>x 17–49</w:t>
              <w:br/>
              <w:t>y 492–499</w:t>
            </w:r>
          </w:p>
        </w:tc>
        <w:tc>
          <w:tcPr>
            <w:tcW w:type="dxa" w:w="3402"/>
          </w:tcPr>
          <w:p>
            <w:pPr>
              <w:spacing w:after="40"/>
            </w:pPr>
            <w:r>
              <w:rPr>
                <w:sz w:val="18"/>
              </w:rPr>
              <w:t>unten, links</w:t>
              <w:br/>
              <w:t>x 1.2–3.5 %</w:t>
              <w:br/>
              <w:t>y 74.8–75.8 %</w:t>
            </w:r>
          </w:p>
        </w:tc>
      </w:tr>
      <w:tr>
        <w:trPr>
          <w:cantSplit/>
        </w:trPr>
        <w:tc>
          <w:tcPr>
            <w:tcW w:type="dxa" w:w="3288"/>
          </w:tcPr>
          <w:p>
            <w:pPr>
              <w:spacing w:after="40"/>
            </w:pPr>
            <w:r>
              <w:rPr>
                <w:sz w:val="18"/>
              </w:rPr>
              <w:t>Space Management</w:t>
            </w:r>
          </w:p>
        </w:tc>
        <w:tc>
          <w:tcPr>
            <w:tcW w:type="dxa" w:w="3005"/>
          </w:tcPr>
          <w:p>
            <w:pPr>
              <w:spacing w:after="40"/>
            </w:pPr>
            <w:r>
              <w:rPr>
                <w:sz w:val="18"/>
              </w:rPr>
              <w:t>x 34–123</w:t>
              <w:br/>
              <w:t>y 518–528</w:t>
            </w:r>
          </w:p>
        </w:tc>
        <w:tc>
          <w:tcPr>
            <w:tcW w:type="dxa" w:w="3402"/>
          </w:tcPr>
          <w:p>
            <w:pPr>
              <w:spacing w:after="40"/>
            </w:pPr>
            <w:r>
              <w:rPr>
                <w:sz w:val="18"/>
              </w:rPr>
              <w:t>unten, links</w:t>
              <w:br/>
              <w:t>x 2.5–8.9 %</w:t>
              <w:br/>
              <w:t>y 78.7–80.2 %</w:t>
            </w:r>
          </w:p>
        </w:tc>
      </w:tr>
      <w:tr>
        <w:trPr>
          <w:cantSplit/>
        </w:trPr>
        <w:tc>
          <w:tcPr>
            <w:tcW w:type="dxa" w:w="3288"/>
          </w:tcPr>
          <w:p>
            <w:pPr>
              <w:spacing w:after="40"/>
            </w:pPr>
            <w:r>
              <w:rPr>
                <w:sz w:val="18"/>
              </w:rPr>
              <w:t>Translation</w:t>
            </w:r>
          </w:p>
        </w:tc>
        <w:tc>
          <w:tcPr>
            <w:tcW w:type="dxa" w:w="3005"/>
          </w:tcPr>
          <w:p>
            <w:pPr>
              <w:spacing w:after="40"/>
            </w:pPr>
            <w:r>
              <w:rPr>
                <w:sz w:val="18"/>
              </w:rPr>
              <w:t>x 34–83</w:t>
              <w:br/>
              <w:t>y 543–553</w:t>
            </w:r>
          </w:p>
        </w:tc>
        <w:tc>
          <w:tcPr>
            <w:tcW w:type="dxa" w:w="3402"/>
          </w:tcPr>
          <w:p>
            <w:pPr>
              <w:spacing w:after="40"/>
            </w:pPr>
            <w:r>
              <w:rPr>
                <w:sz w:val="18"/>
              </w:rPr>
              <w:t>unten, links</w:t>
              <w:br/>
              <w:t>x 2.5–6.0 %</w:t>
              <w:br/>
              <w:t>y 82.5–84.0 %</w:t>
            </w:r>
          </w:p>
        </w:tc>
      </w:tr>
      <w:tr>
        <w:trPr>
          <w:cantSplit/>
        </w:trPr>
        <w:tc>
          <w:tcPr>
            <w:tcW w:type="dxa" w:w="3288"/>
          </w:tcPr>
          <w:p>
            <w:pPr>
              <w:spacing w:after="40"/>
            </w:pPr>
            <w:r>
              <w:rPr>
                <w:sz w:val="18"/>
              </w:rPr>
              <w:t>Open Database Instance</w:t>
            </w:r>
          </w:p>
        </w:tc>
        <w:tc>
          <w:tcPr>
            <w:tcW w:type="dxa" w:w="3005"/>
          </w:tcPr>
          <w:p>
            <w:pPr>
              <w:spacing w:after="40"/>
            </w:pPr>
            <w:r>
              <w:rPr>
                <w:sz w:val="18"/>
              </w:rPr>
              <w:t>x 1104–1213</w:t>
              <w:br/>
              <w:t>y 552–561</w:t>
            </w:r>
          </w:p>
        </w:tc>
        <w:tc>
          <w:tcPr>
            <w:tcW w:type="dxa" w:w="3402"/>
          </w:tcPr>
          <w:p>
            <w:pPr>
              <w:spacing w:after="40"/>
            </w:pPr>
            <w:r>
              <w:rPr>
                <w:sz w:val="18"/>
              </w:rPr>
              <w:t>unten, rechts</w:t>
              <w:br/>
              <w:t>x 79.8–87.8 %</w:t>
              <w:br/>
              <w:t>y 83.8–85.3 %</w:t>
            </w:r>
          </w:p>
        </w:tc>
      </w:tr>
      <w:tr>
        <w:trPr>
          <w:cantSplit/>
        </w:trPr>
        <w:tc>
          <w:tcPr>
            <w:tcW w:type="dxa" w:w="3288"/>
          </w:tcPr>
          <w:p>
            <w:pPr>
              <w:spacing w:after="40"/>
            </w:pPr>
            <w:r>
              <w:rPr>
                <w:sz w:val="18"/>
              </w:rPr>
              <w:t>Transport</w:t>
            </w:r>
          </w:p>
        </w:tc>
        <w:tc>
          <w:tcPr>
            <w:tcW w:type="dxa" w:w="3005"/>
          </w:tcPr>
          <w:p>
            <w:pPr>
              <w:spacing w:after="40"/>
            </w:pPr>
            <w:r>
              <w:rPr>
                <w:sz w:val="18"/>
              </w:rPr>
              <w:t>x 34–76</w:t>
              <w:br/>
              <w:t>y 570–580</w:t>
            </w:r>
          </w:p>
        </w:tc>
        <w:tc>
          <w:tcPr>
            <w:tcW w:type="dxa" w:w="3402"/>
          </w:tcPr>
          <w:p>
            <w:pPr>
              <w:spacing w:after="40"/>
            </w:pPr>
            <w:r>
              <w:rPr>
                <w:sz w:val="18"/>
              </w:rPr>
              <w:t>unten, links</w:t>
              <w:br/>
              <w:t>x 2.5–5.5 %</w:t>
              <w:br/>
              <w:t>y 86.6–88.1 %</w:t>
            </w:r>
          </w:p>
        </w:tc>
      </w:tr>
      <w:tr>
        <w:trPr>
          <w:cantSplit/>
        </w:trPr>
        <w:tc>
          <w:tcPr>
            <w:tcW w:type="dxa" w:w="3288"/>
          </w:tcPr>
          <w:p>
            <w:pPr>
              <w:spacing w:after="40"/>
            </w:pPr>
            <w:r>
              <w:rPr>
                <w:sz w:val="18"/>
              </w:rPr>
              <w:t>No data</w:t>
            </w:r>
          </w:p>
        </w:tc>
        <w:tc>
          <w:tcPr>
            <w:tcW w:type="dxa" w:w="3005"/>
          </w:tcPr>
          <w:p>
            <w:pPr>
              <w:spacing w:after="40"/>
            </w:pPr>
            <w:r>
              <w:rPr>
                <w:sz w:val="18"/>
              </w:rPr>
              <w:t>x 387–426</w:t>
              <w:br/>
              <w:t>y 578–586</w:t>
            </w:r>
          </w:p>
        </w:tc>
        <w:tc>
          <w:tcPr>
            <w:tcW w:type="dxa" w:w="3402"/>
          </w:tcPr>
          <w:p>
            <w:pPr>
              <w:spacing w:after="40"/>
            </w:pPr>
            <w:r>
              <w:rPr>
                <w:sz w:val="18"/>
              </w:rPr>
              <w:t>unten, links</w:t>
              <w:br/>
              <w:t>x 28.0–30.9 %</w:t>
              <w:br/>
              <w:t>y 87.8–89.1 %</w:t>
            </w:r>
          </w:p>
        </w:tc>
      </w:tr>
      <w:tr>
        <w:trPr>
          <w:cantSplit/>
        </w:trPr>
        <w:tc>
          <w:tcPr>
            <w:tcW w:type="dxa" w:w="3288"/>
          </w:tcPr>
          <w:p>
            <w:pPr>
              <w:spacing w:after="40"/>
            </w:pPr>
            <w:r>
              <w:rPr>
                <w:sz w:val="18"/>
              </w:rPr>
              <w:t>No data</w:t>
            </w:r>
          </w:p>
        </w:tc>
        <w:tc>
          <w:tcPr>
            <w:tcW w:type="dxa" w:w="3005"/>
          </w:tcPr>
          <w:p>
            <w:pPr>
              <w:spacing w:after="40"/>
            </w:pPr>
            <w:r>
              <w:rPr>
                <w:sz w:val="18"/>
              </w:rPr>
              <w:t>x 813–852</w:t>
              <w:br/>
              <w:t>y 578–586</w:t>
            </w:r>
          </w:p>
        </w:tc>
        <w:tc>
          <w:tcPr>
            <w:tcW w:type="dxa" w:w="3402"/>
          </w:tcPr>
          <w:p>
            <w:pPr>
              <w:spacing w:after="40"/>
            </w:pPr>
            <w:r>
              <w:rPr>
                <w:sz w:val="18"/>
              </w:rPr>
              <w:t>unten, mittig</w:t>
              <w:br/>
              <w:t>x 58.8–61.6 %</w:t>
              <w:br/>
              <w:t>y 87.8–89.1 %</w:t>
            </w:r>
          </w:p>
        </w:tc>
      </w:tr>
      <w:tr>
        <w:trPr>
          <w:cantSplit/>
        </w:trPr>
        <w:tc>
          <w:tcPr>
            <w:tcW w:type="dxa" w:w="3288"/>
          </w:tcPr>
          <w:p>
            <w:pPr>
              <w:spacing w:after="40"/>
            </w:pPr>
            <w:r>
              <w:rPr>
                <w:sz w:val="18"/>
              </w:rPr>
              <w:t>Admission Control Queuing Events</w:t>
            </w:r>
          </w:p>
        </w:tc>
        <w:tc>
          <w:tcPr>
            <w:tcW w:type="dxa" w:w="3005"/>
          </w:tcPr>
          <w:p>
            <w:pPr>
              <w:spacing w:after="40"/>
            </w:pPr>
            <w:r>
              <w:rPr>
                <w:sz w:val="18"/>
              </w:rPr>
              <w:t>x 1060–1228</w:t>
              <w:br/>
              <w:t>y 588–598</w:t>
            </w:r>
          </w:p>
        </w:tc>
        <w:tc>
          <w:tcPr>
            <w:tcW w:type="dxa" w:w="3402"/>
          </w:tcPr>
          <w:p>
            <w:pPr>
              <w:spacing w:after="40"/>
            </w:pPr>
            <w:r>
              <w:rPr>
                <w:sz w:val="18"/>
              </w:rPr>
              <w:t>unten, rechts</w:t>
              <w:br/>
              <w:t>x 76.7–88.8 %</w:t>
              <w:br/>
              <w:t>y 89.4–90.9 %</w:t>
            </w:r>
          </w:p>
        </w:tc>
      </w:tr>
      <w:tr>
        <w:trPr>
          <w:cantSplit/>
        </w:trPr>
        <w:tc>
          <w:tcPr>
            <w:tcW w:type="dxa" w:w="3288"/>
          </w:tcPr>
          <w:p>
            <w:pPr>
              <w:spacing w:after="40"/>
            </w:pPr>
            <w:r>
              <w:rPr>
                <w:sz w:val="18"/>
              </w:rPr>
              <w:t>Security</w:t>
            </w:r>
          </w:p>
        </w:tc>
        <w:tc>
          <w:tcPr>
            <w:tcW w:type="dxa" w:w="3005"/>
          </w:tcPr>
          <w:p>
            <w:pPr>
              <w:spacing w:after="40"/>
            </w:pPr>
            <w:r>
              <w:rPr>
                <w:sz w:val="18"/>
              </w:rPr>
              <w:t>x 32–70</w:t>
              <w:br/>
              <w:t>y 610–622</w:t>
            </w:r>
          </w:p>
        </w:tc>
        <w:tc>
          <w:tcPr>
            <w:tcW w:type="dxa" w:w="3402"/>
          </w:tcPr>
          <w:p>
            <w:pPr>
              <w:spacing w:after="40"/>
            </w:pPr>
            <w:r>
              <w:rPr>
                <w:sz w:val="18"/>
              </w:rPr>
              <w:t>unten, links</w:t>
              <w:br/>
              <w:t>x 2.4–5.1 %</w:t>
              <w:br/>
              <w:t>y 92.7–94.5 %</w:t>
            </w:r>
          </w:p>
        </w:tc>
      </w:tr>
      <w:tr>
        <w:trPr>
          <w:cantSplit/>
        </w:trPr>
        <w:tc>
          <w:tcPr>
            <w:tcW w:type="dxa" w:w="3288"/>
          </w:tcPr>
          <w:p>
            <w:pPr>
              <w:spacing w:after="40"/>
            </w:pPr>
            <w:r>
              <w:rPr>
                <w:sz w:val="18"/>
              </w:rPr>
              <w:t>system</w:t>
            </w:r>
          </w:p>
        </w:tc>
        <w:tc>
          <w:tcPr>
            <w:tcW w:type="dxa" w:w="3005"/>
          </w:tcPr>
          <w:p>
            <w:pPr>
              <w:spacing w:after="40"/>
            </w:pPr>
            <w:r>
              <w:rPr>
                <w:sz w:val="18"/>
              </w:rPr>
              <w:t>x 31–67</w:t>
              <w:br/>
              <w:t>y 636–648</w:t>
            </w:r>
          </w:p>
        </w:tc>
        <w:tc>
          <w:tcPr>
            <w:tcW w:type="dxa" w:w="3402"/>
          </w:tcPr>
          <w:p>
            <w:pPr>
              <w:spacing w:after="40"/>
            </w:pPr>
            <w:r>
              <w:rPr>
                <w:sz w:val="18"/>
              </w:rPr>
              <w:t>unten, links</w:t>
              <w:br/>
              <w:t>x 2.2–4.8 %</w:t>
              <w:br/>
              <w:t>y 96.7–98.5 %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6: Repository Explorer: weitere Listenansicht</w:t>
      </w:r>
    </w:p>
    <w:p>
      <w:r>
        <w:t>Bildformat: 1383 × 662 Pixel. Die folgenden Positionen beziehen sich auf dieses vollständige Bild.</w:t>
      </w:r>
    </w:p>
    <w:p>
      <w:pPr>
        <w:pStyle w:val="Heading2"/>
      </w:pPr>
      <w:r>
        <w:t>1. Gesamtaufbau und sichtbarer Zustand</w:t>
      </w:r>
    </w:p>
    <w:p>
      <w:pPr>
        <w:pStyle w:val="Heading3"/>
      </w:pPr>
      <w:r>
        <w:t>Gesamtansicht</w:t>
      </w:r>
    </w:p>
    <w:p>
      <w:r>
        <w:t>Der Screenshot zeigt erneut eine breite Objektliste mit einer zusätzlichen Filterspalte links neben der Tabelle. Die globale Navigation bleibt am äußersten linken Rand sichtbar.</w:t>
      </w:r>
    </w:p>
    <w:p>
      <w:pPr>
        <w:pStyle w:val="Heading3"/>
      </w:pPr>
      <w:r>
        <w:t>Filter und Werkzeugleiste</w:t>
      </w:r>
    </w:p>
    <w:p>
      <w:r>
        <w:t>Im linken Filterbereich stehen All, Recent, My Objects, Shared und Favorites. Unter der Überschrift Space folgt eine vertikale Liste. Oberhalb der Tabelle befindet sich eine Werkzeugleiste mit mehreren Symbolen und einer Such- beziehungsweise Auswahlzeile.</w:t>
      </w:r>
    </w:p>
    <w:p>
      <w:pPr>
        <w:pStyle w:val="Heading3"/>
      </w:pPr>
      <w:r>
        <w:t>Tabelleninhalt</w:t>
      </w:r>
    </w:p>
    <w:p>
      <w:r>
        <w:t>Die rechte Hälfte der Tabelle enthält die Spalten Type beziehungsweise Semantic Usage, Space, Folder, Status, Changed On und Favorite. Die sichtbaren Zeilen sind überwiegend als „Analytic Model“ gekennzeichnet. Daneben stehen Bereitstellungsanzeigen. Datum und Uhrzeit sind in der Spalte Changed On zeilenweise angeordnet. Die rechte Randspalte enthält Favoritensymbole.</w:t>
      </w:r>
    </w:p>
    <w:p>
      <w:pPr>
        <w:pStyle w:val="Heading3"/>
      </w:pPr>
      <w:r>
        <w:t>Darstellung</w:t>
      </w:r>
    </w:p>
    <w:p>
      <w:r>
        <w:t>Die Zeilen stehen eng untereinander und besitzen gleichartige Abstände. Kleine Symbole kennzeichnen die Objekte am Zeilenanfang. Die Tabellenüberschrift bleibt oberhalb der Einträge sichtbar. Es ist keine Objektvorschau oder ein Einstellungsdialog geöffnet; der Schwerpunkt liegt auf der Listenübersicht.</w:t>
      </w:r>
    </w:p>
    <w:p>
      <w:pPr>
        <w:pStyle w:val="Heading2"/>
      </w:pPr>
      <w:r>
        <w:t>2. Räumliche Beschreibung von oben nach unten</w:t>
      </w:r>
    </w:p>
    <w:p>
      <w:pPr>
        <w:pStyle w:val="Heading3"/>
      </w:pPr>
      <w:r>
        <w:t>Navigation und Filter</w:t>
      </w:r>
    </w:p>
    <w:p>
      <w:r>
        <w:rPr>
          <w:b/>
        </w:rPr>
        <w:t xml:space="preserve">Ungefähre Bildregion: </w:t>
      </w:r>
      <w:r>
        <w:t>x 0–27 %, y 5–100 %</w:t>
      </w:r>
    </w:p>
    <w:p>
      <w:r>
        <w:t>Links die globale Navigation, daneben die innere Filterspalte. Die Auswahlbereiche stehen im oberen Teil; die Space-Liste setzt sich darunter fort.</w:t>
      </w:r>
    </w:p>
    <w:p>
      <w:pPr>
        <w:pStyle w:val="Heading3"/>
      </w:pPr>
      <w:r>
        <w:t>Werkzeugleiste und Liste</w:t>
      </w:r>
    </w:p>
    <w:p>
      <w:r>
        <w:rPr>
          <w:b/>
        </w:rPr>
        <w:t xml:space="preserve">Ungefähre Bildregion: </w:t>
      </w:r>
      <w:r>
        <w:t>x 27–100 %, y 12–100 %</w:t>
      </w:r>
    </w:p>
    <w:p>
      <w:r>
        <w:t>Die Aktionssymbole stehen in einer horizontalen Reihe über der Suchauswahl. Die Tabellenkopfzeile liegt darunter. Analytic Model wiederholt sich in den Datenzeilen. Änderungszeit und Favoritensymbole befinden sich weit rechts.</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Repository Explorer</w:t>
            </w:r>
          </w:p>
        </w:tc>
        <w:tc>
          <w:tcPr>
            <w:tcW w:type="dxa" w:w="3005"/>
          </w:tcPr>
          <w:p>
            <w:pPr>
              <w:spacing w:after="40"/>
            </w:pPr>
            <w:r>
              <w:rPr>
                <w:sz w:val="18"/>
              </w:rPr>
              <w:t>x 162–257</w:t>
              <w:br/>
              <w:t>y 36–51</w:t>
            </w:r>
          </w:p>
        </w:tc>
        <w:tc>
          <w:tcPr>
            <w:tcW w:type="dxa" w:w="3402"/>
          </w:tcPr>
          <w:p>
            <w:pPr>
              <w:spacing w:after="40"/>
            </w:pPr>
            <w:r>
              <w:rPr>
                <w:sz w:val="18"/>
              </w:rPr>
              <w:t>oben, links</w:t>
              <w:br/>
              <w:t>x 11.7–18.6 %</w:t>
              <w:br/>
              <w:t>y 5.4–7.7 %</w:t>
            </w:r>
          </w:p>
        </w:tc>
      </w:tr>
      <w:tr>
        <w:trPr>
          <w:cantSplit/>
        </w:trPr>
        <w:tc>
          <w:tcPr>
            <w:tcW w:type="dxa" w:w="3288"/>
          </w:tcPr>
          <w:p>
            <w:pPr>
              <w:spacing w:after="40"/>
            </w:pPr>
            <w:r>
              <w:rPr>
                <w:sz w:val="18"/>
              </w:rPr>
              <w:t>Home</w:t>
            </w:r>
          </w:p>
        </w:tc>
        <w:tc>
          <w:tcPr>
            <w:tcW w:type="dxa" w:w="3005"/>
          </w:tcPr>
          <w:p>
            <w:pPr>
              <w:spacing w:after="40"/>
            </w:pPr>
            <w:r>
              <w:rPr>
                <w:sz w:val="18"/>
              </w:rPr>
              <w:t>x 35–61</w:t>
              <w:br/>
              <w:t>y 76–83</w:t>
            </w:r>
          </w:p>
        </w:tc>
        <w:tc>
          <w:tcPr>
            <w:tcW w:type="dxa" w:w="3402"/>
          </w:tcPr>
          <w:p>
            <w:pPr>
              <w:spacing w:after="40"/>
            </w:pPr>
            <w:r>
              <w:rPr>
                <w:sz w:val="18"/>
              </w:rPr>
              <w:t>oben, links</w:t>
              <w:br/>
              <w:t>x 2.5–4.4 %</w:t>
              <w:br/>
              <w:t>y 11.5–12.5 %</w:t>
            </w:r>
          </w:p>
        </w:tc>
      </w:tr>
      <w:tr>
        <w:trPr>
          <w:cantSplit/>
        </w:trPr>
        <w:tc>
          <w:tcPr>
            <w:tcW w:type="dxa" w:w="3288"/>
          </w:tcPr>
          <w:p>
            <w:pPr>
              <w:spacing w:after="40"/>
            </w:pPr>
            <w:r>
              <w:rPr>
                <w:sz w:val="18"/>
              </w:rPr>
              <w:t>Repository Explorer</w:t>
            </w:r>
          </w:p>
        </w:tc>
        <w:tc>
          <w:tcPr>
            <w:tcW w:type="dxa" w:w="3005"/>
          </w:tcPr>
          <w:p>
            <w:pPr>
              <w:spacing w:after="40"/>
            </w:pPr>
            <w:r>
              <w:rPr>
                <w:sz w:val="18"/>
              </w:rPr>
              <w:t>x 35–122</w:t>
              <w:br/>
              <w:t>y 102–111</w:t>
            </w:r>
          </w:p>
        </w:tc>
        <w:tc>
          <w:tcPr>
            <w:tcW w:type="dxa" w:w="3402"/>
          </w:tcPr>
          <w:p>
            <w:pPr>
              <w:spacing w:after="40"/>
            </w:pPr>
            <w:r>
              <w:rPr>
                <w:sz w:val="18"/>
              </w:rPr>
              <w:t>oben, links</w:t>
              <w:br/>
              <w:t>x 2.5–8.9 %</w:t>
              <w:br/>
              <w:t>y 15.4–16.8 %</w:t>
            </w:r>
          </w:p>
        </w:tc>
      </w:tr>
      <w:tr>
        <w:trPr>
          <w:cantSplit/>
        </w:trPr>
        <w:tc>
          <w:tcPr>
            <w:tcW w:type="dxa" w:w="3288"/>
          </w:tcPr>
          <w:p>
            <w:pPr>
              <w:spacing w:after="40"/>
            </w:pPr>
            <w:r>
              <w:rPr>
                <w:sz w:val="18"/>
              </w:rPr>
              <w:t>Search In:</w:t>
            </w:r>
          </w:p>
        </w:tc>
        <w:tc>
          <w:tcPr>
            <w:tcW w:type="dxa" w:w="3005"/>
          </w:tcPr>
          <w:p>
            <w:pPr>
              <w:spacing w:after="40"/>
            </w:pPr>
            <w:r>
              <w:rPr>
                <w:sz w:val="18"/>
              </w:rPr>
              <w:t>x 423–469</w:t>
              <w:br/>
              <w:t>y 122–129</w:t>
            </w:r>
          </w:p>
        </w:tc>
        <w:tc>
          <w:tcPr>
            <w:tcW w:type="dxa" w:w="3402"/>
          </w:tcPr>
          <w:p>
            <w:pPr>
              <w:spacing w:after="40"/>
            </w:pPr>
            <w:r>
              <w:rPr>
                <w:sz w:val="18"/>
              </w:rPr>
              <w:t>oben, links</w:t>
              <w:br/>
              <w:t>x 30.6–33.9 %</w:t>
              <w:br/>
              <w:t>y 18.5–19.5 %</w:t>
            </w:r>
          </w:p>
        </w:tc>
      </w:tr>
      <w:tr>
        <w:trPr>
          <w:cantSplit/>
        </w:trPr>
        <w:tc>
          <w:tcPr>
            <w:tcW w:type="dxa" w:w="3288"/>
          </w:tcPr>
          <w:p>
            <w:pPr>
              <w:spacing w:after="40"/>
            </w:pPr>
            <w:r>
              <w:rPr>
                <w:sz w:val="18"/>
              </w:rPr>
              <w:t>Monitoring</w:t>
            </w:r>
          </w:p>
        </w:tc>
        <w:tc>
          <w:tcPr>
            <w:tcW w:type="dxa" w:w="3005"/>
          </w:tcPr>
          <w:p>
            <w:pPr>
              <w:spacing w:after="40"/>
            </w:pPr>
            <w:r>
              <w:rPr>
                <w:sz w:val="18"/>
              </w:rPr>
              <w:t>x 35–82</w:t>
              <w:br/>
              <w:t>y 128–137</w:t>
            </w:r>
          </w:p>
        </w:tc>
        <w:tc>
          <w:tcPr>
            <w:tcW w:type="dxa" w:w="3402"/>
          </w:tcPr>
          <w:p>
            <w:pPr>
              <w:spacing w:after="40"/>
            </w:pPr>
            <w:r>
              <w:rPr>
                <w:sz w:val="18"/>
              </w:rPr>
              <w:t>oben, links</w:t>
              <w:br/>
              <w:t>x 2.5–5.9 %</w:t>
              <w:br/>
              <w:t>y 19.3–20.7 %</w:t>
            </w:r>
          </w:p>
        </w:tc>
      </w:tr>
      <w:tr>
        <w:trPr>
          <w:cantSplit/>
        </w:trPr>
        <w:tc>
          <w:tcPr>
            <w:tcW w:type="dxa" w:w="3288"/>
          </w:tcPr>
          <w:p>
            <w:pPr>
              <w:spacing w:after="40"/>
            </w:pPr>
            <w:r>
              <w:rPr>
                <w:sz w:val="18"/>
              </w:rPr>
              <w:t>All</w:t>
            </w:r>
          </w:p>
        </w:tc>
        <w:tc>
          <w:tcPr>
            <w:tcW w:type="dxa" w:w="3005"/>
          </w:tcPr>
          <w:p>
            <w:pPr>
              <w:spacing w:after="40"/>
            </w:pPr>
            <w:r>
              <w:rPr>
                <w:sz w:val="18"/>
              </w:rPr>
              <w:t>x 220–231</w:t>
              <w:br/>
              <w:t>y 146–153</w:t>
            </w:r>
          </w:p>
        </w:tc>
        <w:tc>
          <w:tcPr>
            <w:tcW w:type="dxa" w:w="3402"/>
          </w:tcPr>
          <w:p>
            <w:pPr>
              <w:spacing w:after="40"/>
            </w:pPr>
            <w:r>
              <w:rPr>
                <w:sz w:val="18"/>
              </w:rPr>
              <w:t>oben, links</w:t>
              <w:br/>
              <w:t>x 15.9–16.7 %</w:t>
              <w:br/>
              <w:t>y 22.1–23.1 %</w:t>
            </w:r>
          </w:p>
        </w:tc>
      </w:tr>
      <w:tr>
        <w:trPr>
          <w:cantSplit/>
        </w:trPr>
        <w:tc>
          <w:tcPr>
            <w:tcW w:type="dxa" w:w="3288"/>
          </w:tcPr>
          <w:p>
            <w:pPr>
              <w:spacing w:after="40"/>
            </w:pPr>
            <w:r>
              <w:rPr>
                <w:sz w:val="18"/>
              </w:rPr>
              <w:t>Type</w:t>
            </w:r>
          </w:p>
        </w:tc>
        <w:tc>
          <w:tcPr>
            <w:tcW w:type="dxa" w:w="3005"/>
          </w:tcPr>
          <w:p>
            <w:pPr>
              <w:spacing w:after="40"/>
            </w:pPr>
            <w:r>
              <w:rPr>
                <w:sz w:val="18"/>
              </w:rPr>
              <w:t>x 732–753</w:t>
              <w:br/>
              <w:t>y 145–155</w:t>
            </w:r>
          </w:p>
        </w:tc>
        <w:tc>
          <w:tcPr>
            <w:tcW w:type="dxa" w:w="3402"/>
          </w:tcPr>
          <w:p>
            <w:pPr>
              <w:spacing w:after="40"/>
            </w:pPr>
            <w:r>
              <w:rPr>
                <w:sz w:val="18"/>
              </w:rPr>
              <w:t>oben, mittig</w:t>
              <w:br/>
              <w:t>x 52.9–54.4 %</w:t>
              <w:br/>
              <w:t>y 21.9–23.4 %</w:t>
            </w:r>
          </w:p>
        </w:tc>
      </w:tr>
      <w:tr>
        <w:trPr>
          <w:cantSplit/>
        </w:trPr>
        <w:tc>
          <w:tcPr>
            <w:tcW w:type="dxa" w:w="3288"/>
          </w:tcPr>
          <w:p>
            <w:pPr>
              <w:spacing w:after="40"/>
            </w:pPr>
            <w:r>
              <w:rPr>
                <w:sz w:val="18"/>
              </w:rPr>
              <w:t>Space</w:t>
            </w:r>
          </w:p>
        </w:tc>
        <w:tc>
          <w:tcPr>
            <w:tcW w:type="dxa" w:w="3005"/>
          </w:tcPr>
          <w:p>
            <w:pPr>
              <w:spacing w:after="40"/>
            </w:pPr>
            <w:r>
              <w:rPr>
                <w:sz w:val="18"/>
              </w:rPr>
              <w:t>x 838–866</w:t>
              <w:br/>
              <w:t>y 145–155</w:t>
            </w:r>
          </w:p>
        </w:tc>
        <w:tc>
          <w:tcPr>
            <w:tcW w:type="dxa" w:w="3402"/>
          </w:tcPr>
          <w:p>
            <w:pPr>
              <w:spacing w:after="40"/>
            </w:pPr>
            <w:r>
              <w:rPr>
                <w:sz w:val="18"/>
              </w:rPr>
              <w:t>oben, mittig</w:t>
              <w:br/>
              <w:t>x 60.6–62.6 %</w:t>
              <w:br/>
              <w:t>y 21.9–23.4 %</w:t>
            </w:r>
          </w:p>
        </w:tc>
      </w:tr>
      <w:tr>
        <w:trPr>
          <w:cantSplit/>
        </w:trPr>
        <w:tc>
          <w:tcPr>
            <w:tcW w:type="dxa" w:w="3288"/>
          </w:tcPr>
          <w:p>
            <w:pPr>
              <w:spacing w:after="40"/>
            </w:pPr>
            <w:r>
              <w:rPr>
                <w:sz w:val="18"/>
              </w:rPr>
              <w:t>Changed On</w:t>
            </w:r>
          </w:p>
        </w:tc>
        <w:tc>
          <w:tcPr>
            <w:tcW w:type="dxa" w:w="3005"/>
          </w:tcPr>
          <w:p>
            <w:pPr>
              <w:spacing w:after="40"/>
            </w:pPr>
            <w:r>
              <w:rPr>
                <w:sz w:val="18"/>
              </w:rPr>
              <w:t>x 1157–1213</w:t>
              <w:br/>
              <w:t>y 145–155</w:t>
            </w:r>
          </w:p>
        </w:tc>
        <w:tc>
          <w:tcPr>
            <w:tcW w:type="dxa" w:w="3402"/>
          </w:tcPr>
          <w:p>
            <w:pPr>
              <w:spacing w:after="40"/>
            </w:pPr>
            <w:r>
              <w:rPr>
                <w:sz w:val="18"/>
              </w:rPr>
              <w:t>oben, rechts</w:t>
              <w:br/>
              <w:t>x 83.7–87.7 %</w:t>
              <w:br/>
              <w:t>y 21.9–23.4 %</w:t>
            </w:r>
          </w:p>
        </w:tc>
      </w:tr>
      <w:tr>
        <w:trPr>
          <w:cantSplit/>
        </w:trPr>
        <w:tc>
          <w:tcPr>
            <w:tcW w:type="dxa" w:w="3288"/>
          </w:tcPr>
          <w:p>
            <w:pPr>
              <w:spacing w:after="40"/>
            </w:pPr>
            <w:r>
              <w:rPr>
                <w:sz w:val="18"/>
              </w:rPr>
              <w:t>Favorite</w:t>
            </w:r>
          </w:p>
        </w:tc>
        <w:tc>
          <w:tcPr>
            <w:tcW w:type="dxa" w:w="3005"/>
          </w:tcPr>
          <w:p>
            <w:pPr>
              <w:spacing w:after="40"/>
            </w:pPr>
            <w:r>
              <w:rPr>
                <w:sz w:val="18"/>
              </w:rPr>
              <w:t>x 1264–1299</w:t>
              <w:br/>
              <w:t>y 145–153</w:t>
            </w:r>
          </w:p>
        </w:tc>
        <w:tc>
          <w:tcPr>
            <w:tcW w:type="dxa" w:w="3402"/>
          </w:tcPr>
          <w:p>
            <w:pPr>
              <w:spacing w:after="40"/>
            </w:pPr>
            <w:r>
              <w:rPr>
                <w:sz w:val="18"/>
              </w:rPr>
              <w:t>oben, rechts</w:t>
              <w:br/>
              <w:t>x 91.4–93.9 %</w:t>
              <w:br/>
              <w:t>y 21.9–23.1 %</w:t>
            </w:r>
          </w:p>
        </w:tc>
      </w:tr>
      <w:tr>
        <w:trPr>
          <w:cantSplit/>
        </w:trPr>
        <w:tc>
          <w:tcPr>
            <w:tcW w:type="dxa" w:w="3288"/>
          </w:tcPr>
          <w:p>
            <w:pPr>
              <w:spacing w:after="40"/>
            </w:pPr>
            <w:r>
              <w:rPr>
                <w:sz w:val="18"/>
              </w:rPr>
              <w:t>System and Spaces</w:t>
            </w:r>
          </w:p>
        </w:tc>
        <w:tc>
          <w:tcPr>
            <w:tcW w:type="dxa" w:w="3005"/>
          </w:tcPr>
          <w:p>
            <w:pPr>
              <w:spacing w:after="40"/>
            </w:pPr>
            <w:r>
              <w:rPr>
                <w:sz w:val="18"/>
              </w:rPr>
              <w:t>x 36–122</w:t>
              <w:br/>
              <w:t>y 154–164</w:t>
            </w:r>
          </w:p>
        </w:tc>
        <w:tc>
          <w:tcPr>
            <w:tcW w:type="dxa" w:w="3402"/>
          </w:tcPr>
          <w:p>
            <w:pPr>
              <w:spacing w:after="40"/>
            </w:pPr>
            <w:r>
              <w:rPr>
                <w:sz w:val="18"/>
              </w:rPr>
              <w:t>oben, links</w:t>
              <w:br/>
              <w:t>x 2.6–8.8 %</w:t>
              <w:br/>
              <w:t>y 23.3–24.7 %</w:t>
            </w:r>
          </w:p>
        </w:tc>
      </w:tr>
      <w:tr>
        <w:trPr>
          <w:cantSplit/>
        </w:trPr>
        <w:tc>
          <w:tcPr>
            <w:tcW w:type="dxa" w:w="3288"/>
          </w:tcPr>
          <w:p>
            <w:pPr>
              <w:spacing w:after="40"/>
            </w:pPr>
            <w:r>
              <w:rPr>
                <w:sz w:val="18"/>
              </w:rPr>
              <w:t>Recent</w:t>
            </w:r>
          </w:p>
        </w:tc>
        <w:tc>
          <w:tcPr>
            <w:tcW w:type="dxa" w:w="3005"/>
          </w:tcPr>
          <w:p>
            <w:pPr>
              <w:spacing w:after="40"/>
            </w:pPr>
            <w:r>
              <w:rPr>
                <w:sz w:val="18"/>
              </w:rPr>
              <w:t>x 221–250</w:t>
              <w:br/>
              <w:t>y 169–176</w:t>
            </w:r>
          </w:p>
        </w:tc>
        <w:tc>
          <w:tcPr>
            <w:tcW w:type="dxa" w:w="3402"/>
          </w:tcPr>
          <w:p>
            <w:pPr>
              <w:spacing w:after="40"/>
            </w:pPr>
            <w:r>
              <w:rPr>
                <w:sz w:val="18"/>
              </w:rPr>
              <w:t>oben, links</w:t>
              <w:br/>
              <w:t>x 16.0–18.1 %</w:t>
              <w:br/>
              <w:t>y 25.5–26.7 %</w:t>
            </w:r>
          </w:p>
        </w:tc>
      </w:tr>
      <w:tr>
        <w:trPr>
          <w:cantSplit/>
        </w:trPr>
        <w:tc>
          <w:tcPr>
            <w:tcW w:type="dxa" w:w="3288"/>
          </w:tcPr>
          <w:p>
            <w:pPr>
              <w:spacing w:after="40"/>
            </w:pPr>
            <w:r>
              <w:rPr>
                <w:sz w:val="18"/>
              </w:rPr>
              <w:t>Analytic Model</w:t>
            </w:r>
          </w:p>
        </w:tc>
        <w:tc>
          <w:tcPr>
            <w:tcW w:type="dxa" w:w="3005"/>
          </w:tcPr>
          <w:p>
            <w:pPr>
              <w:spacing w:after="40"/>
            </w:pPr>
            <w:r>
              <w:rPr>
                <w:sz w:val="18"/>
              </w:rPr>
              <w:t>x 732–798</w:t>
              <w:br/>
              <w:t>y 174–183</w:t>
            </w:r>
          </w:p>
        </w:tc>
        <w:tc>
          <w:tcPr>
            <w:tcW w:type="dxa" w:w="3402"/>
          </w:tcPr>
          <w:p>
            <w:pPr>
              <w:spacing w:after="40"/>
            </w:pPr>
            <w:r>
              <w:rPr>
                <w:sz w:val="18"/>
              </w:rPr>
              <w:t>oben, mittig</w:t>
              <w:br/>
              <w:t>x 52.9–57.7 %</w:t>
              <w:br/>
              <w:t>y 26.3–27.6 %</w:t>
            </w:r>
          </w:p>
        </w:tc>
      </w:tr>
      <w:tr>
        <w:trPr>
          <w:cantSplit/>
        </w:trPr>
        <w:tc>
          <w:tcPr>
            <w:tcW w:type="dxa" w:w="3288"/>
          </w:tcPr>
          <w:p>
            <w:pPr>
              <w:spacing w:after="40"/>
            </w:pPr>
            <w:r>
              <w:rPr>
                <w:sz w:val="18"/>
              </w:rPr>
              <w:t>Capacities</w:t>
            </w:r>
          </w:p>
        </w:tc>
        <w:tc>
          <w:tcPr>
            <w:tcW w:type="dxa" w:w="3005"/>
          </w:tcPr>
          <w:p>
            <w:pPr>
              <w:spacing w:after="40"/>
            </w:pPr>
            <w:r>
              <w:rPr>
                <w:sz w:val="18"/>
              </w:rPr>
              <w:t>x 35–81</w:t>
              <w:br/>
              <w:t>y 180–188</w:t>
            </w:r>
          </w:p>
        </w:tc>
        <w:tc>
          <w:tcPr>
            <w:tcW w:type="dxa" w:w="3402"/>
          </w:tcPr>
          <w:p>
            <w:pPr>
              <w:spacing w:after="40"/>
            </w:pPr>
            <w:r>
              <w:rPr>
                <w:sz w:val="18"/>
              </w:rPr>
              <w:t>oben, links</w:t>
              <w:br/>
              <w:t>x 2.5–5.9 %</w:t>
              <w:br/>
              <w:t>y 27.2–28.5 %</w:t>
            </w:r>
          </w:p>
        </w:tc>
      </w:tr>
      <w:tr>
        <w:trPr>
          <w:cantSplit/>
        </w:trPr>
        <w:tc>
          <w:tcPr>
            <w:tcW w:type="dxa" w:w="3288"/>
          </w:tcPr>
          <w:p>
            <w:pPr>
              <w:spacing w:after="40"/>
            </w:pPr>
            <w:r>
              <w:rPr>
                <w:sz w:val="18"/>
              </w:rPr>
              <w:t>My Objects</w:t>
            </w:r>
          </w:p>
        </w:tc>
        <w:tc>
          <w:tcPr>
            <w:tcW w:type="dxa" w:w="3005"/>
          </w:tcPr>
          <w:p>
            <w:pPr>
              <w:spacing w:after="40"/>
            </w:pPr>
            <w:r>
              <w:rPr>
                <w:sz w:val="18"/>
              </w:rPr>
              <w:t>x 221–270</w:t>
              <w:br/>
              <w:t>y 192–202</w:t>
            </w:r>
          </w:p>
        </w:tc>
        <w:tc>
          <w:tcPr>
            <w:tcW w:type="dxa" w:w="3402"/>
          </w:tcPr>
          <w:p>
            <w:pPr>
              <w:spacing w:after="40"/>
            </w:pPr>
            <w:r>
              <w:rPr>
                <w:sz w:val="18"/>
              </w:rPr>
              <w:t>oben, links</w:t>
              <w:br/>
              <w:t>x 16.0–19.5 %</w:t>
              <w:br/>
              <w:t>y 29.1–30.5 %</w:t>
            </w:r>
          </w:p>
        </w:tc>
      </w:tr>
      <w:tr>
        <w:trPr>
          <w:cantSplit/>
        </w:trPr>
        <w:tc>
          <w:tcPr>
            <w:tcW w:type="dxa" w:w="3288"/>
          </w:tcPr>
          <w:p>
            <w:pPr>
              <w:spacing w:after="40"/>
            </w:pPr>
            <w:r>
              <w:rPr>
                <w:sz w:val="18"/>
              </w:rPr>
              <w:t>Task Logs</w:t>
            </w:r>
          </w:p>
        </w:tc>
        <w:tc>
          <w:tcPr>
            <w:tcW w:type="dxa" w:w="3005"/>
          </w:tcPr>
          <w:p>
            <w:pPr>
              <w:spacing w:after="40"/>
            </w:pPr>
            <w:r>
              <w:rPr>
                <w:sz w:val="18"/>
              </w:rPr>
              <w:t>x 35–78</w:t>
              <w:br/>
              <w:t>y 206–216</w:t>
            </w:r>
          </w:p>
        </w:tc>
        <w:tc>
          <w:tcPr>
            <w:tcW w:type="dxa" w:w="3402"/>
          </w:tcPr>
          <w:p>
            <w:pPr>
              <w:spacing w:after="40"/>
            </w:pPr>
            <w:r>
              <w:rPr>
                <w:sz w:val="18"/>
              </w:rPr>
              <w:t>oben, links</w:t>
              <w:br/>
              <w:t>x 2.5–5.6 %</w:t>
              <w:br/>
              <w:t>y 31.1–32.6 %</w:t>
            </w:r>
          </w:p>
        </w:tc>
      </w:tr>
      <w:tr>
        <w:trPr>
          <w:cantSplit/>
        </w:trPr>
        <w:tc>
          <w:tcPr>
            <w:tcW w:type="dxa" w:w="3288"/>
          </w:tcPr>
          <w:p>
            <w:pPr>
              <w:spacing w:after="40"/>
            </w:pPr>
            <w:r>
              <w:rPr>
                <w:sz w:val="18"/>
              </w:rPr>
              <w:t>Analytic Model</w:t>
            </w:r>
          </w:p>
        </w:tc>
        <w:tc>
          <w:tcPr>
            <w:tcW w:type="dxa" w:w="3005"/>
          </w:tcPr>
          <w:p>
            <w:pPr>
              <w:spacing w:after="40"/>
            </w:pPr>
            <w:r>
              <w:rPr>
                <w:sz w:val="18"/>
              </w:rPr>
              <w:t>x 732–797</w:t>
              <w:br/>
              <w:t>y 199–208</w:t>
            </w:r>
          </w:p>
        </w:tc>
        <w:tc>
          <w:tcPr>
            <w:tcW w:type="dxa" w:w="3402"/>
          </w:tcPr>
          <w:p>
            <w:pPr>
              <w:spacing w:after="40"/>
            </w:pPr>
            <w:r>
              <w:rPr>
                <w:sz w:val="18"/>
              </w:rPr>
              <w:t>oben, mittig</w:t>
              <w:br/>
              <w:t>x 52.9–57.6 %</w:t>
              <w:br/>
              <w:t>y 30.1–31.4 %</w:t>
            </w:r>
          </w:p>
        </w:tc>
      </w:tr>
      <w:tr>
        <w:trPr>
          <w:cantSplit/>
        </w:trPr>
        <w:tc>
          <w:tcPr>
            <w:tcW w:type="dxa" w:w="3288"/>
          </w:tcPr>
          <w:p>
            <w:pPr>
              <w:spacing w:after="40"/>
            </w:pPr>
            <w:r>
              <w:rPr>
                <w:sz w:val="18"/>
              </w:rPr>
              <w:t>Shared</w:t>
            </w:r>
          </w:p>
        </w:tc>
        <w:tc>
          <w:tcPr>
            <w:tcW w:type="dxa" w:w="3005"/>
          </w:tcPr>
          <w:p>
            <w:pPr>
              <w:spacing w:after="40"/>
            </w:pPr>
            <w:r>
              <w:rPr>
                <w:sz w:val="18"/>
              </w:rPr>
              <w:t>x 221–252</w:t>
              <w:br/>
              <w:t>y 216–223</w:t>
            </w:r>
          </w:p>
        </w:tc>
        <w:tc>
          <w:tcPr>
            <w:tcW w:type="dxa" w:w="3402"/>
          </w:tcPr>
          <w:p>
            <w:pPr>
              <w:spacing w:after="40"/>
            </w:pPr>
            <w:r>
              <w:rPr>
                <w:sz w:val="18"/>
              </w:rPr>
              <w:t>auf mittlerer Höhe, links</w:t>
              <w:br/>
              <w:t>x 16.0–18.2 %</w:t>
              <w:br/>
              <w:t>y 32.6–33.7 %</w:t>
            </w:r>
          </w:p>
        </w:tc>
      </w:tr>
      <w:tr>
        <w:trPr>
          <w:cantSplit/>
        </w:trPr>
        <w:tc>
          <w:tcPr>
            <w:tcW w:type="dxa" w:w="3288"/>
          </w:tcPr>
          <w:p>
            <w:pPr>
              <w:spacing w:after="40"/>
            </w:pPr>
            <w:r>
              <w:rPr>
                <w:sz w:val="18"/>
              </w:rPr>
              <w:t>Expensive Statement Logs</w:t>
            </w:r>
          </w:p>
        </w:tc>
        <w:tc>
          <w:tcPr>
            <w:tcW w:type="dxa" w:w="3005"/>
          </w:tcPr>
          <w:p>
            <w:pPr>
              <w:spacing w:after="40"/>
            </w:pPr>
            <w:r>
              <w:rPr>
                <w:sz w:val="18"/>
              </w:rPr>
              <w:t>x 36–152</w:t>
              <w:br/>
              <w:t>y 232–242</w:t>
            </w:r>
          </w:p>
        </w:tc>
        <w:tc>
          <w:tcPr>
            <w:tcW w:type="dxa" w:w="3402"/>
          </w:tcPr>
          <w:p>
            <w:pPr>
              <w:spacing w:after="40"/>
            </w:pPr>
            <w:r>
              <w:rPr>
                <w:sz w:val="18"/>
              </w:rPr>
              <w:t>auf mittlerer Höhe, links</w:t>
              <w:br/>
              <w:t>x 2.6–11.0 %</w:t>
              <w:br/>
              <w:t>y 35.0–36.6 %</w:t>
            </w:r>
          </w:p>
        </w:tc>
      </w:tr>
      <w:tr>
        <w:trPr>
          <w:cantSplit/>
        </w:trPr>
        <w:tc>
          <w:tcPr>
            <w:tcW w:type="dxa" w:w="3288"/>
          </w:tcPr>
          <w:p>
            <w:pPr>
              <w:spacing w:after="40"/>
            </w:pPr>
            <w:r>
              <w:rPr>
                <w:sz w:val="18"/>
              </w:rPr>
              <w:t>Analytic Model</w:t>
            </w:r>
          </w:p>
        </w:tc>
        <w:tc>
          <w:tcPr>
            <w:tcW w:type="dxa" w:w="3005"/>
          </w:tcPr>
          <w:p>
            <w:pPr>
              <w:spacing w:after="40"/>
            </w:pPr>
            <w:r>
              <w:rPr>
                <w:sz w:val="18"/>
              </w:rPr>
              <w:t>x 732–797</w:t>
              <w:br/>
              <w:t>y 225–234</w:t>
            </w:r>
          </w:p>
        </w:tc>
        <w:tc>
          <w:tcPr>
            <w:tcW w:type="dxa" w:w="3402"/>
          </w:tcPr>
          <w:p>
            <w:pPr>
              <w:spacing w:after="40"/>
            </w:pPr>
            <w:r>
              <w:rPr>
                <w:sz w:val="18"/>
              </w:rPr>
              <w:t>auf mittlerer Höhe, mittig</w:t>
              <w:br/>
              <w:t>x 52.9–57.6 %</w:t>
              <w:br/>
              <w:t>y 34.0–35.3 %</w:t>
            </w:r>
          </w:p>
        </w:tc>
      </w:tr>
      <w:tr>
        <w:trPr>
          <w:cantSplit/>
        </w:trPr>
        <w:tc>
          <w:tcPr>
            <w:tcW w:type="dxa" w:w="3288"/>
          </w:tcPr>
          <w:p>
            <w:pPr>
              <w:spacing w:after="40"/>
            </w:pPr>
            <w:r>
              <w:rPr>
                <w:sz w:val="18"/>
              </w:rPr>
              <w:t>Favorites</w:t>
            </w:r>
          </w:p>
        </w:tc>
        <w:tc>
          <w:tcPr>
            <w:tcW w:type="dxa" w:w="3005"/>
          </w:tcPr>
          <w:p>
            <w:pPr>
              <w:spacing w:after="40"/>
            </w:pPr>
            <w:r>
              <w:rPr>
                <w:sz w:val="18"/>
              </w:rPr>
              <w:t>x 221–260</w:t>
              <w:br/>
              <w:t>y 239–246</w:t>
            </w:r>
          </w:p>
        </w:tc>
        <w:tc>
          <w:tcPr>
            <w:tcW w:type="dxa" w:w="3402"/>
          </w:tcPr>
          <w:p>
            <w:pPr>
              <w:spacing w:after="40"/>
            </w:pPr>
            <w:r>
              <w:rPr>
                <w:sz w:val="18"/>
              </w:rPr>
              <w:t>auf mittlerer Höhe, links</w:t>
              <w:br/>
              <w:t>x 16.0–18.8 %</w:t>
              <w:br/>
              <w:t>y 36.1–37.2 %</w:t>
            </w:r>
          </w:p>
        </w:tc>
      </w:tr>
      <w:tr>
        <w:trPr>
          <w:cantSplit/>
        </w:trPr>
        <w:tc>
          <w:tcPr>
            <w:tcW w:type="dxa" w:w="3288"/>
          </w:tcPr>
          <w:p>
            <w:pPr>
              <w:spacing w:after="40"/>
            </w:pPr>
            <w:r>
              <w:rPr>
                <w:sz w:val="18"/>
              </w:rPr>
              <w:t>Analytic Model</w:t>
            </w:r>
          </w:p>
        </w:tc>
        <w:tc>
          <w:tcPr>
            <w:tcW w:type="dxa" w:w="3005"/>
          </w:tcPr>
          <w:p>
            <w:pPr>
              <w:spacing w:after="40"/>
            </w:pPr>
            <w:r>
              <w:rPr>
                <w:sz w:val="18"/>
              </w:rPr>
              <w:t>x 732–797</w:t>
              <w:br/>
              <w:t>y 250–260</w:t>
            </w:r>
          </w:p>
        </w:tc>
        <w:tc>
          <w:tcPr>
            <w:tcW w:type="dxa" w:w="3402"/>
          </w:tcPr>
          <w:p>
            <w:pPr>
              <w:spacing w:after="40"/>
            </w:pPr>
            <w:r>
              <w:rPr>
                <w:sz w:val="18"/>
              </w:rPr>
              <w:t>auf mittlerer Höhe, mittig</w:t>
              <w:br/>
              <w:t>x 52.9–57.6 %</w:t>
              <w:br/>
              <w:t>y 37.8–39.3 %</w:t>
            </w:r>
          </w:p>
        </w:tc>
      </w:tr>
      <w:tr>
        <w:trPr>
          <w:cantSplit/>
        </w:trPr>
        <w:tc>
          <w:tcPr>
            <w:tcW w:type="dxa" w:w="3288"/>
          </w:tcPr>
          <w:p>
            <w:pPr>
              <w:spacing w:after="40"/>
            </w:pPr>
            <w:r>
              <w:rPr>
                <w:sz w:val="18"/>
              </w:rPr>
              <w:t>Elastic Compute Nodes</w:t>
            </w:r>
          </w:p>
        </w:tc>
        <w:tc>
          <w:tcPr>
            <w:tcW w:type="dxa" w:w="3005"/>
          </w:tcPr>
          <w:p>
            <w:pPr>
              <w:spacing w:after="40"/>
            </w:pPr>
            <w:r>
              <w:rPr>
                <w:sz w:val="18"/>
              </w:rPr>
              <w:t>x 36–139</w:t>
              <w:br/>
              <w:t>y 258–268</w:t>
            </w:r>
          </w:p>
        </w:tc>
        <w:tc>
          <w:tcPr>
            <w:tcW w:type="dxa" w:w="3402"/>
          </w:tcPr>
          <w:p>
            <w:pPr>
              <w:spacing w:after="40"/>
            </w:pPr>
            <w:r>
              <w:rPr>
                <w:sz w:val="18"/>
              </w:rPr>
              <w:t>auf mittlerer Höhe, links</w:t>
              <w:br/>
              <w:t>x 2.6–10.1 %</w:t>
              <w:br/>
              <w:t>y 39.0–40.4 %</w:t>
            </w:r>
          </w:p>
        </w:tc>
      </w:tr>
      <w:tr>
        <w:trPr>
          <w:cantSplit/>
        </w:trPr>
        <w:tc>
          <w:tcPr>
            <w:tcW w:type="dxa" w:w="3288"/>
          </w:tcPr>
          <w:p>
            <w:pPr>
              <w:spacing w:after="40"/>
            </w:pPr>
            <w:r>
              <w:rPr>
                <w:sz w:val="18"/>
              </w:rPr>
              <w:t>Space</w:t>
            </w:r>
          </w:p>
        </w:tc>
        <w:tc>
          <w:tcPr>
            <w:tcW w:type="dxa" w:w="3005"/>
          </w:tcPr>
          <w:p>
            <w:pPr>
              <w:spacing w:after="40"/>
            </w:pPr>
            <w:r>
              <w:rPr>
                <w:sz w:val="18"/>
              </w:rPr>
              <w:t>x 198–226</w:t>
              <w:br/>
              <w:t>y 274–283</w:t>
            </w:r>
          </w:p>
        </w:tc>
        <w:tc>
          <w:tcPr>
            <w:tcW w:type="dxa" w:w="3402"/>
          </w:tcPr>
          <w:p>
            <w:pPr>
              <w:spacing w:after="40"/>
            </w:pPr>
            <w:r>
              <w:rPr>
                <w:sz w:val="18"/>
              </w:rPr>
              <w:t>auf mittlerer Höhe, links</w:t>
              <w:br/>
              <w:t>x 14.3–16.3 %</w:t>
              <w:br/>
              <w:t>y 41.3–42.7 %</w:t>
            </w:r>
          </w:p>
        </w:tc>
      </w:tr>
      <w:tr>
        <w:trPr>
          <w:cantSplit/>
        </w:trPr>
        <w:tc>
          <w:tcPr>
            <w:tcW w:type="dxa" w:w="3288"/>
          </w:tcPr>
          <w:p>
            <w:pPr>
              <w:spacing w:after="40"/>
            </w:pPr>
            <w:r>
              <w:rPr>
                <w:sz w:val="18"/>
              </w:rPr>
              <w:t>Data Integration</w:t>
            </w:r>
          </w:p>
        </w:tc>
        <w:tc>
          <w:tcPr>
            <w:tcW w:type="dxa" w:w="3005"/>
          </w:tcPr>
          <w:p>
            <w:pPr>
              <w:spacing w:after="40"/>
            </w:pPr>
            <w:r>
              <w:rPr>
                <w:sz w:val="18"/>
              </w:rPr>
              <w:t>x 36–106</w:t>
              <w:br/>
              <w:t>y 284–294</w:t>
            </w:r>
          </w:p>
        </w:tc>
        <w:tc>
          <w:tcPr>
            <w:tcW w:type="dxa" w:w="3402"/>
          </w:tcPr>
          <w:p>
            <w:pPr>
              <w:spacing w:after="40"/>
            </w:pPr>
            <w:r>
              <w:rPr>
                <w:sz w:val="18"/>
              </w:rPr>
              <w:t>auf mittlerer Höhe, links</w:t>
              <w:br/>
              <w:t>x 2.6–7.7 %</w:t>
              <w:br/>
              <w:t>y 42.9–44.4 %</w:t>
            </w:r>
          </w:p>
        </w:tc>
      </w:tr>
      <w:tr>
        <w:trPr>
          <w:cantSplit/>
        </w:trPr>
        <w:tc>
          <w:tcPr>
            <w:tcW w:type="dxa" w:w="3288"/>
          </w:tcPr>
          <w:p>
            <w:pPr>
              <w:spacing w:after="40"/>
            </w:pPr>
            <w:r>
              <w:rPr>
                <w:sz w:val="18"/>
              </w:rPr>
              <w:t>Analytic Model</w:t>
            </w:r>
          </w:p>
        </w:tc>
        <w:tc>
          <w:tcPr>
            <w:tcW w:type="dxa" w:w="3005"/>
          </w:tcPr>
          <w:p>
            <w:pPr>
              <w:spacing w:after="40"/>
            </w:pPr>
            <w:r>
              <w:rPr>
                <w:sz w:val="18"/>
              </w:rPr>
              <w:t>x 732–798</w:t>
              <w:br/>
              <w:t>y 302–311</w:t>
            </w:r>
          </w:p>
        </w:tc>
        <w:tc>
          <w:tcPr>
            <w:tcW w:type="dxa" w:w="3402"/>
          </w:tcPr>
          <w:p>
            <w:pPr>
              <w:spacing w:after="40"/>
            </w:pPr>
            <w:r>
              <w:rPr>
                <w:sz w:val="18"/>
              </w:rPr>
              <w:t>auf mittlerer Höhe, mittig</w:t>
              <w:br/>
              <w:t>x 52.9–57.7 %</w:t>
              <w:br/>
              <w:t>y 45.6–47.0 %</w:t>
            </w:r>
          </w:p>
        </w:tc>
      </w:tr>
      <w:tr>
        <w:trPr>
          <w:cantSplit/>
        </w:trPr>
        <w:tc>
          <w:tcPr>
            <w:tcW w:type="dxa" w:w="3288"/>
          </w:tcPr>
          <w:p>
            <w:pPr>
              <w:spacing w:after="40"/>
            </w:pPr>
            <w:r>
              <w:rPr>
                <w:sz w:val="18"/>
              </w:rPr>
              <w:t>Analytic Model</w:t>
            </w:r>
          </w:p>
        </w:tc>
        <w:tc>
          <w:tcPr>
            <w:tcW w:type="dxa" w:w="3005"/>
          </w:tcPr>
          <w:p>
            <w:pPr>
              <w:spacing w:after="40"/>
            </w:pPr>
            <w:r>
              <w:rPr>
                <w:sz w:val="18"/>
              </w:rPr>
              <w:t>x 732–797</w:t>
              <w:br/>
              <w:t>y 327–336</w:t>
            </w:r>
          </w:p>
        </w:tc>
        <w:tc>
          <w:tcPr>
            <w:tcW w:type="dxa" w:w="3402"/>
          </w:tcPr>
          <w:p>
            <w:pPr>
              <w:spacing w:after="40"/>
            </w:pPr>
            <w:r>
              <w:rPr>
                <w:sz w:val="18"/>
              </w:rPr>
              <w:t>auf mittlerer Höhe, mittig</w:t>
              <w:br/>
              <w:t>x 52.9–57.6 %</w:t>
              <w:br/>
              <w:t>y 49.4–50.8 %</w:t>
            </w:r>
          </w:p>
        </w:tc>
      </w:tr>
      <w:tr>
        <w:trPr>
          <w:cantSplit/>
        </w:trPr>
        <w:tc>
          <w:tcPr>
            <w:tcW w:type="dxa" w:w="3288"/>
          </w:tcPr>
          <w:p>
            <w:pPr>
              <w:spacing w:after="40"/>
            </w:pPr>
            <w:r>
              <w:rPr>
                <w:sz w:val="18"/>
              </w:rPr>
              <w:t>Analytic Model</w:t>
            </w:r>
          </w:p>
        </w:tc>
        <w:tc>
          <w:tcPr>
            <w:tcW w:type="dxa" w:w="3005"/>
          </w:tcPr>
          <w:p>
            <w:pPr>
              <w:spacing w:after="40"/>
            </w:pPr>
            <w:r>
              <w:rPr>
                <w:sz w:val="18"/>
              </w:rPr>
              <w:t>x 732–797</w:t>
              <w:br/>
              <w:t>y 352–362</w:t>
            </w:r>
          </w:p>
        </w:tc>
        <w:tc>
          <w:tcPr>
            <w:tcW w:type="dxa" w:w="3402"/>
          </w:tcPr>
          <w:p>
            <w:pPr>
              <w:spacing w:after="40"/>
            </w:pPr>
            <w:r>
              <w:rPr>
                <w:sz w:val="18"/>
              </w:rPr>
              <w:t>auf mittlerer Höhe, mittig</w:t>
              <w:br/>
              <w:t>x 52.9–57.6 %</w:t>
              <w:br/>
              <w:t>y 53.2–54.7 %</w:t>
            </w:r>
          </w:p>
        </w:tc>
      </w:tr>
      <w:tr>
        <w:trPr>
          <w:cantSplit/>
        </w:trPr>
        <w:tc>
          <w:tcPr>
            <w:tcW w:type="dxa" w:w="3288"/>
          </w:tcPr>
          <w:p>
            <w:pPr>
              <w:spacing w:after="40"/>
            </w:pPr>
            <w:r>
              <w:rPr>
                <w:sz w:val="18"/>
              </w:rPr>
              <w:t>Apps</w:t>
            </w:r>
          </w:p>
        </w:tc>
        <w:tc>
          <w:tcPr>
            <w:tcW w:type="dxa" w:w="3005"/>
          </w:tcPr>
          <w:p>
            <w:pPr>
              <w:spacing w:after="40"/>
            </w:pPr>
            <w:r>
              <w:rPr>
                <w:sz w:val="18"/>
              </w:rPr>
              <w:t>x 20–40</w:t>
              <w:br/>
              <w:t>y 356–362</w:t>
            </w:r>
          </w:p>
        </w:tc>
        <w:tc>
          <w:tcPr>
            <w:tcW w:type="dxa" w:w="3402"/>
          </w:tcPr>
          <w:p>
            <w:pPr>
              <w:spacing w:after="40"/>
            </w:pPr>
            <w:r>
              <w:rPr>
                <w:sz w:val="18"/>
              </w:rPr>
              <w:t>auf mittlerer Höhe, links</w:t>
              <w:br/>
              <w:t>x 1.5–2.9 %</w:t>
              <w:br/>
              <w:t>y 53.7–54.7 %</w:t>
            </w:r>
          </w:p>
        </w:tc>
      </w:tr>
      <w:tr>
        <w:trPr>
          <w:cantSplit/>
        </w:trPr>
        <w:tc>
          <w:tcPr>
            <w:tcW w:type="dxa" w:w="3288"/>
          </w:tcPr>
          <w:p>
            <w:pPr>
              <w:spacing w:after="40"/>
            </w:pPr>
            <w:r>
              <w:rPr>
                <w:sz w:val="18"/>
              </w:rPr>
              <w:t>Semantic Onboarding</w:t>
            </w:r>
          </w:p>
        </w:tc>
        <w:tc>
          <w:tcPr>
            <w:tcW w:type="dxa" w:w="3005"/>
          </w:tcPr>
          <w:p>
            <w:pPr>
              <w:spacing w:after="40"/>
            </w:pPr>
            <w:r>
              <w:rPr>
                <w:sz w:val="18"/>
              </w:rPr>
              <w:t>x 35–132</w:t>
              <w:br/>
              <w:t>y 381–391</w:t>
            </w:r>
          </w:p>
        </w:tc>
        <w:tc>
          <w:tcPr>
            <w:tcW w:type="dxa" w:w="3402"/>
          </w:tcPr>
          <w:p>
            <w:pPr>
              <w:spacing w:after="40"/>
            </w:pPr>
            <w:r>
              <w:rPr>
                <w:sz w:val="18"/>
              </w:rPr>
              <w:t>auf mittlerer Höhe, links</w:t>
              <w:br/>
              <w:t>x 2.5–9.5 %</w:t>
              <w:br/>
              <w:t>y 57.6–59.1 %</w:t>
            </w:r>
          </w:p>
        </w:tc>
      </w:tr>
      <w:tr>
        <w:trPr>
          <w:cantSplit/>
        </w:trPr>
        <w:tc>
          <w:tcPr>
            <w:tcW w:type="dxa" w:w="3288"/>
          </w:tcPr>
          <w:p>
            <w:pPr>
              <w:spacing w:after="40"/>
            </w:pPr>
            <w:r>
              <w:rPr>
                <w:sz w:val="18"/>
              </w:rPr>
              <w:t>Analytic Model</w:t>
            </w:r>
          </w:p>
        </w:tc>
        <w:tc>
          <w:tcPr>
            <w:tcW w:type="dxa" w:w="3005"/>
          </w:tcPr>
          <w:p>
            <w:pPr>
              <w:spacing w:after="40"/>
            </w:pPr>
            <w:r>
              <w:rPr>
                <w:sz w:val="18"/>
              </w:rPr>
              <w:t>x 732–797</w:t>
              <w:br/>
              <w:t>y 378–388</w:t>
            </w:r>
          </w:p>
        </w:tc>
        <w:tc>
          <w:tcPr>
            <w:tcW w:type="dxa" w:w="3402"/>
          </w:tcPr>
          <w:p>
            <w:pPr>
              <w:spacing w:after="40"/>
            </w:pPr>
            <w:r>
              <w:rPr>
                <w:sz w:val="18"/>
              </w:rPr>
              <w:t>auf mittlerer Höhe, mittig</w:t>
              <w:br/>
              <w:t>x 52.9–57.6 %</w:t>
              <w:br/>
              <w:t>y 57.2–58.6 %</w:t>
            </w:r>
          </w:p>
        </w:tc>
      </w:tr>
      <w:tr>
        <w:trPr>
          <w:cantSplit/>
        </w:trPr>
        <w:tc>
          <w:tcPr>
            <w:tcW w:type="dxa" w:w="3288"/>
          </w:tcPr>
          <w:p>
            <w:pPr>
              <w:spacing w:after="40"/>
            </w:pPr>
            <w:r>
              <w:rPr>
                <w:sz w:val="18"/>
              </w:rPr>
              <w:t>Business Builder</w:t>
            </w:r>
          </w:p>
        </w:tc>
        <w:tc>
          <w:tcPr>
            <w:tcW w:type="dxa" w:w="3005"/>
          </w:tcPr>
          <w:p>
            <w:pPr>
              <w:spacing w:after="40"/>
            </w:pPr>
            <w:r>
              <w:rPr>
                <w:sz w:val="18"/>
              </w:rPr>
              <w:t>x 36–108</w:t>
              <w:br/>
              <w:t>y 407–415</w:t>
            </w:r>
          </w:p>
        </w:tc>
        <w:tc>
          <w:tcPr>
            <w:tcW w:type="dxa" w:w="3402"/>
          </w:tcPr>
          <w:p>
            <w:pPr>
              <w:spacing w:after="40"/>
            </w:pPr>
            <w:r>
              <w:rPr>
                <w:sz w:val="18"/>
              </w:rPr>
              <w:t>auf mittlerer Höhe, links</w:t>
              <w:br/>
              <w:t>x 2.6–7.8 %</w:t>
              <w:br/>
              <w:t>y 61.5–62.7 %</w:t>
            </w:r>
          </w:p>
        </w:tc>
      </w:tr>
      <w:tr>
        <w:trPr>
          <w:cantSplit/>
        </w:trPr>
        <w:tc>
          <w:tcPr>
            <w:tcW w:type="dxa" w:w="3288"/>
          </w:tcPr>
          <w:p>
            <w:pPr>
              <w:spacing w:after="40"/>
            </w:pPr>
            <w:r>
              <w:rPr>
                <w:sz w:val="18"/>
              </w:rPr>
              <w:t>Analytic Model</w:t>
            </w:r>
          </w:p>
        </w:tc>
        <w:tc>
          <w:tcPr>
            <w:tcW w:type="dxa" w:w="3005"/>
          </w:tcPr>
          <w:p>
            <w:pPr>
              <w:spacing w:after="40"/>
            </w:pPr>
            <w:r>
              <w:rPr>
                <w:sz w:val="18"/>
              </w:rPr>
              <w:t>x 732–798</w:t>
              <w:br/>
              <w:t>y 404–413</w:t>
            </w:r>
          </w:p>
        </w:tc>
        <w:tc>
          <w:tcPr>
            <w:tcW w:type="dxa" w:w="3402"/>
          </w:tcPr>
          <w:p>
            <w:pPr>
              <w:spacing w:after="40"/>
            </w:pPr>
            <w:r>
              <w:rPr>
                <w:sz w:val="18"/>
              </w:rPr>
              <w:t>auf mittlerer Höhe, mittig</w:t>
              <w:br/>
              <w:t>x 52.9–57.7 %</w:t>
              <w:br/>
              <w:t>y 61.0–62.4 %</w:t>
            </w:r>
          </w:p>
        </w:tc>
      </w:tr>
      <w:tr>
        <w:trPr>
          <w:cantSplit/>
        </w:trPr>
        <w:tc>
          <w:tcPr>
            <w:tcW w:type="dxa" w:w="3288"/>
          </w:tcPr>
          <w:p>
            <w:pPr>
              <w:spacing w:after="40"/>
            </w:pPr>
            <w:r>
              <w:rPr>
                <w:sz w:val="18"/>
              </w:rPr>
              <w:t>Data Builder</w:t>
            </w:r>
          </w:p>
        </w:tc>
        <w:tc>
          <w:tcPr>
            <w:tcW w:type="dxa" w:w="3005"/>
          </w:tcPr>
          <w:p>
            <w:pPr>
              <w:spacing w:after="40"/>
            </w:pPr>
            <w:r>
              <w:rPr>
                <w:sz w:val="18"/>
              </w:rPr>
              <w:t>x 36–90</w:t>
              <w:br/>
              <w:t>y 433–441</w:t>
            </w:r>
          </w:p>
        </w:tc>
        <w:tc>
          <w:tcPr>
            <w:tcW w:type="dxa" w:w="3402"/>
          </w:tcPr>
          <w:p>
            <w:pPr>
              <w:spacing w:after="40"/>
            </w:pPr>
            <w:r>
              <w:rPr>
                <w:sz w:val="18"/>
              </w:rPr>
              <w:t>auf mittlerer Höhe, links</w:t>
              <w:br/>
              <w:t>x 2.6–6.5 %</w:t>
              <w:br/>
              <w:t>y 65.4–66.6 %</w:t>
            </w:r>
          </w:p>
        </w:tc>
      </w:tr>
      <w:tr>
        <w:trPr>
          <w:cantSplit/>
        </w:trPr>
        <w:tc>
          <w:tcPr>
            <w:tcW w:type="dxa" w:w="3288"/>
          </w:tcPr>
          <w:p>
            <w:pPr>
              <w:spacing w:after="40"/>
            </w:pPr>
            <w:r>
              <w:rPr>
                <w:sz w:val="18"/>
              </w:rPr>
              <w:t>Analytic Model</w:t>
            </w:r>
          </w:p>
        </w:tc>
        <w:tc>
          <w:tcPr>
            <w:tcW w:type="dxa" w:w="3005"/>
          </w:tcPr>
          <w:p>
            <w:pPr>
              <w:spacing w:after="40"/>
            </w:pPr>
            <w:r>
              <w:rPr>
                <w:sz w:val="18"/>
              </w:rPr>
              <w:t>x 732–798</w:t>
              <w:br/>
              <w:t>y 430–439</w:t>
            </w:r>
          </w:p>
        </w:tc>
        <w:tc>
          <w:tcPr>
            <w:tcW w:type="dxa" w:w="3402"/>
          </w:tcPr>
          <w:p>
            <w:pPr>
              <w:spacing w:after="40"/>
            </w:pPr>
            <w:r>
              <w:rPr>
                <w:sz w:val="18"/>
              </w:rPr>
              <w:t>auf mittlerer Höhe, mittig</w:t>
              <w:br/>
              <w:t>x 52.9–57.7 %</w:t>
              <w:br/>
              <w:t>y 65.0–66.3 %</w:t>
            </w:r>
          </w:p>
        </w:tc>
      </w:tr>
      <w:tr>
        <w:trPr>
          <w:cantSplit/>
        </w:trPr>
        <w:tc>
          <w:tcPr>
            <w:tcW w:type="dxa" w:w="3288"/>
          </w:tcPr>
          <w:p>
            <w:pPr>
              <w:spacing w:after="40"/>
            </w:pPr>
            <w:r>
              <w:rPr>
                <w:sz w:val="18"/>
              </w:rPr>
              <w:t>Connections</w:t>
            </w:r>
          </w:p>
        </w:tc>
        <w:tc>
          <w:tcPr>
            <w:tcW w:type="dxa" w:w="3005"/>
          </w:tcPr>
          <w:p>
            <w:pPr>
              <w:spacing w:after="40"/>
            </w:pPr>
            <w:r>
              <w:rPr>
                <w:sz w:val="18"/>
              </w:rPr>
              <w:t>x 35–90</w:t>
              <w:br/>
              <w:t>y 460–467</w:t>
            </w:r>
          </w:p>
        </w:tc>
        <w:tc>
          <w:tcPr>
            <w:tcW w:type="dxa" w:w="3402"/>
          </w:tcPr>
          <w:p>
            <w:pPr>
              <w:spacing w:after="40"/>
            </w:pPr>
            <w:r>
              <w:rPr>
                <w:sz w:val="18"/>
              </w:rPr>
              <w:t>unten, links</w:t>
              <w:br/>
              <w:t>x 2.5–6.5 %</w:t>
              <w:br/>
              <w:t>y 69.4–70.5 %</w:t>
            </w:r>
          </w:p>
        </w:tc>
      </w:tr>
      <w:tr>
        <w:trPr>
          <w:cantSplit/>
        </w:trPr>
        <w:tc>
          <w:tcPr>
            <w:tcW w:type="dxa" w:w="3288"/>
          </w:tcPr>
          <w:p>
            <w:pPr>
              <w:spacing w:after="40"/>
            </w:pPr>
            <w:r>
              <w:rPr>
                <w:sz w:val="18"/>
              </w:rPr>
              <w:t>Analytic Model</w:t>
            </w:r>
          </w:p>
        </w:tc>
        <w:tc>
          <w:tcPr>
            <w:tcW w:type="dxa" w:w="3005"/>
          </w:tcPr>
          <w:p>
            <w:pPr>
              <w:spacing w:after="40"/>
            </w:pPr>
            <w:r>
              <w:rPr>
                <w:sz w:val="18"/>
              </w:rPr>
              <w:t>x 732–797</w:t>
              <w:br/>
              <w:t>y 455–464</w:t>
            </w:r>
          </w:p>
        </w:tc>
        <w:tc>
          <w:tcPr>
            <w:tcW w:type="dxa" w:w="3402"/>
          </w:tcPr>
          <w:p>
            <w:pPr>
              <w:spacing w:after="40"/>
            </w:pPr>
            <w:r>
              <w:rPr>
                <w:sz w:val="18"/>
              </w:rPr>
              <w:t>unten, mittig</w:t>
              <w:br/>
              <w:t>x 52.9–57.6 %</w:t>
              <w:br/>
              <w:t>y 68.7–70.1 %</w:t>
            </w:r>
          </w:p>
        </w:tc>
      </w:tr>
      <w:tr>
        <w:trPr>
          <w:cantSplit/>
        </w:trPr>
        <w:tc>
          <w:tcPr>
            <w:tcW w:type="dxa" w:w="3288"/>
          </w:tcPr>
          <w:p>
            <w:pPr>
              <w:spacing w:after="40"/>
            </w:pPr>
            <w:r>
              <w:rPr>
                <w:sz w:val="18"/>
              </w:rPr>
              <w:t>Analytic Model</w:t>
            </w:r>
          </w:p>
        </w:tc>
        <w:tc>
          <w:tcPr>
            <w:tcW w:type="dxa" w:w="3005"/>
          </w:tcPr>
          <w:p>
            <w:pPr>
              <w:spacing w:after="40"/>
            </w:pPr>
            <w:r>
              <w:rPr>
                <w:sz w:val="18"/>
              </w:rPr>
              <w:t>x 732–797</w:t>
              <w:br/>
              <w:t>y 480–490</w:t>
            </w:r>
          </w:p>
        </w:tc>
        <w:tc>
          <w:tcPr>
            <w:tcW w:type="dxa" w:w="3402"/>
          </w:tcPr>
          <w:p>
            <w:pPr>
              <w:spacing w:after="40"/>
            </w:pPr>
            <w:r>
              <w:rPr>
                <w:sz w:val="18"/>
              </w:rPr>
              <w:t>unten, mittig</w:t>
              <w:br/>
              <w:t>x 52.9–57.6 %</w:t>
              <w:br/>
              <w:t>y 72.6–74.0 %</w:t>
            </w:r>
          </w:p>
        </w:tc>
      </w:tr>
      <w:tr>
        <w:trPr>
          <w:cantSplit/>
        </w:trPr>
        <w:tc>
          <w:tcPr>
            <w:tcW w:type="dxa" w:w="3288"/>
          </w:tcPr>
          <w:p>
            <w:pPr>
              <w:spacing w:after="40"/>
            </w:pPr>
            <w:r>
              <w:rPr>
                <w:sz w:val="18"/>
              </w:rPr>
              <w:t>Utilities</w:t>
            </w:r>
          </w:p>
        </w:tc>
        <w:tc>
          <w:tcPr>
            <w:tcW w:type="dxa" w:w="3005"/>
          </w:tcPr>
          <w:p>
            <w:pPr>
              <w:spacing w:after="40"/>
            </w:pPr>
            <w:r>
              <w:rPr>
                <w:sz w:val="18"/>
              </w:rPr>
              <w:t>x 18–50</w:t>
              <w:br/>
              <w:t>y 493–500</w:t>
            </w:r>
          </w:p>
        </w:tc>
        <w:tc>
          <w:tcPr>
            <w:tcW w:type="dxa" w:w="3402"/>
          </w:tcPr>
          <w:p>
            <w:pPr>
              <w:spacing w:after="40"/>
            </w:pPr>
            <w:r>
              <w:rPr>
                <w:sz w:val="18"/>
              </w:rPr>
              <w:t>unten, links</w:t>
              <w:br/>
              <w:t>x 1.3–3.6 %</w:t>
              <w:br/>
              <w:t>y 74.5–75.5 %</w:t>
            </w:r>
          </w:p>
        </w:tc>
      </w:tr>
      <w:tr>
        <w:trPr>
          <w:cantSplit/>
        </w:trPr>
        <w:tc>
          <w:tcPr>
            <w:tcW w:type="dxa" w:w="3288"/>
          </w:tcPr>
          <w:p>
            <w:pPr>
              <w:spacing w:after="40"/>
            </w:pPr>
            <w:r>
              <w:rPr>
                <w:sz w:val="18"/>
              </w:rPr>
              <w:t>Analytic Model</w:t>
            </w:r>
          </w:p>
        </w:tc>
        <w:tc>
          <w:tcPr>
            <w:tcW w:type="dxa" w:w="3005"/>
          </w:tcPr>
          <w:p>
            <w:pPr>
              <w:spacing w:after="40"/>
            </w:pPr>
            <w:r>
              <w:rPr>
                <w:sz w:val="18"/>
              </w:rPr>
              <w:t>x 732–798</w:t>
              <w:br/>
              <w:t>y 506–516</w:t>
            </w:r>
          </w:p>
        </w:tc>
        <w:tc>
          <w:tcPr>
            <w:tcW w:type="dxa" w:w="3402"/>
          </w:tcPr>
          <w:p>
            <w:pPr>
              <w:spacing w:after="40"/>
            </w:pPr>
            <w:r>
              <w:rPr>
                <w:sz w:val="18"/>
              </w:rPr>
              <w:t>unten, mittig</w:t>
              <w:br/>
              <w:t>x 52.9–57.7 %</w:t>
              <w:br/>
              <w:t>y 76.5–77.9 %</w:t>
            </w:r>
          </w:p>
        </w:tc>
      </w:tr>
      <w:tr>
        <w:trPr>
          <w:cantSplit/>
        </w:trPr>
        <w:tc>
          <w:tcPr>
            <w:tcW w:type="dxa" w:w="3288"/>
          </w:tcPr>
          <w:p>
            <w:pPr>
              <w:spacing w:after="40"/>
            </w:pPr>
            <w:r>
              <w:rPr>
                <w:sz w:val="18"/>
              </w:rPr>
              <w:t>Space Management</w:t>
            </w:r>
          </w:p>
        </w:tc>
        <w:tc>
          <w:tcPr>
            <w:tcW w:type="dxa" w:w="3005"/>
          </w:tcPr>
          <w:p>
            <w:pPr>
              <w:spacing w:after="40"/>
            </w:pPr>
            <w:r>
              <w:rPr>
                <w:sz w:val="18"/>
              </w:rPr>
              <w:t>x 35–124</w:t>
              <w:br/>
              <w:t>y 519–528</w:t>
            </w:r>
          </w:p>
        </w:tc>
        <w:tc>
          <w:tcPr>
            <w:tcW w:type="dxa" w:w="3402"/>
          </w:tcPr>
          <w:p>
            <w:pPr>
              <w:spacing w:after="40"/>
            </w:pPr>
            <w:r>
              <w:rPr>
                <w:sz w:val="18"/>
              </w:rPr>
              <w:t>unten, links</w:t>
              <w:br/>
              <w:t>x 2.5–9.0 %</w:t>
              <w:br/>
              <w:t>y 78.4–79.8 %</w:t>
            </w:r>
          </w:p>
        </w:tc>
      </w:tr>
      <w:tr>
        <w:trPr>
          <w:cantSplit/>
        </w:trPr>
        <w:tc>
          <w:tcPr>
            <w:tcW w:type="dxa" w:w="3288"/>
          </w:tcPr>
          <w:p>
            <w:pPr>
              <w:spacing w:after="40"/>
            </w:pPr>
            <w:r>
              <w:rPr>
                <w:sz w:val="18"/>
              </w:rPr>
              <w:t>Analytic Model</w:t>
            </w:r>
          </w:p>
        </w:tc>
        <w:tc>
          <w:tcPr>
            <w:tcW w:type="dxa" w:w="3005"/>
          </w:tcPr>
          <w:p>
            <w:pPr>
              <w:spacing w:after="40"/>
            </w:pPr>
            <w:r>
              <w:rPr>
                <w:sz w:val="18"/>
              </w:rPr>
              <w:t>x 732–798</w:t>
              <w:br/>
              <w:t>y 532–541</w:t>
            </w:r>
          </w:p>
        </w:tc>
        <w:tc>
          <w:tcPr>
            <w:tcW w:type="dxa" w:w="3402"/>
          </w:tcPr>
          <w:p>
            <w:pPr>
              <w:spacing w:after="40"/>
            </w:pPr>
            <w:r>
              <w:rPr>
                <w:sz w:val="18"/>
              </w:rPr>
              <w:t>unten, mittig</w:t>
              <w:br/>
              <w:t>x 52.9–57.7 %</w:t>
              <w:br/>
              <w:t>y 80.4–81.7 %</w:t>
            </w:r>
          </w:p>
        </w:tc>
      </w:tr>
      <w:tr>
        <w:trPr>
          <w:cantSplit/>
        </w:trPr>
        <w:tc>
          <w:tcPr>
            <w:tcW w:type="dxa" w:w="3288"/>
          </w:tcPr>
          <w:p>
            <w:pPr>
              <w:spacing w:after="40"/>
            </w:pPr>
            <w:r>
              <w:rPr>
                <w:sz w:val="18"/>
              </w:rPr>
              <w:t>Translation</w:t>
            </w:r>
          </w:p>
        </w:tc>
        <w:tc>
          <w:tcPr>
            <w:tcW w:type="dxa" w:w="3005"/>
          </w:tcPr>
          <w:p>
            <w:pPr>
              <w:spacing w:after="40"/>
            </w:pPr>
            <w:r>
              <w:rPr>
                <w:sz w:val="18"/>
              </w:rPr>
              <w:t>x 36–83</w:t>
              <w:br/>
              <w:t>y 545–552</w:t>
            </w:r>
          </w:p>
        </w:tc>
        <w:tc>
          <w:tcPr>
            <w:tcW w:type="dxa" w:w="3402"/>
          </w:tcPr>
          <w:p>
            <w:pPr>
              <w:spacing w:after="40"/>
            </w:pPr>
            <w:r>
              <w:rPr>
                <w:sz w:val="18"/>
              </w:rPr>
              <w:t>unten, links</w:t>
              <w:br/>
              <w:t>x 2.6–6.0 %</w:t>
              <w:br/>
              <w:t>y 82.3–83.4 %</w:t>
            </w:r>
          </w:p>
        </w:tc>
      </w:tr>
      <w:tr>
        <w:trPr>
          <w:cantSplit/>
        </w:trPr>
        <w:tc>
          <w:tcPr>
            <w:tcW w:type="dxa" w:w="3288"/>
          </w:tcPr>
          <w:p>
            <w:pPr>
              <w:spacing w:after="40"/>
            </w:pPr>
            <w:r>
              <w:rPr>
                <w:sz w:val="18"/>
              </w:rPr>
              <w:t>Analytic Model</w:t>
            </w:r>
          </w:p>
        </w:tc>
        <w:tc>
          <w:tcPr>
            <w:tcW w:type="dxa" w:w="3005"/>
          </w:tcPr>
          <w:p>
            <w:pPr>
              <w:spacing w:after="40"/>
            </w:pPr>
            <w:r>
              <w:rPr>
                <w:sz w:val="18"/>
              </w:rPr>
              <w:t>x 732–797</w:t>
              <w:br/>
              <w:t>y 557–566</w:t>
            </w:r>
          </w:p>
        </w:tc>
        <w:tc>
          <w:tcPr>
            <w:tcW w:type="dxa" w:w="3402"/>
          </w:tcPr>
          <w:p>
            <w:pPr>
              <w:spacing w:after="40"/>
            </w:pPr>
            <w:r>
              <w:rPr>
                <w:sz w:val="18"/>
              </w:rPr>
              <w:t>unten, mittig</w:t>
              <w:br/>
              <w:t>x 52.9–57.6 %</w:t>
              <w:br/>
              <w:t>y 84.1–85.6 %</w:t>
            </w:r>
          </w:p>
        </w:tc>
      </w:tr>
      <w:tr>
        <w:trPr>
          <w:cantSplit/>
        </w:trPr>
        <w:tc>
          <w:tcPr>
            <w:tcW w:type="dxa" w:w="3288"/>
          </w:tcPr>
          <w:p>
            <w:pPr>
              <w:spacing w:after="40"/>
            </w:pPr>
            <w:r>
              <w:rPr>
                <w:sz w:val="18"/>
              </w:rPr>
              <w:t>Transport</w:t>
            </w:r>
          </w:p>
        </w:tc>
        <w:tc>
          <w:tcPr>
            <w:tcW w:type="dxa" w:w="3005"/>
          </w:tcPr>
          <w:p>
            <w:pPr>
              <w:spacing w:after="40"/>
            </w:pPr>
            <w:r>
              <w:rPr>
                <w:sz w:val="18"/>
              </w:rPr>
              <w:t>x 36–76</w:t>
              <w:br/>
              <w:t>y 571–580</w:t>
            </w:r>
          </w:p>
        </w:tc>
        <w:tc>
          <w:tcPr>
            <w:tcW w:type="dxa" w:w="3402"/>
          </w:tcPr>
          <w:p>
            <w:pPr>
              <w:spacing w:after="40"/>
            </w:pPr>
            <w:r>
              <w:rPr>
                <w:sz w:val="18"/>
              </w:rPr>
              <w:t>unten, links</w:t>
              <w:br/>
              <w:t>x 2.6–5.5 %</w:t>
              <w:br/>
              <w:t>y 86.3–87.6 %</w:t>
            </w:r>
          </w:p>
        </w:tc>
      </w:tr>
      <w:tr>
        <w:trPr>
          <w:cantSplit/>
        </w:trPr>
        <w:tc>
          <w:tcPr>
            <w:tcW w:type="dxa" w:w="3288"/>
          </w:tcPr>
          <w:p>
            <w:pPr>
              <w:spacing w:after="40"/>
            </w:pPr>
            <w:r>
              <w:rPr>
                <w:sz w:val="18"/>
              </w:rPr>
              <w:t>Analytic Model</w:t>
            </w:r>
          </w:p>
        </w:tc>
        <w:tc>
          <w:tcPr>
            <w:tcW w:type="dxa" w:w="3005"/>
          </w:tcPr>
          <w:p>
            <w:pPr>
              <w:spacing w:after="40"/>
            </w:pPr>
            <w:r>
              <w:rPr>
                <w:sz w:val="18"/>
              </w:rPr>
              <w:t>x 732–797</w:t>
              <w:br/>
              <w:t>y 583–592</w:t>
            </w:r>
          </w:p>
        </w:tc>
        <w:tc>
          <w:tcPr>
            <w:tcW w:type="dxa" w:w="3402"/>
          </w:tcPr>
          <w:p>
            <w:pPr>
              <w:spacing w:after="40"/>
            </w:pPr>
            <w:r>
              <w:rPr>
                <w:sz w:val="18"/>
              </w:rPr>
              <w:t>unten, mittig</w:t>
              <w:br/>
              <w:t>x 52.9–57.6 %</w:t>
              <w:br/>
              <w:t>y 88.1–89.5 %</w:t>
            </w:r>
          </w:p>
        </w:tc>
      </w:tr>
      <w:tr>
        <w:trPr>
          <w:cantSplit/>
        </w:trPr>
        <w:tc>
          <w:tcPr>
            <w:tcW w:type="dxa" w:w="3288"/>
          </w:tcPr>
          <w:p>
            <w:pPr>
              <w:spacing w:after="40"/>
            </w:pPr>
            <w:r>
              <w:rPr>
                <w:sz w:val="18"/>
              </w:rPr>
              <w:t>Security</w:t>
            </w:r>
          </w:p>
        </w:tc>
        <w:tc>
          <w:tcPr>
            <w:tcW w:type="dxa" w:w="3005"/>
          </w:tcPr>
          <w:p>
            <w:pPr>
              <w:spacing w:after="40"/>
            </w:pPr>
            <w:r>
              <w:rPr>
                <w:sz w:val="18"/>
              </w:rPr>
              <w:t>x 33–71</w:t>
              <w:br/>
              <w:t>y 611–624</w:t>
            </w:r>
          </w:p>
        </w:tc>
        <w:tc>
          <w:tcPr>
            <w:tcW w:type="dxa" w:w="3402"/>
          </w:tcPr>
          <w:p>
            <w:pPr>
              <w:spacing w:after="40"/>
            </w:pPr>
            <w:r>
              <w:rPr>
                <w:sz w:val="18"/>
              </w:rPr>
              <w:t>unten, links</w:t>
              <w:br/>
              <w:t>x 2.4–5.1 %</w:t>
              <w:br/>
              <w:t>y 92.3–94.3 %</w:t>
            </w:r>
          </w:p>
        </w:tc>
      </w:tr>
      <w:tr>
        <w:trPr>
          <w:cantSplit/>
        </w:trPr>
        <w:tc>
          <w:tcPr>
            <w:tcW w:type="dxa" w:w="3288"/>
          </w:tcPr>
          <w:p>
            <w:pPr>
              <w:spacing w:after="40"/>
            </w:pPr>
            <w:r>
              <w:rPr>
                <w:sz w:val="18"/>
              </w:rPr>
              <w:t>Analytic Model</w:t>
            </w:r>
          </w:p>
        </w:tc>
        <w:tc>
          <w:tcPr>
            <w:tcW w:type="dxa" w:w="3005"/>
          </w:tcPr>
          <w:p>
            <w:pPr>
              <w:spacing w:after="40"/>
            </w:pPr>
            <w:r>
              <w:rPr>
                <w:sz w:val="18"/>
              </w:rPr>
              <w:t>x 732–798</w:t>
              <w:br/>
              <w:t>y 608–618</w:t>
            </w:r>
          </w:p>
        </w:tc>
        <w:tc>
          <w:tcPr>
            <w:tcW w:type="dxa" w:w="3402"/>
          </w:tcPr>
          <w:p>
            <w:pPr>
              <w:spacing w:after="40"/>
            </w:pPr>
            <w:r>
              <w:rPr>
                <w:sz w:val="18"/>
              </w:rPr>
              <w:t>unten, mittig</w:t>
              <w:br/>
              <w:t>x 52.9–57.7 %</w:t>
              <w:br/>
              <w:t>y 91.9–93.4 %</w:t>
            </w:r>
          </w:p>
        </w:tc>
      </w:tr>
      <w:tr>
        <w:trPr>
          <w:cantSplit/>
        </w:trPr>
        <w:tc>
          <w:tcPr>
            <w:tcW w:type="dxa" w:w="3288"/>
          </w:tcPr>
          <w:p>
            <w:pPr>
              <w:spacing w:after="40"/>
            </w:pPr>
            <w:r>
              <w:rPr>
                <w:sz w:val="18"/>
              </w:rPr>
              <w:t>System</w:t>
            </w:r>
          </w:p>
        </w:tc>
        <w:tc>
          <w:tcPr>
            <w:tcW w:type="dxa" w:w="3005"/>
          </w:tcPr>
          <w:p>
            <w:pPr>
              <w:spacing w:after="40"/>
            </w:pPr>
            <w:r>
              <w:rPr>
                <w:sz w:val="18"/>
              </w:rPr>
              <w:t>x 35–67</w:t>
              <w:br/>
              <w:t>y 639–648</w:t>
            </w:r>
          </w:p>
        </w:tc>
        <w:tc>
          <w:tcPr>
            <w:tcW w:type="dxa" w:w="3402"/>
          </w:tcPr>
          <w:p>
            <w:pPr>
              <w:spacing w:after="40"/>
            </w:pPr>
            <w:r>
              <w:rPr>
                <w:sz w:val="18"/>
              </w:rPr>
              <w:t>unten, links</w:t>
              <w:br/>
              <w:t>x 2.5–4.8 %</w:t>
              <w:br/>
              <w:t>y 96.5–97.9 %</w:t>
            </w:r>
          </w:p>
        </w:tc>
      </w:tr>
      <w:tr>
        <w:trPr>
          <w:cantSplit/>
        </w:trPr>
        <w:tc>
          <w:tcPr>
            <w:tcW w:type="dxa" w:w="3288"/>
          </w:tcPr>
          <w:p>
            <w:pPr>
              <w:spacing w:after="40"/>
            </w:pPr>
            <w:r>
              <w:rPr>
                <w:sz w:val="18"/>
              </w:rPr>
              <w:t>Analytic Model</w:t>
            </w:r>
          </w:p>
        </w:tc>
        <w:tc>
          <w:tcPr>
            <w:tcW w:type="dxa" w:w="3005"/>
          </w:tcPr>
          <w:p>
            <w:pPr>
              <w:spacing w:after="40"/>
            </w:pPr>
            <w:r>
              <w:rPr>
                <w:sz w:val="18"/>
              </w:rPr>
              <w:t>x 732–798</w:t>
              <w:br/>
              <w:t>y 634–644</w:t>
            </w:r>
          </w:p>
        </w:tc>
        <w:tc>
          <w:tcPr>
            <w:tcW w:type="dxa" w:w="3402"/>
          </w:tcPr>
          <w:p>
            <w:pPr>
              <w:spacing w:after="40"/>
            </w:pPr>
            <w:r>
              <w:rPr>
                <w:sz w:val="18"/>
              </w:rPr>
              <w:t>unten, mittig</w:t>
              <w:br/>
              <w:t>x 52.9–57.7 %</w:t>
              <w:br/>
              <w:t>y 95.8–97.3 %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7: Data Integration Monitor: Space-Auswahl</w:t>
      </w:r>
    </w:p>
    <w:p>
      <w:r>
        <w:t>Bildformat: 1914 × 929 Pixel. Die folgenden Positionen beziehen sich auf dieses vollständige Bild.</w:t>
      </w:r>
    </w:p>
    <w:p>
      <w:pPr>
        <w:pStyle w:val="Heading2"/>
      </w:pPr>
      <w:r>
        <w:t>1. Gesamtaufbau und sichtbarer Zustand</w:t>
      </w:r>
    </w:p>
    <w:p>
      <w:pPr>
        <w:pStyle w:val="Heading3"/>
      </w:pPr>
      <w:r>
        <w:t>Gesamtansicht</w:t>
      </w:r>
    </w:p>
    <w:p>
      <w:r>
        <w:t>Die Seite trägt die Überschrift „Welcome to the Data Integration Monitor“. Direkt darunter steht ein kurzer Begrüßungs- und Erklärungstext. Unter diesem Kopfbereich folgt ein Raster aus Space-Karten.</w:t>
      </w:r>
    </w:p>
    <w:p>
      <w:pPr>
        <w:pStyle w:val="Heading3"/>
      </w:pPr>
      <w:r>
        <w:t>Navigation und Suche</w:t>
      </w:r>
    </w:p>
    <w:p>
      <w:r>
        <w:t>Die globale Navigation befindet sich links. Oberhalb des Kartenrasters steht „Spaces“. Rechts daneben ist ein Suchfeld angeordnet. Kleine Symbole in der Nähe der Überschrift ergänzen die Ansicht.</w:t>
      </w:r>
    </w:p>
    <w:p>
      <w:pPr>
        <w:pStyle w:val="Heading3"/>
      </w:pPr>
      <w:r>
        <w:t>Kartenraster</w:t>
      </w:r>
    </w:p>
    <w:p>
      <w:r>
        <w:t>Die Karten sind in mehreren Spalten und Reihen angeordnet. Jede Karte besitzt einen oberen Bereich für die Bezeichnung und einen darunterliegenden Bereich mit der Beschriftung „Disk for Storage“. Die Einheiten MB und GB sowie das verbindende Wort „of“ sind an mehreren Stellen sichtbar. Die Karten haben helle Hintergründe, abgerundete Konturen und kleine grafische Symbole.</w:t>
      </w:r>
    </w:p>
    <w:p>
      <w:pPr>
        <w:pStyle w:val="Heading3"/>
      </w:pPr>
      <w:r>
        <w:t>Bildaufbau</w:t>
      </w:r>
    </w:p>
    <w:p>
      <w:r>
        <w:t>Die erste und zweite Kartenreihe sind vollständig sichtbar; weitere Karten setzen sich nach unten fort. Zwischen den Karten bestehen gleichmäßige horizontale und vertikale Abstände. Der Screenshot zeigt die Auswahlübersicht, nicht den Inhalt eines einzelnen Spaces oder eine geöffnete Aufgabe.</w:t>
      </w:r>
    </w:p>
    <w:p>
      <w:pPr>
        <w:pStyle w:val="Heading2"/>
      </w:pPr>
      <w:r>
        <w:t>2. Räumliche Beschreibung von oben nach unten</w:t>
      </w:r>
    </w:p>
    <w:p>
      <w:pPr>
        <w:pStyle w:val="Heading3"/>
      </w:pPr>
      <w:r>
        <w:t>Begrüßung</w:t>
      </w:r>
    </w:p>
    <w:p>
      <w:r>
        <w:rPr>
          <w:b/>
        </w:rPr>
        <w:t xml:space="preserve">Ungefähre Bildregion: </w:t>
      </w:r>
      <w:r>
        <w:t>x 16–90 %, y 10–18 %</w:t>
      </w:r>
    </w:p>
    <w:p>
      <w:r>
        <w:t>Die große Überschrift liegt oben links im Hauptbereich. Direkt darunter folgt ein einzelner erklärender Absatz.</w:t>
      </w:r>
    </w:p>
    <w:p>
      <w:pPr>
        <w:pStyle w:val="Heading3"/>
      </w:pPr>
      <w:r>
        <w:t>Rasterkopf</w:t>
      </w:r>
    </w:p>
    <w:p>
      <w:r>
        <w:rPr>
          <w:b/>
        </w:rPr>
        <w:t xml:space="preserve">Ungefähre Bildregion: </w:t>
      </w:r>
      <w:r>
        <w:t>x 16–97 %, y 20–25 %</w:t>
      </w:r>
    </w:p>
    <w:p>
      <w:r>
        <w:t>Spaces steht links, das Suchfeld rechts. Kleine Symbole liegen in der Nähe der Rasterüberschrift.</w:t>
      </w:r>
    </w:p>
    <w:p>
      <w:pPr>
        <w:pStyle w:val="Heading3"/>
      </w:pPr>
      <w:r>
        <w:t>Space-Karten</w:t>
      </w:r>
    </w:p>
    <w:p>
      <w:r>
        <w:rPr>
          <w:b/>
        </w:rPr>
        <w:t xml:space="preserve">Ungefähre Bildregion: </w:t>
      </w:r>
      <w:r>
        <w:t>x 16–97 %, y 26–100 %</w:t>
      </w:r>
    </w:p>
    <w:p>
      <w:r>
        <w:t>Drei Karten stehen pro Reihe nebeneinander. Die erste Reihe beginnt direkt unter dem Rasterkopf. Jede Karte enthält oben einen Titelbereich und darunter Disk for Storage. Die zweite Reihe wiederholt diese Struktur. Weitere Reihen setzen sich bis zum unteren Bildrand fort.</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Data Integration</w:t>
            </w:r>
          </w:p>
        </w:tc>
        <w:tc>
          <w:tcPr>
            <w:tcW w:type="dxa" w:w="3005"/>
          </w:tcPr>
          <w:p>
            <w:pPr>
              <w:spacing w:after="40"/>
            </w:pPr>
            <w:r>
              <w:rPr>
                <w:sz w:val="18"/>
              </w:rPr>
              <w:t>x 224–328</w:t>
              <w:br/>
              <w:t>y 50–63</w:t>
            </w:r>
          </w:p>
        </w:tc>
        <w:tc>
          <w:tcPr>
            <w:tcW w:type="dxa" w:w="3402"/>
          </w:tcPr>
          <w:p>
            <w:pPr>
              <w:spacing w:after="40"/>
            </w:pPr>
            <w:r>
              <w:rPr>
                <w:sz w:val="18"/>
              </w:rPr>
              <w:t>oben, links</w:t>
              <w:br/>
              <w:t>x 11.7–17.1 %</w:t>
              <w:br/>
              <w:t>y 5.4–6.8 %</w:t>
            </w:r>
          </w:p>
        </w:tc>
      </w:tr>
      <w:tr>
        <w:trPr>
          <w:cantSplit/>
        </w:trPr>
        <w:tc>
          <w:tcPr>
            <w:tcW w:type="dxa" w:w="3288"/>
          </w:tcPr>
          <w:p>
            <w:pPr>
              <w:spacing w:after="40"/>
            </w:pPr>
            <w:r>
              <w:rPr>
                <w:sz w:val="18"/>
              </w:rPr>
              <w:t>Home</w:t>
            </w:r>
          </w:p>
        </w:tc>
        <w:tc>
          <w:tcPr>
            <w:tcW w:type="dxa" w:w="3005"/>
          </w:tcPr>
          <w:p>
            <w:pPr>
              <w:spacing w:after="40"/>
            </w:pPr>
            <w:r>
              <w:rPr>
                <w:sz w:val="18"/>
              </w:rPr>
              <w:t>x 49–84</w:t>
              <w:br/>
              <w:t>y 100–110</w:t>
            </w:r>
          </w:p>
        </w:tc>
        <w:tc>
          <w:tcPr>
            <w:tcW w:type="dxa" w:w="3402"/>
          </w:tcPr>
          <w:p>
            <w:pPr>
              <w:spacing w:after="40"/>
            </w:pPr>
            <w:r>
              <w:rPr>
                <w:sz w:val="18"/>
              </w:rPr>
              <w:t>oben, links</w:t>
              <w:br/>
              <w:t>x 2.6–4.4 %</w:t>
              <w:br/>
              <w:t>y 10.8–11.8 %</w:t>
            </w:r>
          </w:p>
        </w:tc>
      </w:tr>
      <w:tr>
        <w:trPr>
          <w:cantSplit/>
        </w:trPr>
        <w:tc>
          <w:tcPr>
            <w:tcW w:type="dxa" w:w="3288"/>
          </w:tcPr>
          <w:p>
            <w:pPr>
              <w:spacing w:after="40"/>
            </w:pPr>
            <w:r>
              <w:rPr>
                <w:sz w:val="18"/>
              </w:rPr>
              <w:t>Repository Explorer</w:t>
            </w:r>
          </w:p>
        </w:tc>
        <w:tc>
          <w:tcPr>
            <w:tcW w:type="dxa" w:w="3005"/>
          </w:tcPr>
          <w:p>
            <w:pPr>
              <w:spacing w:after="40"/>
            </w:pPr>
            <w:r>
              <w:rPr>
                <w:sz w:val="18"/>
              </w:rPr>
              <w:t>x 49–170</w:t>
              <w:br/>
              <w:t>y 136–149</w:t>
            </w:r>
          </w:p>
        </w:tc>
        <w:tc>
          <w:tcPr>
            <w:tcW w:type="dxa" w:w="3402"/>
          </w:tcPr>
          <w:p>
            <w:pPr>
              <w:spacing w:after="40"/>
            </w:pPr>
            <w:r>
              <w:rPr>
                <w:sz w:val="18"/>
              </w:rPr>
              <w:t>oben, links</w:t>
              <w:br/>
              <w:t>x 2.6–8.9 %</w:t>
              <w:br/>
              <w:t>y 14.6–16.0 %</w:t>
            </w:r>
          </w:p>
        </w:tc>
      </w:tr>
      <w:tr>
        <w:trPr>
          <w:cantSplit/>
        </w:trPr>
        <w:tc>
          <w:tcPr>
            <w:tcW w:type="dxa" w:w="3288"/>
          </w:tcPr>
          <w:p>
            <w:pPr>
              <w:spacing w:after="40"/>
            </w:pPr>
            <w:r>
              <w:rPr>
                <w:sz w:val="18"/>
              </w:rPr>
              <w:t>Welcome to the Data Integration Monitor</w:t>
            </w:r>
          </w:p>
        </w:tc>
        <w:tc>
          <w:tcPr>
            <w:tcW w:type="dxa" w:w="3005"/>
          </w:tcPr>
          <w:p>
            <w:pPr>
              <w:spacing w:after="40"/>
            </w:pPr>
            <w:r>
              <w:rPr>
                <w:sz w:val="18"/>
              </w:rPr>
              <w:t>x 304–790</w:t>
              <w:br/>
              <w:t>y 138–162</w:t>
            </w:r>
          </w:p>
        </w:tc>
        <w:tc>
          <w:tcPr>
            <w:tcW w:type="dxa" w:w="3402"/>
          </w:tcPr>
          <w:p>
            <w:pPr>
              <w:spacing w:after="40"/>
            </w:pPr>
            <w:r>
              <w:rPr>
                <w:sz w:val="18"/>
              </w:rPr>
              <w:t>oben, links</w:t>
              <w:br/>
              <w:t>x 15.9–41.3 %</w:t>
              <w:br/>
              <w:t>y 14.9–17.4 %</w:t>
            </w:r>
          </w:p>
        </w:tc>
      </w:tr>
      <w:tr>
        <w:trPr>
          <w:cantSplit/>
        </w:trPr>
        <w:tc>
          <w:tcPr>
            <w:tcW w:type="dxa" w:w="3288"/>
          </w:tcPr>
          <w:p>
            <w:pPr>
              <w:spacing w:after="40"/>
            </w:pPr>
            <w:r>
              <w:rPr>
                <w:sz w:val="18"/>
              </w:rPr>
              <w:t>Monitoring</w:t>
            </w:r>
          </w:p>
        </w:tc>
        <w:tc>
          <w:tcPr>
            <w:tcW w:type="dxa" w:w="3005"/>
          </w:tcPr>
          <w:p>
            <w:pPr>
              <w:spacing w:after="40"/>
            </w:pPr>
            <w:r>
              <w:rPr>
                <w:sz w:val="18"/>
              </w:rPr>
              <w:t>x 49–114</w:t>
              <w:br/>
              <w:t>y 172–185</w:t>
            </w:r>
          </w:p>
        </w:tc>
        <w:tc>
          <w:tcPr>
            <w:tcW w:type="dxa" w:w="3402"/>
          </w:tcPr>
          <w:p>
            <w:pPr>
              <w:spacing w:after="40"/>
            </w:pPr>
            <w:r>
              <w:rPr>
                <w:sz w:val="18"/>
              </w:rPr>
              <w:t>oben, links</w:t>
              <w:br/>
              <w:t>x 2.6–6.0 %</w:t>
              <w:br/>
              <w:t>y 18.5–19.9 %</w:t>
            </w:r>
          </w:p>
        </w:tc>
      </w:tr>
      <w:tr>
        <w:trPr>
          <w:cantSplit/>
        </w:trPr>
        <w:tc>
          <w:tcPr>
            <w:tcW w:type="dxa" w:w="3288"/>
          </w:tcPr>
          <w:p>
            <w:pPr>
              <w:spacing w:after="40"/>
            </w:pPr>
            <w:r>
              <w:rPr>
                <w:sz w:val="18"/>
              </w:rPr>
              <w:t>Welcome to the Data Integration Monitor!</w:t>
            </w:r>
          </w:p>
        </w:tc>
        <w:tc>
          <w:tcPr>
            <w:tcW w:type="dxa" w:w="3005"/>
          </w:tcPr>
          <w:p>
            <w:pPr>
              <w:spacing w:after="40"/>
            </w:pPr>
            <w:r>
              <w:rPr>
                <w:sz w:val="18"/>
              </w:rPr>
              <w:t>x 304–557</w:t>
              <w:br/>
              <w:t>y 177–190</w:t>
            </w:r>
          </w:p>
        </w:tc>
        <w:tc>
          <w:tcPr>
            <w:tcW w:type="dxa" w:w="3402"/>
          </w:tcPr>
          <w:p>
            <w:pPr>
              <w:spacing w:after="40"/>
            </w:pPr>
            <w:r>
              <w:rPr>
                <w:sz w:val="18"/>
              </w:rPr>
              <w:t>oben, links</w:t>
              <w:br/>
              <w:t>x 15.9–29.1 %</w:t>
              <w:br/>
              <w:t>y 19.1–20.5 %</w:t>
            </w:r>
          </w:p>
        </w:tc>
      </w:tr>
      <w:tr>
        <w:trPr>
          <w:cantSplit/>
        </w:trPr>
        <w:tc>
          <w:tcPr>
            <w:tcW w:type="dxa" w:w="3288"/>
          </w:tcPr>
          <w:p>
            <w:pPr>
              <w:spacing w:after="40"/>
            </w:pPr>
            <w:r>
              <w:rPr>
                <w:sz w:val="18"/>
              </w:rPr>
              <w:t>edit</w:t>
            </w:r>
          </w:p>
        </w:tc>
        <w:tc>
          <w:tcPr>
            <w:tcW w:type="dxa" w:w="3005"/>
          </w:tcPr>
          <w:p>
            <w:pPr>
              <w:spacing w:after="40"/>
            </w:pPr>
            <w:r>
              <w:rPr>
                <w:sz w:val="18"/>
              </w:rPr>
              <w:t>x 683–705</w:t>
              <w:br/>
              <w:t>y 177–187</w:t>
            </w:r>
          </w:p>
        </w:tc>
        <w:tc>
          <w:tcPr>
            <w:tcW w:type="dxa" w:w="3402"/>
          </w:tcPr>
          <w:p>
            <w:pPr>
              <w:spacing w:after="40"/>
            </w:pPr>
            <w:r>
              <w:rPr>
                <w:sz w:val="18"/>
              </w:rPr>
              <w:t>oben, mittig</w:t>
              <w:br/>
              <w:t>x 35.7–36.8 %</w:t>
              <w:br/>
              <w:t>y 19.1–20.1 %</w:t>
            </w:r>
          </w:p>
        </w:tc>
      </w:tr>
      <w:tr>
        <w:trPr>
          <w:cantSplit/>
        </w:trPr>
        <w:tc>
          <w:tcPr>
            <w:tcW w:type="dxa" w:w="3288"/>
          </w:tcPr>
          <w:p>
            <w:pPr>
              <w:spacing w:after="40"/>
            </w:pPr>
            <w:r>
              <w:rPr>
                <w:sz w:val="18"/>
              </w:rPr>
              <w:t>System and Spaces</w:t>
            </w:r>
          </w:p>
        </w:tc>
        <w:tc>
          <w:tcPr>
            <w:tcW w:type="dxa" w:w="3005"/>
          </w:tcPr>
          <w:p>
            <w:pPr>
              <w:spacing w:after="40"/>
            </w:pPr>
            <w:r>
              <w:rPr>
                <w:sz w:val="18"/>
              </w:rPr>
              <w:t>x 49–169</w:t>
              <w:br/>
              <w:t>y 208–221</w:t>
            </w:r>
          </w:p>
        </w:tc>
        <w:tc>
          <w:tcPr>
            <w:tcW w:type="dxa" w:w="3402"/>
          </w:tcPr>
          <w:p>
            <w:pPr>
              <w:spacing w:after="40"/>
            </w:pPr>
            <w:r>
              <w:rPr>
                <w:sz w:val="18"/>
              </w:rPr>
              <w:t>oben, links</w:t>
              <w:br/>
              <w:t>x 2.6–8.8 %</w:t>
              <w:br/>
              <w:t>y 22.4–23.8 %</w:t>
            </w:r>
          </w:p>
        </w:tc>
      </w:tr>
      <w:tr>
        <w:trPr>
          <w:cantSplit/>
        </w:trPr>
        <w:tc>
          <w:tcPr>
            <w:tcW w:type="dxa" w:w="3288"/>
          </w:tcPr>
          <w:p>
            <w:pPr>
              <w:spacing w:after="40"/>
            </w:pPr>
            <w:r>
              <w:rPr>
                <w:sz w:val="18"/>
              </w:rPr>
              <w:t>Capacities</w:t>
            </w:r>
          </w:p>
        </w:tc>
        <w:tc>
          <w:tcPr>
            <w:tcW w:type="dxa" w:w="3005"/>
          </w:tcPr>
          <w:p>
            <w:pPr>
              <w:spacing w:after="40"/>
            </w:pPr>
            <w:r>
              <w:rPr>
                <w:sz w:val="18"/>
              </w:rPr>
              <w:t>x 48–112</w:t>
              <w:br/>
              <w:t>y 244–257</w:t>
            </w:r>
          </w:p>
        </w:tc>
        <w:tc>
          <w:tcPr>
            <w:tcW w:type="dxa" w:w="3402"/>
          </w:tcPr>
          <w:p>
            <w:pPr>
              <w:spacing w:after="40"/>
            </w:pPr>
            <w:r>
              <w:rPr>
                <w:sz w:val="18"/>
              </w:rPr>
              <w:t>oben, links</w:t>
              <w:br/>
              <w:t>x 2.5–5.9 %</w:t>
              <w:br/>
              <w:t>y 26.3–27.7 %</w:t>
            </w:r>
          </w:p>
        </w:tc>
      </w:tr>
      <w:tr>
        <w:trPr>
          <w:cantSplit/>
        </w:trPr>
        <w:tc>
          <w:tcPr>
            <w:tcW w:type="dxa" w:w="3288"/>
          </w:tcPr>
          <w:p>
            <w:pPr>
              <w:spacing w:after="40"/>
            </w:pPr>
            <w:r>
              <w:rPr>
                <w:sz w:val="18"/>
              </w:rPr>
              <w:t>Spaces</w:t>
            </w:r>
          </w:p>
        </w:tc>
        <w:tc>
          <w:tcPr>
            <w:tcW w:type="dxa" w:w="3005"/>
          </w:tcPr>
          <w:p>
            <w:pPr>
              <w:spacing w:after="40"/>
            </w:pPr>
            <w:r>
              <w:rPr>
                <w:sz w:val="18"/>
              </w:rPr>
              <w:t>x 883–946</w:t>
              <w:br/>
              <w:t>y 258–276</w:t>
            </w:r>
          </w:p>
        </w:tc>
        <w:tc>
          <w:tcPr>
            <w:tcW w:type="dxa" w:w="3402"/>
          </w:tcPr>
          <w:p>
            <w:pPr>
              <w:spacing w:after="40"/>
            </w:pPr>
            <w:r>
              <w:rPr>
                <w:sz w:val="18"/>
              </w:rPr>
              <w:t>oben, mittig</w:t>
              <w:br/>
              <w:t>x 46.1–49.4 %</w:t>
              <w:br/>
              <w:t>y 27.8–29.7 %</w:t>
            </w:r>
          </w:p>
        </w:tc>
      </w:tr>
      <w:tr>
        <w:trPr>
          <w:cantSplit/>
        </w:trPr>
        <w:tc>
          <w:tcPr>
            <w:tcW w:type="dxa" w:w="3288"/>
          </w:tcPr>
          <w:p>
            <w:pPr>
              <w:spacing w:after="40"/>
            </w:pPr>
            <w:r>
              <w:rPr>
                <w:sz w:val="18"/>
              </w:rPr>
              <w:t>Task Logs</w:t>
            </w:r>
          </w:p>
        </w:tc>
        <w:tc>
          <w:tcPr>
            <w:tcW w:type="dxa" w:w="3005"/>
          </w:tcPr>
          <w:p>
            <w:pPr>
              <w:spacing w:after="40"/>
            </w:pPr>
            <w:r>
              <w:rPr>
                <w:sz w:val="18"/>
              </w:rPr>
              <w:t>x 48–108</w:t>
              <w:br/>
              <w:t>y 280–293</w:t>
            </w:r>
          </w:p>
        </w:tc>
        <w:tc>
          <w:tcPr>
            <w:tcW w:type="dxa" w:w="3402"/>
          </w:tcPr>
          <w:p>
            <w:pPr>
              <w:spacing w:after="40"/>
            </w:pPr>
            <w:r>
              <w:rPr>
                <w:sz w:val="18"/>
              </w:rPr>
              <w:t>oben, links</w:t>
              <w:br/>
              <w:t>x 2.5–5.6 %</w:t>
              <w:br/>
              <w:t>y 30.1–31.5 %</w:t>
            </w:r>
          </w:p>
        </w:tc>
      </w:tr>
      <w:tr>
        <w:trPr>
          <w:cantSplit/>
        </w:trPr>
        <w:tc>
          <w:tcPr>
            <w:tcW w:type="dxa" w:w="3288"/>
          </w:tcPr>
          <w:p>
            <w:pPr>
              <w:spacing w:after="40"/>
            </w:pPr>
            <w:r>
              <w:rPr>
                <w:sz w:val="18"/>
              </w:rPr>
              <w:t>Expensive Statement Logs</w:t>
            </w:r>
          </w:p>
        </w:tc>
        <w:tc>
          <w:tcPr>
            <w:tcW w:type="dxa" w:w="3005"/>
          </w:tcPr>
          <w:p>
            <w:pPr>
              <w:spacing w:after="40"/>
            </w:pPr>
            <w:r>
              <w:rPr>
                <w:sz w:val="18"/>
              </w:rPr>
              <w:t>x 49–211</w:t>
              <w:br/>
              <w:t>y 316–329</w:t>
            </w:r>
          </w:p>
        </w:tc>
        <w:tc>
          <w:tcPr>
            <w:tcW w:type="dxa" w:w="3402"/>
          </w:tcPr>
          <w:p>
            <w:pPr>
              <w:spacing w:after="40"/>
            </w:pPr>
            <w:r>
              <w:rPr>
                <w:sz w:val="18"/>
              </w:rPr>
              <w:t>auf mittlerer Höhe, links</w:t>
              <w:br/>
              <w:t>x 2.6–11.0 %</w:t>
              <w:br/>
              <w:t>y 34.0–35.4 %</w:t>
            </w:r>
          </w:p>
        </w:tc>
      </w:tr>
      <w:tr>
        <w:trPr>
          <w:cantSplit/>
        </w:trPr>
        <w:tc>
          <w:tcPr>
            <w:tcW w:type="dxa" w:w="3288"/>
          </w:tcPr>
          <w:p>
            <w:pPr>
              <w:spacing w:after="40"/>
            </w:pPr>
            <w:r>
              <w:rPr>
                <w:sz w:val="18"/>
              </w:rPr>
              <w:t>Elastic Compute Nodes</w:t>
            </w:r>
          </w:p>
        </w:tc>
        <w:tc>
          <w:tcPr>
            <w:tcW w:type="dxa" w:w="3005"/>
          </w:tcPr>
          <w:p>
            <w:pPr>
              <w:spacing w:after="40"/>
            </w:pPr>
            <w:r>
              <w:rPr>
                <w:sz w:val="18"/>
              </w:rPr>
              <w:t>x 49–192</w:t>
              <w:br/>
              <w:t>y 352–365</w:t>
            </w:r>
          </w:p>
        </w:tc>
        <w:tc>
          <w:tcPr>
            <w:tcW w:type="dxa" w:w="3402"/>
          </w:tcPr>
          <w:p>
            <w:pPr>
              <w:spacing w:after="40"/>
            </w:pPr>
            <w:r>
              <w:rPr>
                <w:sz w:val="18"/>
              </w:rPr>
              <w:t>auf mittlerer Höhe, links</w:t>
              <w:br/>
              <w:t>x 2.6–10.0 %</w:t>
              <w:br/>
              <w:t>y 37.9–39.3 %</w:t>
            </w:r>
          </w:p>
        </w:tc>
      </w:tr>
      <w:tr>
        <w:trPr>
          <w:cantSplit/>
        </w:trPr>
        <w:tc>
          <w:tcPr>
            <w:tcW w:type="dxa" w:w="3288"/>
          </w:tcPr>
          <w:p>
            <w:pPr>
              <w:spacing w:after="40"/>
            </w:pPr>
            <w:r>
              <w:rPr>
                <w:sz w:val="18"/>
              </w:rPr>
              <w:t>Disk for Storage:</w:t>
            </w:r>
          </w:p>
        </w:tc>
        <w:tc>
          <w:tcPr>
            <w:tcW w:type="dxa" w:w="3005"/>
          </w:tcPr>
          <w:p>
            <w:pPr>
              <w:spacing w:after="40"/>
            </w:pPr>
            <w:r>
              <w:rPr>
                <w:sz w:val="18"/>
              </w:rPr>
              <w:t>x 908–1008</w:t>
              <w:br/>
              <w:t>y 372–385</w:t>
            </w:r>
          </w:p>
        </w:tc>
        <w:tc>
          <w:tcPr>
            <w:tcW w:type="dxa" w:w="3402"/>
          </w:tcPr>
          <w:p>
            <w:pPr>
              <w:spacing w:after="40"/>
            </w:pPr>
            <w:r>
              <w:rPr>
                <w:sz w:val="18"/>
              </w:rPr>
              <w:t>auf mittlerer Höhe, mittig</w:t>
              <w:br/>
              <w:t>x 47.4–52.7 %</w:t>
              <w:br/>
              <w:t>y 40.0–41.4 %</w:t>
            </w:r>
          </w:p>
        </w:tc>
      </w:tr>
      <w:tr>
        <w:trPr>
          <w:cantSplit/>
        </w:trPr>
        <w:tc>
          <w:tcPr>
            <w:tcW w:type="dxa" w:w="3288"/>
          </w:tcPr>
          <w:p>
            <w:pPr>
              <w:spacing w:after="40"/>
            </w:pPr>
            <w:r>
              <w:rPr>
                <w:sz w:val="18"/>
              </w:rPr>
              <w:t>Disk for Storage:</w:t>
            </w:r>
          </w:p>
        </w:tc>
        <w:tc>
          <w:tcPr>
            <w:tcW w:type="dxa" w:w="3005"/>
          </w:tcPr>
          <w:p>
            <w:pPr>
              <w:spacing w:after="40"/>
            </w:pPr>
            <w:r>
              <w:rPr>
                <w:sz w:val="18"/>
              </w:rPr>
              <w:t>x 1224–1324</w:t>
              <w:br/>
              <w:t>y 372–385</w:t>
            </w:r>
          </w:p>
        </w:tc>
        <w:tc>
          <w:tcPr>
            <w:tcW w:type="dxa" w:w="3402"/>
          </w:tcPr>
          <w:p>
            <w:pPr>
              <w:spacing w:after="40"/>
            </w:pPr>
            <w:r>
              <w:rPr>
                <w:sz w:val="18"/>
              </w:rPr>
              <w:t>auf mittlerer Höhe, mittig</w:t>
              <w:br/>
              <w:t>x 63.9–69.2 %</w:t>
              <w:br/>
              <w:t>y 40.0–41.4 %</w:t>
            </w:r>
          </w:p>
        </w:tc>
      </w:tr>
      <w:tr>
        <w:trPr>
          <w:cantSplit/>
        </w:trPr>
        <w:tc>
          <w:tcPr>
            <w:tcW w:type="dxa" w:w="3288"/>
          </w:tcPr>
          <w:p>
            <w:pPr>
              <w:spacing w:after="40"/>
            </w:pPr>
            <w:r>
              <w:rPr>
                <w:sz w:val="18"/>
              </w:rPr>
              <w:t>Disk for Storage:</w:t>
            </w:r>
          </w:p>
        </w:tc>
        <w:tc>
          <w:tcPr>
            <w:tcW w:type="dxa" w:w="3005"/>
          </w:tcPr>
          <w:p>
            <w:pPr>
              <w:spacing w:after="40"/>
            </w:pPr>
            <w:r>
              <w:rPr>
                <w:sz w:val="18"/>
              </w:rPr>
              <w:t>x 1540–1640</w:t>
              <w:br/>
              <w:t>y 372–385</w:t>
            </w:r>
          </w:p>
        </w:tc>
        <w:tc>
          <w:tcPr>
            <w:tcW w:type="dxa" w:w="3402"/>
          </w:tcPr>
          <w:p>
            <w:pPr>
              <w:spacing w:after="40"/>
            </w:pPr>
            <w:r>
              <w:rPr>
                <w:sz w:val="18"/>
              </w:rPr>
              <w:t>auf mittlerer Höhe, rechts</w:t>
              <w:br/>
              <w:t>x 80.5–85.7 %</w:t>
              <w:br/>
              <w:t>y 40.0–41.4 %</w:t>
            </w:r>
          </w:p>
        </w:tc>
      </w:tr>
      <w:tr>
        <w:trPr>
          <w:cantSplit/>
        </w:trPr>
        <w:tc>
          <w:tcPr>
            <w:tcW w:type="dxa" w:w="3288"/>
          </w:tcPr>
          <w:p>
            <w:pPr>
              <w:spacing w:after="40"/>
            </w:pPr>
            <w:r>
              <w:rPr>
                <w:sz w:val="18"/>
              </w:rPr>
              <w:t>Data Integration</w:t>
            </w:r>
          </w:p>
        </w:tc>
        <w:tc>
          <w:tcPr>
            <w:tcW w:type="dxa" w:w="3005"/>
          </w:tcPr>
          <w:p>
            <w:pPr>
              <w:spacing w:after="40"/>
            </w:pPr>
            <w:r>
              <w:rPr>
                <w:sz w:val="18"/>
              </w:rPr>
              <w:t>x 49–146</w:t>
              <w:br/>
              <w:t>y 388–401</w:t>
            </w:r>
          </w:p>
        </w:tc>
        <w:tc>
          <w:tcPr>
            <w:tcW w:type="dxa" w:w="3402"/>
          </w:tcPr>
          <w:p>
            <w:pPr>
              <w:spacing w:after="40"/>
            </w:pPr>
            <w:r>
              <w:rPr>
                <w:sz w:val="18"/>
              </w:rPr>
              <w:t>auf mittlerer Höhe, links</w:t>
              <w:br/>
              <w:t>x 2.6–7.7 %</w:t>
              <w:br/>
              <w:t>y 41.8–43.2 %</w:t>
            </w:r>
          </w:p>
        </w:tc>
      </w:tr>
      <w:tr>
        <w:trPr>
          <w:cantSplit/>
        </w:trPr>
        <w:tc>
          <w:tcPr>
            <w:tcW w:type="dxa" w:w="3288"/>
          </w:tcPr>
          <w:p>
            <w:pPr>
              <w:spacing w:after="40"/>
            </w:pPr>
            <w:r>
              <w:rPr>
                <w:sz w:val="18"/>
              </w:rPr>
              <w:t>of</w:t>
            </w:r>
          </w:p>
        </w:tc>
        <w:tc>
          <w:tcPr>
            <w:tcW w:type="dxa" w:w="3005"/>
          </w:tcPr>
          <w:p>
            <w:pPr>
              <w:spacing w:after="40"/>
            </w:pPr>
            <w:r>
              <w:rPr>
                <w:sz w:val="18"/>
              </w:rPr>
              <w:t>x 964–980</w:t>
              <w:br/>
              <w:t>y 393–416</w:t>
            </w:r>
          </w:p>
        </w:tc>
        <w:tc>
          <w:tcPr>
            <w:tcW w:type="dxa" w:w="3402"/>
          </w:tcPr>
          <w:p>
            <w:pPr>
              <w:spacing w:after="40"/>
            </w:pPr>
            <w:r>
              <w:rPr>
                <w:sz w:val="18"/>
              </w:rPr>
              <w:t>auf mittlerer Höhe, mittig</w:t>
              <w:br/>
              <w:t>x 50.4–51.2 %</w:t>
              <w:br/>
              <w:t>y 42.3–44.7 %</w:t>
            </w:r>
          </w:p>
        </w:tc>
      </w:tr>
      <w:tr>
        <w:trPr>
          <w:cantSplit/>
        </w:trPr>
        <w:tc>
          <w:tcPr>
            <w:tcW w:type="dxa" w:w="3288"/>
          </w:tcPr>
          <w:p>
            <w:pPr>
              <w:spacing w:after="40"/>
            </w:pPr>
            <w:r>
              <w:rPr>
                <w:sz w:val="18"/>
              </w:rPr>
              <w:t>of</w:t>
            </w:r>
          </w:p>
        </w:tc>
        <w:tc>
          <w:tcPr>
            <w:tcW w:type="dxa" w:w="3005"/>
          </w:tcPr>
          <w:p>
            <w:pPr>
              <w:spacing w:after="40"/>
            </w:pPr>
            <w:r>
              <w:rPr>
                <w:sz w:val="18"/>
              </w:rPr>
              <w:t>x 1278–1292</w:t>
              <w:br/>
              <w:t>y 400–410</w:t>
            </w:r>
          </w:p>
        </w:tc>
        <w:tc>
          <w:tcPr>
            <w:tcW w:type="dxa" w:w="3402"/>
          </w:tcPr>
          <w:p>
            <w:pPr>
              <w:spacing w:after="40"/>
            </w:pPr>
            <w:r>
              <w:rPr>
                <w:sz w:val="18"/>
              </w:rPr>
              <w:t>auf mittlerer Höhe, rechts</w:t>
              <w:br/>
              <w:t>x 66.7–67.5 %</w:t>
              <w:br/>
              <w:t>y 43.1–44.1 %</w:t>
            </w:r>
          </w:p>
        </w:tc>
      </w:tr>
      <w:tr>
        <w:trPr>
          <w:cantSplit/>
        </w:trPr>
        <w:tc>
          <w:tcPr>
            <w:tcW w:type="dxa" w:w="3288"/>
          </w:tcPr>
          <w:p>
            <w:pPr>
              <w:spacing w:after="40"/>
            </w:pPr>
            <w:r>
              <w:rPr>
                <w:sz w:val="18"/>
              </w:rPr>
              <w:t>of</w:t>
            </w:r>
          </w:p>
        </w:tc>
        <w:tc>
          <w:tcPr>
            <w:tcW w:type="dxa" w:w="3005"/>
          </w:tcPr>
          <w:p>
            <w:pPr>
              <w:spacing w:after="40"/>
            </w:pPr>
            <w:r>
              <w:rPr>
                <w:sz w:val="18"/>
              </w:rPr>
              <w:t>x 1604–1616</w:t>
              <w:br/>
              <w:t>y 400–410</w:t>
            </w:r>
          </w:p>
        </w:tc>
        <w:tc>
          <w:tcPr>
            <w:tcW w:type="dxa" w:w="3402"/>
          </w:tcPr>
          <w:p>
            <w:pPr>
              <w:spacing w:after="40"/>
            </w:pPr>
            <w:r>
              <w:rPr>
                <w:sz w:val="18"/>
              </w:rPr>
              <w:t>auf mittlerer Höhe, rechts</w:t>
              <w:br/>
              <w:t>x 83.8–84.4 %</w:t>
              <w:br/>
              <w:t>y 43.1–44.1 %</w:t>
            </w:r>
          </w:p>
        </w:tc>
      </w:tr>
      <w:tr>
        <w:trPr>
          <w:cantSplit/>
        </w:trPr>
        <w:tc>
          <w:tcPr>
            <w:tcW w:type="dxa" w:w="3288"/>
          </w:tcPr>
          <w:p>
            <w:pPr>
              <w:spacing w:after="40"/>
            </w:pPr>
            <w:r>
              <w:rPr>
                <w:sz w:val="18"/>
              </w:rPr>
              <w:t>MB</w:t>
            </w:r>
          </w:p>
        </w:tc>
        <w:tc>
          <w:tcPr>
            <w:tcW w:type="dxa" w:w="3005"/>
          </w:tcPr>
          <w:p>
            <w:pPr>
              <w:spacing w:after="40"/>
            </w:pPr>
            <w:r>
              <w:rPr>
                <w:sz w:val="18"/>
              </w:rPr>
              <w:t>x 1648–1667</w:t>
              <w:br/>
              <w:t>y 400–410</w:t>
            </w:r>
          </w:p>
        </w:tc>
        <w:tc>
          <w:tcPr>
            <w:tcW w:type="dxa" w:w="3402"/>
          </w:tcPr>
          <w:p>
            <w:pPr>
              <w:spacing w:after="40"/>
            </w:pPr>
            <w:r>
              <w:rPr>
                <w:sz w:val="18"/>
              </w:rPr>
              <w:t>auf mittlerer Höhe, rechts</w:t>
              <w:br/>
              <w:t>x 86.1–87.1 %</w:t>
              <w:br/>
              <w:t>y 43.1–44.1 %</w:t>
            </w:r>
          </w:p>
        </w:tc>
      </w:tr>
      <w:tr>
        <w:trPr>
          <w:cantSplit/>
        </w:trPr>
        <w:tc>
          <w:tcPr>
            <w:tcW w:type="dxa" w:w="3288"/>
          </w:tcPr>
          <w:p>
            <w:pPr>
              <w:spacing w:after="40"/>
            </w:pPr>
            <w:r>
              <w:rPr>
                <w:sz w:val="18"/>
              </w:rPr>
              <w:t>Apps</w:t>
            </w:r>
          </w:p>
        </w:tc>
        <w:tc>
          <w:tcPr>
            <w:tcW w:type="dxa" w:w="3005"/>
          </w:tcPr>
          <w:p>
            <w:pPr>
              <w:spacing w:after="40"/>
            </w:pPr>
            <w:r>
              <w:rPr>
                <w:sz w:val="18"/>
              </w:rPr>
              <w:t>x 24–55</w:t>
              <w:br/>
              <w:t>y 486–499</w:t>
            </w:r>
          </w:p>
        </w:tc>
        <w:tc>
          <w:tcPr>
            <w:tcW w:type="dxa" w:w="3402"/>
          </w:tcPr>
          <w:p>
            <w:pPr>
              <w:spacing w:after="40"/>
            </w:pPr>
            <w:r>
              <w:rPr>
                <w:sz w:val="18"/>
              </w:rPr>
              <w:t>auf mittlerer Höhe, links</w:t>
              <w:br/>
              <w:t>x 1.3–2.9 %</w:t>
              <w:br/>
              <w:t>y 52.3–53.7 %</w:t>
            </w:r>
          </w:p>
        </w:tc>
      </w:tr>
      <w:tr>
        <w:trPr>
          <w:cantSplit/>
        </w:trPr>
        <w:tc>
          <w:tcPr>
            <w:tcW w:type="dxa" w:w="3288"/>
          </w:tcPr>
          <w:p>
            <w:pPr>
              <w:spacing w:after="40"/>
            </w:pPr>
            <w:r>
              <w:rPr>
                <w:sz w:val="18"/>
              </w:rPr>
              <w:t>Disk for Storage:</w:t>
            </w:r>
          </w:p>
        </w:tc>
        <w:tc>
          <w:tcPr>
            <w:tcW w:type="dxa" w:w="3005"/>
          </w:tcPr>
          <w:p>
            <w:pPr>
              <w:spacing w:after="40"/>
            </w:pPr>
            <w:r>
              <w:rPr>
                <w:sz w:val="18"/>
              </w:rPr>
              <w:t>x 908–1008</w:t>
              <w:br/>
              <w:t>y 518–531</w:t>
            </w:r>
          </w:p>
        </w:tc>
        <w:tc>
          <w:tcPr>
            <w:tcW w:type="dxa" w:w="3402"/>
          </w:tcPr>
          <w:p>
            <w:pPr>
              <w:spacing w:after="40"/>
            </w:pPr>
            <w:r>
              <w:rPr>
                <w:sz w:val="18"/>
              </w:rPr>
              <w:t>auf mittlerer Höhe, mittig</w:t>
              <w:br/>
              <w:t>x 47.4–52.7 %</w:t>
              <w:br/>
              <w:t>y 55.8–57.2 %</w:t>
            </w:r>
          </w:p>
        </w:tc>
      </w:tr>
      <w:tr>
        <w:trPr>
          <w:cantSplit/>
        </w:trPr>
        <w:tc>
          <w:tcPr>
            <w:tcW w:type="dxa" w:w="3288"/>
          </w:tcPr>
          <w:p>
            <w:pPr>
              <w:spacing w:after="40"/>
            </w:pPr>
            <w:r>
              <w:rPr>
                <w:sz w:val="18"/>
              </w:rPr>
              <w:t>Disk for Storage:</w:t>
            </w:r>
          </w:p>
        </w:tc>
        <w:tc>
          <w:tcPr>
            <w:tcW w:type="dxa" w:w="3005"/>
          </w:tcPr>
          <w:p>
            <w:pPr>
              <w:spacing w:after="40"/>
            </w:pPr>
            <w:r>
              <w:rPr>
                <w:sz w:val="18"/>
              </w:rPr>
              <w:t>x 1224–1324</w:t>
              <w:br/>
              <w:t>y 518–531</w:t>
            </w:r>
          </w:p>
        </w:tc>
        <w:tc>
          <w:tcPr>
            <w:tcW w:type="dxa" w:w="3402"/>
          </w:tcPr>
          <w:p>
            <w:pPr>
              <w:spacing w:after="40"/>
            </w:pPr>
            <w:r>
              <w:rPr>
                <w:sz w:val="18"/>
              </w:rPr>
              <w:t>auf mittlerer Höhe, mittig</w:t>
              <w:br/>
              <w:t>x 63.9–69.2 %</w:t>
              <w:br/>
              <w:t>y 55.8–57.2 %</w:t>
            </w:r>
          </w:p>
        </w:tc>
      </w:tr>
      <w:tr>
        <w:trPr>
          <w:cantSplit/>
        </w:trPr>
        <w:tc>
          <w:tcPr>
            <w:tcW w:type="dxa" w:w="3288"/>
          </w:tcPr>
          <w:p>
            <w:pPr>
              <w:spacing w:after="40"/>
            </w:pPr>
            <w:r>
              <w:rPr>
                <w:sz w:val="18"/>
              </w:rPr>
              <w:t>Disk for Storage:</w:t>
            </w:r>
          </w:p>
        </w:tc>
        <w:tc>
          <w:tcPr>
            <w:tcW w:type="dxa" w:w="3005"/>
          </w:tcPr>
          <w:p>
            <w:pPr>
              <w:spacing w:after="40"/>
            </w:pPr>
            <w:r>
              <w:rPr>
                <w:sz w:val="18"/>
              </w:rPr>
              <w:t>x 1540–1640</w:t>
              <w:br/>
              <w:t>y 518–531</w:t>
            </w:r>
          </w:p>
        </w:tc>
        <w:tc>
          <w:tcPr>
            <w:tcW w:type="dxa" w:w="3402"/>
          </w:tcPr>
          <w:p>
            <w:pPr>
              <w:spacing w:after="40"/>
            </w:pPr>
            <w:r>
              <w:rPr>
                <w:sz w:val="18"/>
              </w:rPr>
              <w:t>auf mittlerer Höhe, rechts</w:t>
              <w:br/>
              <w:t>x 80.5–85.7 %</w:t>
              <w:br/>
              <w:t>y 55.8–57.2 %</w:t>
            </w:r>
          </w:p>
        </w:tc>
      </w:tr>
      <w:tr>
        <w:trPr>
          <w:cantSplit/>
        </w:trPr>
        <w:tc>
          <w:tcPr>
            <w:tcW w:type="dxa" w:w="3288"/>
          </w:tcPr>
          <w:p>
            <w:pPr>
              <w:spacing w:after="40"/>
            </w:pPr>
            <w:r>
              <w:rPr>
                <w:sz w:val="18"/>
              </w:rPr>
              <w:t>Semantic Onboarding</w:t>
            </w:r>
          </w:p>
        </w:tc>
        <w:tc>
          <w:tcPr>
            <w:tcW w:type="dxa" w:w="3005"/>
          </w:tcPr>
          <w:p>
            <w:pPr>
              <w:spacing w:after="40"/>
            </w:pPr>
            <w:r>
              <w:rPr>
                <w:sz w:val="18"/>
              </w:rPr>
              <w:t>x 48–182</w:t>
              <w:br/>
              <w:t>y 522–535</w:t>
            </w:r>
          </w:p>
        </w:tc>
        <w:tc>
          <w:tcPr>
            <w:tcW w:type="dxa" w:w="3402"/>
          </w:tcPr>
          <w:p>
            <w:pPr>
              <w:spacing w:after="40"/>
            </w:pPr>
            <w:r>
              <w:rPr>
                <w:sz w:val="18"/>
              </w:rPr>
              <w:t>auf mittlerer Höhe, links</w:t>
              <w:br/>
              <w:t>x 2.5–9.5 %</w:t>
              <w:br/>
              <w:t>y 56.2–57.6 %</w:t>
            </w:r>
          </w:p>
        </w:tc>
      </w:tr>
      <w:tr>
        <w:trPr>
          <w:cantSplit/>
        </w:trPr>
        <w:tc>
          <w:tcPr>
            <w:tcW w:type="dxa" w:w="3288"/>
          </w:tcPr>
          <w:p>
            <w:pPr>
              <w:spacing w:after="40"/>
            </w:pPr>
            <w:r>
              <w:rPr>
                <w:sz w:val="18"/>
              </w:rPr>
              <w:t>Business Builder</w:t>
            </w:r>
          </w:p>
        </w:tc>
        <w:tc>
          <w:tcPr>
            <w:tcW w:type="dxa" w:w="3005"/>
          </w:tcPr>
          <w:p>
            <w:pPr>
              <w:spacing w:after="40"/>
            </w:pPr>
            <w:r>
              <w:rPr>
                <w:sz w:val="18"/>
              </w:rPr>
              <w:t>x 49–151</w:t>
              <w:br/>
              <w:t>y 558–568</w:t>
            </w:r>
          </w:p>
        </w:tc>
        <w:tc>
          <w:tcPr>
            <w:tcW w:type="dxa" w:w="3402"/>
          </w:tcPr>
          <w:p>
            <w:pPr>
              <w:spacing w:after="40"/>
            </w:pPr>
            <w:r>
              <w:rPr>
                <w:sz w:val="18"/>
              </w:rPr>
              <w:t>auf mittlerer Höhe, links</w:t>
              <w:br/>
              <w:t>x 2.6–7.9 %</w:t>
              <w:br/>
              <w:t>y 60.1–61.1 %</w:t>
            </w:r>
          </w:p>
        </w:tc>
      </w:tr>
      <w:tr>
        <w:trPr>
          <w:cantSplit/>
        </w:trPr>
        <w:tc>
          <w:tcPr>
            <w:tcW w:type="dxa" w:w="3288"/>
          </w:tcPr>
          <w:p>
            <w:pPr>
              <w:spacing w:after="40"/>
            </w:pPr>
            <w:r>
              <w:rPr>
                <w:sz w:val="18"/>
              </w:rPr>
              <w:t>of</w:t>
            </w:r>
          </w:p>
        </w:tc>
        <w:tc>
          <w:tcPr>
            <w:tcW w:type="dxa" w:w="3005"/>
          </w:tcPr>
          <w:p>
            <w:pPr>
              <w:spacing w:after="40"/>
            </w:pPr>
            <w:r>
              <w:rPr>
                <w:sz w:val="18"/>
              </w:rPr>
              <w:t>x 1293–1304</w:t>
              <w:br/>
              <w:t>y 546–556</w:t>
            </w:r>
          </w:p>
        </w:tc>
        <w:tc>
          <w:tcPr>
            <w:tcW w:type="dxa" w:w="3402"/>
          </w:tcPr>
          <w:p>
            <w:pPr>
              <w:spacing w:after="40"/>
            </w:pPr>
            <w:r>
              <w:rPr>
                <w:sz w:val="18"/>
              </w:rPr>
              <w:t>auf mittlerer Höhe, rechts</w:t>
              <w:br/>
              <w:t>x 67.6–68.1 %</w:t>
              <w:br/>
              <w:t>y 58.8–59.8 %</w:t>
            </w:r>
          </w:p>
        </w:tc>
      </w:tr>
      <w:tr>
        <w:trPr>
          <w:cantSplit/>
        </w:trPr>
        <w:tc>
          <w:tcPr>
            <w:tcW w:type="dxa" w:w="3288"/>
          </w:tcPr>
          <w:p>
            <w:pPr>
              <w:spacing w:after="40"/>
            </w:pPr>
            <w:r>
              <w:rPr>
                <w:sz w:val="18"/>
              </w:rPr>
              <w:t>of</w:t>
            </w:r>
          </w:p>
        </w:tc>
        <w:tc>
          <w:tcPr>
            <w:tcW w:type="dxa" w:w="3005"/>
          </w:tcPr>
          <w:p>
            <w:pPr>
              <w:spacing w:after="40"/>
            </w:pPr>
            <w:r>
              <w:rPr>
                <w:sz w:val="18"/>
              </w:rPr>
              <w:t>x 1604–1616</w:t>
              <w:br/>
              <w:t>y 546–556</w:t>
            </w:r>
          </w:p>
        </w:tc>
        <w:tc>
          <w:tcPr>
            <w:tcW w:type="dxa" w:w="3402"/>
          </w:tcPr>
          <w:p>
            <w:pPr>
              <w:spacing w:after="40"/>
            </w:pPr>
            <w:r>
              <w:rPr>
                <w:sz w:val="18"/>
              </w:rPr>
              <w:t>auf mittlerer Höhe, rechts</w:t>
              <w:br/>
              <w:t>x 83.8–84.4 %</w:t>
              <w:br/>
              <w:t>y 58.8–59.8 %</w:t>
            </w:r>
          </w:p>
        </w:tc>
      </w:tr>
      <w:tr>
        <w:trPr>
          <w:cantSplit/>
        </w:trPr>
        <w:tc>
          <w:tcPr>
            <w:tcW w:type="dxa" w:w="3288"/>
          </w:tcPr>
          <w:p>
            <w:pPr>
              <w:spacing w:after="40"/>
            </w:pPr>
            <w:r>
              <w:rPr>
                <w:sz w:val="18"/>
              </w:rPr>
              <w:t>Data Builder</w:t>
            </w:r>
          </w:p>
        </w:tc>
        <w:tc>
          <w:tcPr>
            <w:tcW w:type="dxa" w:w="3005"/>
          </w:tcPr>
          <w:p>
            <w:pPr>
              <w:spacing w:after="40"/>
            </w:pPr>
            <w:r>
              <w:rPr>
                <w:sz w:val="18"/>
              </w:rPr>
              <w:t>x 49–125</w:t>
              <w:br/>
              <w:t>y 594–604</w:t>
            </w:r>
          </w:p>
        </w:tc>
        <w:tc>
          <w:tcPr>
            <w:tcW w:type="dxa" w:w="3402"/>
          </w:tcPr>
          <w:p>
            <w:pPr>
              <w:spacing w:after="40"/>
            </w:pPr>
            <w:r>
              <w:rPr>
                <w:sz w:val="18"/>
              </w:rPr>
              <w:t>auf mittlerer Höhe, links</w:t>
              <w:br/>
              <w:t>x 2.6–6.5 %</w:t>
              <w:br/>
              <w:t>y 63.9–65.0 %</w:t>
            </w:r>
          </w:p>
        </w:tc>
      </w:tr>
      <w:tr>
        <w:trPr>
          <w:cantSplit/>
        </w:trPr>
        <w:tc>
          <w:tcPr>
            <w:tcW w:type="dxa" w:w="3288"/>
          </w:tcPr>
          <w:p>
            <w:pPr>
              <w:spacing w:after="40"/>
            </w:pPr>
            <w:r>
              <w:rPr>
                <w:sz w:val="18"/>
              </w:rPr>
              <w:t>Connections</w:t>
            </w:r>
          </w:p>
        </w:tc>
        <w:tc>
          <w:tcPr>
            <w:tcW w:type="dxa" w:w="3005"/>
          </w:tcPr>
          <w:p>
            <w:pPr>
              <w:spacing w:after="40"/>
            </w:pPr>
            <w:r>
              <w:rPr>
                <w:sz w:val="18"/>
              </w:rPr>
              <w:t>x 48–124</w:t>
              <w:br/>
              <w:t>y 630–640</w:t>
            </w:r>
          </w:p>
        </w:tc>
        <w:tc>
          <w:tcPr>
            <w:tcW w:type="dxa" w:w="3402"/>
          </w:tcPr>
          <w:p>
            <w:pPr>
              <w:spacing w:after="40"/>
            </w:pPr>
            <w:r>
              <w:rPr>
                <w:sz w:val="18"/>
              </w:rPr>
              <w:t>unten, links</w:t>
              <w:br/>
              <w:t>x 2.5–6.5 %</w:t>
              <w:br/>
              <w:t>y 67.8–68.9 %</w:t>
            </w:r>
          </w:p>
        </w:tc>
      </w:tr>
      <w:tr>
        <w:trPr>
          <w:cantSplit/>
        </w:trPr>
        <w:tc>
          <w:tcPr>
            <w:tcW w:type="dxa" w:w="3288"/>
          </w:tcPr>
          <w:p>
            <w:pPr>
              <w:spacing w:after="40"/>
            </w:pPr>
            <w:r>
              <w:rPr>
                <w:sz w:val="18"/>
              </w:rPr>
              <w:t>Disk for Storage:</w:t>
            </w:r>
          </w:p>
        </w:tc>
        <w:tc>
          <w:tcPr>
            <w:tcW w:type="dxa" w:w="3005"/>
          </w:tcPr>
          <w:p>
            <w:pPr>
              <w:spacing w:after="40"/>
            </w:pPr>
            <w:r>
              <w:rPr>
                <w:sz w:val="18"/>
              </w:rPr>
              <w:t>x 908–1008</w:t>
              <w:br/>
              <w:t>y 664–677</w:t>
            </w:r>
          </w:p>
        </w:tc>
        <w:tc>
          <w:tcPr>
            <w:tcW w:type="dxa" w:w="3402"/>
          </w:tcPr>
          <w:p>
            <w:pPr>
              <w:spacing w:after="40"/>
            </w:pPr>
            <w:r>
              <w:rPr>
                <w:sz w:val="18"/>
              </w:rPr>
              <w:t>unten, mittig</w:t>
              <w:br/>
              <w:t>x 47.4–52.7 %</w:t>
              <w:br/>
              <w:t>y 71.5–72.9 %</w:t>
            </w:r>
          </w:p>
        </w:tc>
      </w:tr>
      <w:tr>
        <w:trPr>
          <w:cantSplit/>
        </w:trPr>
        <w:tc>
          <w:tcPr>
            <w:tcW w:type="dxa" w:w="3288"/>
          </w:tcPr>
          <w:p>
            <w:pPr>
              <w:spacing w:after="40"/>
            </w:pPr>
            <w:r>
              <w:rPr>
                <w:sz w:val="18"/>
              </w:rPr>
              <w:t>Disk for Storage:</w:t>
            </w:r>
          </w:p>
        </w:tc>
        <w:tc>
          <w:tcPr>
            <w:tcW w:type="dxa" w:w="3005"/>
          </w:tcPr>
          <w:p>
            <w:pPr>
              <w:spacing w:after="40"/>
            </w:pPr>
            <w:r>
              <w:rPr>
                <w:sz w:val="18"/>
              </w:rPr>
              <w:t>x 1224–1324</w:t>
              <w:br/>
              <w:t>y 664–677</w:t>
            </w:r>
          </w:p>
        </w:tc>
        <w:tc>
          <w:tcPr>
            <w:tcW w:type="dxa" w:w="3402"/>
          </w:tcPr>
          <w:p>
            <w:pPr>
              <w:spacing w:after="40"/>
            </w:pPr>
            <w:r>
              <w:rPr>
                <w:sz w:val="18"/>
              </w:rPr>
              <w:t>unten, mittig</w:t>
              <w:br/>
              <w:t>x 63.9–69.2 %</w:t>
              <w:br/>
              <w:t>y 71.5–72.9 %</w:t>
            </w:r>
          </w:p>
        </w:tc>
      </w:tr>
      <w:tr>
        <w:trPr>
          <w:cantSplit/>
        </w:trPr>
        <w:tc>
          <w:tcPr>
            <w:tcW w:type="dxa" w:w="3288"/>
          </w:tcPr>
          <w:p>
            <w:pPr>
              <w:spacing w:after="40"/>
            </w:pPr>
            <w:r>
              <w:rPr>
                <w:sz w:val="18"/>
              </w:rPr>
              <w:t>Disk for Storage:</w:t>
            </w:r>
          </w:p>
        </w:tc>
        <w:tc>
          <w:tcPr>
            <w:tcW w:type="dxa" w:w="3005"/>
          </w:tcPr>
          <w:p>
            <w:pPr>
              <w:spacing w:after="40"/>
            </w:pPr>
            <w:r>
              <w:rPr>
                <w:sz w:val="18"/>
              </w:rPr>
              <w:t>x 1540–1640</w:t>
              <w:br/>
              <w:t>y 664–677</w:t>
            </w:r>
          </w:p>
        </w:tc>
        <w:tc>
          <w:tcPr>
            <w:tcW w:type="dxa" w:w="3402"/>
          </w:tcPr>
          <w:p>
            <w:pPr>
              <w:spacing w:after="40"/>
            </w:pPr>
            <w:r>
              <w:rPr>
                <w:sz w:val="18"/>
              </w:rPr>
              <w:t>unten, rechts</w:t>
              <w:br/>
              <w:t>x 80.5–85.7 %</w:t>
              <w:br/>
              <w:t>y 71.5–72.9 %</w:t>
            </w:r>
          </w:p>
        </w:tc>
      </w:tr>
      <w:tr>
        <w:trPr>
          <w:cantSplit/>
        </w:trPr>
        <w:tc>
          <w:tcPr>
            <w:tcW w:type="dxa" w:w="3288"/>
          </w:tcPr>
          <w:p>
            <w:pPr>
              <w:spacing w:after="40"/>
            </w:pPr>
            <w:r>
              <w:rPr>
                <w:sz w:val="18"/>
              </w:rPr>
              <w:t>Utilities</w:t>
            </w:r>
          </w:p>
        </w:tc>
        <w:tc>
          <w:tcPr>
            <w:tcW w:type="dxa" w:w="3005"/>
          </w:tcPr>
          <w:p>
            <w:pPr>
              <w:spacing w:after="40"/>
            </w:pPr>
            <w:r>
              <w:rPr>
                <w:sz w:val="18"/>
              </w:rPr>
              <w:t>x 25–69</w:t>
              <w:br/>
              <w:t>y 676–686</w:t>
            </w:r>
          </w:p>
        </w:tc>
        <w:tc>
          <w:tcPr>
            <w:tcW w:type="dxa" w:w="3402"/>
          </w:tcPr>
          <w:p>
            <w:pPr>
              <w:spacing w:after="40"/>
            </w:pPr>
            <w:r>
              <w:rPr>
                <w:sz w:val="18"/>
              </w:rPr>
              <w:t>unten, links</w:t>
              <w:br/>
              <w:t>x 1.3–3.6 %</w:t>
              <w:br/>
              <w:t>y 72.8–73.8 %</w:t>
            </w:r>
          </w:p>
        </w:tc>
      </w:tr>
      <w:tr>
        <w:trPr>
          <w:cantSplit/>
        </w:trPr>
        <w:tc>
          <w:tcPr>
            <w:tcW w:type="dxa" w:w="3288"/>
          </w:tcPr>
          <w:p>
            <w:pPr>
              <w:spacing w:after="40"/>
            </w:pPr>
            <w:r>
              <w:rPr>
                <w:sz w:val="18"/>
              </w:rPr>
              <w:t>spaces.</w:t>
            </w:r>
          </w:p>
        </w:tc>
        <w:tc>
          <w:tcPr>
            <w:tcW w:type="dxa" w:w="3005"/>
          </w:tcPr>
          <w:p>
            <w:pPr>
              <w:spacing w:after="40"/>
            </w:pPr>
            <w:r>
              <w:rPr>
                <w:sz w:val="18"/>
              </w:rPr>
              <w:t>x 309–354</w:t>
              <w:br/>
              <w:t>y 678–688</w:t>
            </w:r>
          </w:p>
        </w:tc>
        <w:tc>
          <w:tcPr>
            <w:tcW w:type="dxa" w:w="3402"/>
          </w:tcPr>
          <w:p>
            <w:pPr>
              <w:spacing w:after="40"/>
            </w:pPr>
            <w:r>
              <w:rPr>
                <w:sz w:val="18"/>
              </w:rPr>
              <w:t>unten, links</w:t>
              <w:br/>
              <w:t>x 16.1–18.5 %</w:t>
              <w:br/>
              <w:t>y 73.0–74.1 %</w:t>
            </w:r>
          </w:p>
        </w:tc>
      </w:tr>
      <w:tr>
        <w:trPr>
          <w:cantSplit/>
        </w:trPr>
        <w:tc>
          <w:tcPr>
            <w:tcW w:type="dxa" w:w="3288"/>
          </w:tcPr>
          <w:p>
            <w:pPr>
              <w:spacing w:after="40"/>
            </w:pPr>
            <w:r>
              <w:rPr>
                <w:sz w:val="18"/>
              </w:rPr>
              <w:t>spaces</w:t>
            </w:r>
          </w:p>
        </w:tc>
        <w:tc>
          <w:tcPr>
            <w:tcW w:type="dxa" w:w="3005"/>
          </w:tcPr>
          <w:p>
            <w:pPr>
              <w:spacing w:after="40"/>
            </w:pPr>
            <w:r>
              <w:rPr>
                <w:sz w:val="18"/>
              </w:rPr>
              <w:t>x 705–747</w:t>
              <w:br/>
              <w:t>y 678–688</w:t>
            </w:r>
          </w:p>
        </w:tc>
        <w:tc>
          <w:tcPr>
            <w:tcW w:type="dxa" w:w="3402"/>
          </w:tcPr>
          <w:p>
            <w:pPr>
              <w:spacing w:after="40"/>
            </w:pPr>
            <w:r>
              <w:rPr>
                <w:sz w:val="18"/>
              </w:rPr>
              <w:t>unten, mittig</w:t>
              <w:br/>
              <w:t>x 36.8–39.0 %</w:t>
              <w:br/>
              <w:t>y 73.0–74.1 %</w:t>
            </w:r>
          </w:p>
        </w:tc>
      </w:tr>
      <w:tr>
        <w:trPr>
          <w:cantSplit/>
        </w:trPr>
        <w:tc>
          <w:tcPr>
            <w:tcW w:type="dxa" w:w="3288"/>
          </w:tcPr>
          <w:p>
            <w:pPr>
              <w:spacing w:after="40"/>
            </w:pPr>
            <w:r>
              <w:rPr>
                <w:sz w:val="18"/>
              </w:rPr>
              <w:t>of</w:t>
            </w:r>
          </w:p>
        </w:tc>
        <w:tc>
          <w:tcPr>
            <w:tcW w:type="dxa" w:w="3005"/>
          </w:tcPr>
          <w:p>
            <w:pPr>
              <w:spacing w:after="40"/>
            </w:pPr>
            <w:r>
              <w:rPr>
                <w:sz w:val="18"/>
              </w:rPr>
              <w:t>x 972–984</w:t>
              <w:br/>
              <w:t>y 692–702</w:t>
            </w:r>
          </w:p>
        </w:tc>
        <w:tc>
          <w:tcPr>
            <w:tcW w:type="dxa" w:w="3402"/>
          </w:tcPr>
          <w:p>
            <w:pPr>
              <w:spacing w:after="40"/>
            </w:pPr>
            <w:r>
              <w:rPr>
                <w:sz w:val="18"/>
              </w:rPr>
              <w:t>unten, mittig</w:t>
              <w:br/>
              <w:t>x 50.8–51.4 %</w:t>
              <w:br/>
              <w:t>y 74.5–75.6 %</w:t>
            </w:r>
          </w:p>
        </w:tc>
      </w:tr>
      <w:tr>
        <w:trPr>
          <w:cantSplit/>
        </w:trPr>
        <w:tc>
          <w:tcPr>
            <w:tcW w:type="dxa" w:w="3288"/>
          </w:tcPr>
          <w:p>
            <w:pPr>
              <w:spacing w:after="40"/>
            </w:pPr>
            <w:r>
              <w:rPr>
                <w:sz w:val="18"/>
              </w:rPr>
              <w:t>of</w:t>
            </w:r>
          </w:p>
        </w:tc>
        <w:tc>
          <w:tcPr>
            <w:tcW w:type="dxa" w:w="3005"/>
          </w:tcPr>
          <w:p>
            <w:pPr>
              <w:spacing w:after="40"/>
            </w:pPr>
            <w:r>
              <w:rPr>
                <w:sz w:val="18"/>
              </w:rPr>
              <w:t>x 1288–1300</w:t>
              <w:br/>
              <w:t>y 692–702</w:t>
            </w:r>
          </w:p>
        </w:tc>
        <w:tc>
          <w:tcPr>
            <w:tcW w:type="dxa" w:w="3402"/>
          </w:tcPr>
          <w:p>
            <w:pPr>
              <w:spacing w:after="40"/>
            </w:pPr>
            <w:r>
              <w:rPr>
                <w:sz w:val="18"/>
              </w:rPr>
              <w:t>unten, rechts</w:t>
              <w:br/>
              <w:t>x 67.3–67.9 %</w:t>
              <w:br/>
              <w:t>y 74.5–75.6 %</w:t>
            </w:r>
          </w:p>
        </w:tc>
      </w:tr>
      <w:tr>
        <w:trPr>
          <w:cantSplit/>
        </w:trPr>
        <w:tc>
          <w:tcPr>
            <w:tcW w:type="dxa" w:w="3288"/>
          </w:tcPr>
          <w:p>
            <w:pPr>
              <w:spacing w:after="40"/>
            </w:pPr>
            <w:r>
              <w:rPr>
                <w:sz w:val="18"/>
              </w:rPr>
              <w:t>of</w:t>
            </w:r>
          </w:p>
        </w:tc>
        <w:tc>
          <w:tcPr>
            <w:tcW w:type="dxa" w:w="3005"/>
          </w:tcPr>
          <w:p>
            <w:pPr>
              <w:spacing w:after="40"/>
            </w:pPr>
            <w:r>
              <w:rPr>
                <w:sz w:val="18"/>
              </w:rPr>
              <w:t>x 1609–1620</w:t>
              <w:br/>
              <w:t>y 692–702</w:t>
            </w:r>
          </w:p>
        </w:tc>
        <w:tc>
          <w:tcPr>
            <w:tcW w:type="dxa" w:w="3402"/>
          </w:tcPr>
          <w:p>
            <w:pPr>
              <w:spacing w:after="40"/>
            </w:pPr>
            <w:r>
              <w:rPr>
                <w:sz w:val="18"/>
              </w:rPr>
              <w:t>unten, rechts</w:t>
              <w:br/>
              <w:t>x 84.1–84.6 %</w:t>
              <w:br/>
              <w:t>y 74.5–75.6 %</w:t>
            </w:r>
          </w:p>
        </w:tc>
      </w:tr>
      <w:tr>
        <w:trPr>
          <w:cantSplit/>
        </w:trPr>
        <w:tc>
          <w:tcPr>
            <w:tcW w:type="dxa" w:w="3288"/>
          </w:tcPr>
          <w:p>
            <w:pPr>
              <w:spacing w:after="40"/>
            </w:pPr>
            <w:r>
              <w:rPr>
                <w:sz w:val="18"/>
              </w:rPr>
              <w:t>Space Management</w:t>
            </w:r>
          </w:p>
        </w:tc>
        <w:tc>
          <w:tcPr>
            <w:tcW w:type="dxa" w:w="3005"/>
          </w:tcPr>
          <w:p>
            <w:pPr>
              <w:spacing w:after="40"/>
            </w:pPr>
            <w:r>
              <w:rPr>
                <w:sz w:val="18"/>
              </w:rPr>
              <w:t>x 48–171</w:t>
              <w:br/>
              <w:t>y 712–725</w:t>
            </w:r>
          </w:p>
        </w:tc>
        <w:tc>
          <w:tcPr>
            <w:tcW w:type="dxa" w:w="3402"/>
          </w:tcPr>
          <w:p>
            <w:pPr>
              <w:spacing w:after="40"/>
            </w:pPr>
            <w:r>
              <w:rPr>
                <w:sz w:val="18"/>
              </w:rPr>
              <w:t>unten, links</w:t>
              <w:br/>
              <w:t>x 2.5–8.9 %</w:t>
              <w:br/>
              <w:t>y 76.6–78.0 %</w:t>
            </w:r>
          </w:p>
        </w:tc>
      </w:tr>
      <w:tr>
        <w:trPr>
          <w:cantSplit/>
        </w:trPr>
        <w:tc>
          <w:tcPr>
            <w:tcW w:type="dxa" w:w="3288"/>
          </w:tcPr>
          <w:p>
            <w:pPr>
              <w:spacing w:after="40"/>
            </w:pPr>
            <w:r>
              <w:rPr>
                <w:sz w:val="18"/>
              </w:rPr>
              <w:t>Translation</w:t>
            </w:r>
          </w:p>
        </w:tc>
        <w:tc>
          <w:tcPr>
            <w:tcW w:type="dxa" w:w="3005"/>
          </w:tcPr>
          <w:p>
            <w:pPr>
              <w:spacing w:after="40"/>
            </w:pPr>
            <w:r>
              <w:rPr>
                <w:sz w:val="18"/>
              </w:rPr>
              <w:t>x 48–115</w:t>
              <w:br/>
              <w:t>y 748–758</w:t>
            </w:r>
          </w:p>
        </w:tc>
        <w:tc>
          <w:tcPr>
            <w:tcW w:type="dxa" w:w="3402"/>
          </w:tcPr>
          <w:p>
            <w:pPr>
              <w:spacing w:after="40"/>
            </w:pPr>
            <w:r>
              <w:rPr>
                <w:sz w:val="18"/>
              </w:rPr>
              <w:t>unten, links</w:t>
              <w:br/>
              <w:t>x 2.5–6.0 %</w:t>
              <w:br/>
              <w:t>y 80.5–81.6 %</w:t>
            </w:r>
          </w:p>
        </w:tc>
      </w:tr>
      <w:tr>
        <w:trPr>
          <w:cantSplit/>
        </w:trPr>
        <w:tc>
          <w:tcPr>
            <w:tcW w:type="dxa" w:w="3288"/>
          </w:tcPr>
          <w:p>
            <w:pPr>
              <w:spacing w:after="40"/>
            </w:pPr>
            <w:r>
              <w:rPr>
                <w:sz w:val="18"/>
              </w:rPr>
              <w:t>Transport</w:t>
            </w:r>
          </w:p>
        </w:tc>
        <w:tc>
          <w:tcPr>
            <w:tcW w:type="dxa" w:w="3005"/>
          </w:tcPr>
          <w:p>
            <w:pPr>
              <w:spacing w:after="40"/>
            </w:pPr>
            <w:r>
              <w:rPr>
                <w:sz w:val="18"/>
              </w:rPr>
              <w:t>x 48–106</w:t>
              <w:br/>
              <w:t>y 784–797</w:t>
            </w:r>
          </w:p>
        </w:tc>
        <w:tc>
          <w:tcPr>
            <w:tcW w:type="dxa" w:w="3402"/>
          </w:tcPr>
          <w:p>
            <w:pPr>
              <w:spacing w:after="40"/>
            </w:pPr>
            <w:r>
              <w:rPr>
                <w:sz w:val="18"/>
              </w:rPr>
              <w:t>unten, links</w:t>
              <w:br/>
              <w:t>x 2.5–5.5 %</w:t>
              <w:br/>
              <w:t>y 84.4–85.8 %</w:t>
            </w:r>
          </w:p>
        </w:tc>
      </w:tr>
      <w:tr>
        <w:trPr>
          <w:cantSplit/>
        </w:trPr>
        <w:tc>
          <w:tcPr>
            <w:tcW w:type="dxa" w:w="3288"/>
          </w:tcPr>
          <w:p>
            <w:pPr>
              <w:spacing w:after="40"/>
            </w:pPr>
            <w:r>
              <w:rPr>
                <w:sz w:val="18"/>
              </w:rPr>
              <w:t>Disk for Storage:</w:t>
            </w:r>
          </w:p>
        </w:tc>
        <w:tc>
          <w:tcPr>
            <w:tcW w:type="dxa" w:w="3005"/>
          </w:tcPr>
          <w:p>
            <w:pPr>
              <w:spacing w:after="40"/>
            </w:pPr>
            <w:r>
              <w:rPr>
                <w:sz w:val="18"/>
              </w:rPr>
              <w:t>x 908–1008</w:t>
              <w:br/>
              <w:t>y 810–823</w:t>
            </w:r>
          </w:p>
        </w:tc>
        <w:tc>
          <w:tcPr>
            <w:tcW w:type="dxa" w:w="3402"/>
          </w:tcPr>
          <w:p>
            <w:pPr>
              <w:spacing w:after="40"/>
            </w:pPr>
            <w:r>
              <w:rPr>
                <w:sz w:val="18"/>
              </w:rPr>
              <w:t>unten, mittig</w:t>
              <w:br/>
              <w:t>x 47.4–52.7 %</w:t>
              <w:br/>
              <w:t>y 87.2–88.6 %</w:t>
            </w:r>
          </w:p>
        </w:tc>
      </w:tr>
      <w:tr>
        <w:trPr>
          <w:cantSplit/>
        </w:trPr>
        <w:tc>
          <w:tcPr>
            <w:tcW w:type="dxa" w:w="3288"/>
          </w:tcPr>
          <w:p>
            <w:pPr>
              <w:spacing w:after="40"/>
            </w:pPr>
            <w:r>
              <w:rPr>
                <w:sz w:val="18"/>
              </w:rPr>
              <w:t>Disk for Storage:</w:t>
            </w:r>
          </w:p>
        </w:tc>
        <w:tc>
          <w:tcPr>
            <w:tcW w:type="dxa" w:w="3005"/>
          </w:tcPr>
          <w:p>
            <w:pPr>
              <w:spacing w:after="40"/>
            </w:pPr>
            <w:r>
              <w:rPr>
                <w:sz w:val="18"/>
              </w:rPr>
              <w:t>x 1224–1324</w:t>
              <w:br/>
              <w:t>y 810–823</w:t>
            </w:r>
          </w:p>
        </w:tc>
        <w:tc>
          <w:tcPr>
            <w:tcW w:type="dxa" w:w="3402"/>
          </w:tcPr>
          <w:p>
            <w:pPr>
              <w:spacing w:after="40"/>
            </w:pPr>
            <w:r>
              <w:rPr>
                <w:sz w:val="18"/>
              </w:rPr>
              <w:t>unten, mittig</w:t>
              <w:br/>
              <w:t>x 63.9–69.2 %</w:t>
              <w:br/>
              <w:t>y 87.2–88.6 %</w:t>
            </w:r>
          </w:p>
        </w:tc>
      </w:tr>
      <w:tr>
        <w:trPr>
          <w:cantSplit/>
        </w:trPr>
        <w:tc>
          <w:tcPr>
            <w:tcW w:type="dxa" w:w="3288"/>
          </w:tcPr>
          <w:p>
            <w:pPr>
              <w:spacing w:after="40"/>
            </w:pPr>
            <w:r>
              <w:rPr>
                <w:sz w:val="18"/>
              </w:rPr>
              <w:t>Disk for Storage:</w:t>
            </w:r>
          </w:p>
        </w:tc>
        <w:tc>
          <w:tcPr>
            <w:tcW w:type="dxa" w:w="3005"/>
          </w:tcPr>
          <w:p>
            <w:pPr>
              <w:spacing w:after="40"/>
            </w:pPr>
            <w:r>
              <w:rPr>
                <w:sz w:val="18"/>
              </w:rPr>
              <w:t>x 1540–1640</w:t>
              <w:br/>
              <w:t>y 810–823</w:t>
            </w:r>
          </w:p>
        </w:tc>
        <w:tc>
          <w:tcPr>
            <w:tcW w:type="dxa" w:w="3402"/>
          </w:tcPr>
          <w:p>
            <w:pPr>
              <w:spacing w:after="40"/>
            </w:pPr>
            <w:r>
              <w:rPr>
                <w:sz w:val="18"/>
              </w:rPr>
              <w:t>unten, rechts</w:t>
              <w:br/>
              <w:t>x 80.5–85.7 %</w:t>
              <w:br/>
              <w:t>y 87.2–88.6 %</w:t>
            </w:r>
          </w:p>
        </w:tc>
      </w:tr>
      <w:tr>
        <w:trPr>
          <w:cantSplit/>
        </w:trPr>
        <w:tc>
          <w:tcPr>
            <w:tcW w:type="dxa" w:w="3288"/>
          </w:tcPr>
          <w:p>
            <w:pPr>
              <w:spacing w:after="40"/>
            </w:pPr>
            <w:r>
              <w:rPr>
                <w:sz w:val="18"/>
              </w:rPr>
              <w:t>Security</w:t>
            </w:r>
          </w:p>
        </w:tc>
        <w:tc>
          <w:tcPr>
            <w:tcW w:type="dxa" w:w="3005"/>
          </w:tcPr>
          <w:p>
            <w:pPr>
              <w:spacing w:after="40"/>
            </w:pPr>
            <w:r>
              <w:rPr>
                <w:sz w:val="18"/>
              </w:rPr>
              <w:t>x 48–98</w:t>
              <w:br/>
              <w:t>y 842–855</w:t>
            </w:r>
          </w:p>
        </w:tc>
        <w:tc>
          <w:tcPr>
            <w:tcW w:type="dxa" w:w="3402"/>
          </w:tcPr>
          <w:p>
            <w:pPr>
              <w:spacing w:after="40"/>
            </w:pPr>
            <w:r>
              <w:rPr>
                <w:sz w:val="18"/>
              </w:rPr>
              <w:t>unten, links</w:t>
              <w:br/>
              <w:t>x 2.5–5.1 %</w:t>
              <w:br/>
              <w:t>y 90.6–92.0 %</w:t>
            </w:r>
          </w:p>
        </w:tc>
      </w:tr>
      <w:tr>
        <w:trPr>
          <w:cantSplit/>
        </w:trPr>
        <w:tc>
          <w:tcPr>
            <w:tcW w:type="dxa" w:w="3288"/>
          </w:tcPr>
          <w:p>
            <w:pPr>
              <w:spacing w:after="40"/>
            </w:pPr>
            <w:r>
              <w:rPr>
                <w:sz w:val="18"/>
              </w:rPr>
              <w:t>of</w:t>
            </w:r>
          </w:p>
        </w:tc>
        <w:tc>
          <w:tcPr>
            <w:tcW w:type="dxa" w:w="3005"/>
          </w:tcPr>
          <w:p>
            <w:pPr>
              <w:spacing w:after="40"/>
            </w:pPr>
            <w:r>
              <w:rPr>
                <w:sz w:val="18"/>
              </w:rPr>
              <w:t>x 962–976</w:t>
              <w:br/>
              <w:t>y 838–848</w:t>
            </w:r>
          </w:p>
        </w:tc>
        <w:tc>
          <w:tcPr>
            <w:tcW w:type="dxa" w:w="3402"/>
          </w:tcPr>
          <w:p>
            <w:pPr>
              <w:spacing w:after="40"/>
            </w:pPr>
            <w:r>
              <w:rPr>
                <w:sz w:val="18"/>
              </w:rPr>
              <w:t>unten, mittig</w:t>
              <w:br/>
              <w:t>x 50.2–51.0 %</w:t>
              <w:br/>
              <w:t>y 90.2–91.3 %</w:t>
            </w:r>
          </w:p>
        </w:tc>
      </w:tr>
      <w:tr>
        <w:trPr>
          <w:cantSplit/>
        </w:trPr>
        <w:tc>
          <w:tcPr>
            <w:tcW w:type="dxa" w:w="3288"/>
          </w:tcPr>
          <w:p>
            <w:pPr>
              <w:spacing w:after="40"/>
            </w:pPr>
            <w:r>
              <w:rPr>
                <w:sz w:val="18"/>
              </w:rPr>
              <w:t>of</w:t>
            </w:r>
          </w:p>
        </w:tc>
        <w:tc>
          <w:tcPr>
            <w:tcW w:type="dxa" w:w="3005"/>
          </w:tcPr>
          <w:p>
            <w:pPr>
              <w:spacing w:after="40"/>
            </w:pPr>
            <w:r>
              <w:rPr>
                <w:sz w:val="18"/>
              </w:rPr>
              <w:t>x 1293–1305</w:t>
              <w:br/>
              <w:t>y 838–848</w:t>
            </w:r>
          </w:p>
        </w:tc>
        <w:tc>
          <w:tcPr>
            <w:tcW w:type="dxa" w:w="3402"/>
          </w:tcPr>
          <w:p>
            <w:pPr>
              <w:spacing w:after="40"/>
            </w:pPr>
            <w:r>
              <w:rPr>
                <w:sz w:val="18"/>
              </w:rPr>
              <w:t>unten, rechts</w:t>
              <w:br/>
              <w:t>x 67.6–68.2 %</w:t>
              <w:br/>
              <w:t>y 90.2–91.3 %</w:t>
            </w:r>
          </w:p>
        </w:tc>
      </w:tr>
      <w:tr>
        <w:trPr>
          <w:cantSplit/>
        </w:trPr>
        <w:tc>
          <w:tcPr>
            <w:tcW w:type="dxa" w:w="3288"/>
          </w:tcPr>
          <w:p>
            <w:pPr>
              <w:spacing w:after="40"/>
            </w:pPr>
            <w:r>
              <w:rPr>
                <w:sz w:val="18"/>
              </w:rPr>
              <w:t>MB</w:t>
            </w:r>
          </w:p>
        </w:tc>
        <w:tc>
          <w:tcPr>
            <w:tcW w:type="dxa" w:w="3005"/>
          </w:tcPr>
          <w:p>
            <w:pPr>
              <w:spacing w:after="40"/>
            </w:pPr>
            <w:r>
              <w:rPr>
                <w:sz w:val="18"/>
              </w:rPr>
              <w:t>x 1340–1356</w:t>
              <w:br/>
              <w:t>y 838–848</w:t>
            </w:r>
          </w:p>
        </w:tc>
        <w:tc>
          <w:tcPr>
            <w:tcW w:type="dxa" w:w="3402"/>
          </w:tcPr>
          <w:p>
            <w:pPr>
              <w:spacing w:after="40"/>
            </w:pPr>
            <w:r>
              <w:rPr>
                <w:sz w:val="18"/>
              </w:rPr>
              <w:t>unten, rechts</w:t>
              <w:br/>
              <w:t>x 70.0–70.8 %</w:t>
              <w:br/>
              <w:t>y 90.2–91.3 %</w:t>
            </w:r>
          </w:p>
        </w:tc>
      </w:tr>
      <w:tr>
        <w:trPr>
          <w:cantSplit/>
        </w:trPr>
        <w:tc>
          <w:tcPr>
            <w:tcW w:type="dxa" w:w="3288"/>
          </w:tcPr>
          <w:p>
            <w:pPr>
              <w:spacing w:after="40"/>
            </w:pPr>
            <w:r>
              <w:rPr>
                <w:sz w:val="18"/>
              </w:rPr>
              <w:t>of</w:t>
            </w:r>
          </w:p>
        </w:tc>
        <w:tc>
          <w:tcPr>
            <w:tcW w:type="dxa" w:w="3005"/>
          </w:tcPr>
          <w:p>
            <w:pPr>
              <w:spacing w:after="40"/>
            </w:pPr>
            <w:r>
              <w:rPr>
                <w:sz w:val="18"/>
              </w:rPr>
              <w:t>x 1609–1621</w:t>
              <w:br/>
              <w:t>y 838–848</w:t>
            </w:r>
          </w:p>
        </w:tc>
        <w:tc>
          <w:tcPr>
            <w:tcW w:type="dxa" w:w="3402"/>
          </w:tcPr>
          <w:p>
            <w:pPr>
              <w:spacing w:after="40"/>
            </w:pPr>
            <w:r>
              <w:rPr>
                <w:sz w:val="18"/>
              </w:rPr>
              <w:t>unten, rechts</w:t>
              <w:br/>
              <w:t>x 84.1–84.7 %</w:t>
              <w:br/>
              <w:t>y 90.2–91.3 %</w:t>
            </w:r>
          </w:p>
        </w:tc>
      </w:tr>
      <w:tr>
        <w:trPr>
          <w:cantSplit/>
        </w:trPr>
        <w:tc>
          <w:tcPr>
            <w:tcW w:type="dxa" w:w="3288"/>
          </w:tcPr>
          <w:p>
            <w:pPr>
              <w:spacing w:after="40"/>
            </w:pPr>
            <w:r>
              <w:rPr>
                <w:sz w:val="18"/>
              </w:rPr>
              <w:t>MB</w:t>
            </w:r>
          </w:p>
        </w:tc>
        <w:tc>
          <w:tcPr>
            <w:tcW w:type="dxa" w:w="3005"/>
          </w:tcPr>
          <w:p>
            <w:pPr>
              <w:spacing w:after="40"/>
            </w:pPr>
            <w:r>
              <w:rPr>
                <w:sz w:val="18"/>
              </w:rPr>
              <w:t>x 1656–1672</w:t>
              <w:br/>
              <w:t>y 838–848</w:t>
            </w:r>
          </w:p>
        </w:tc>
        <w:tc>
          <w:tcPr>
            <w:tcW w:type="dxa" w:w="3402"/>
          </w:tcPr>
          <w:p>
            <w:pPr>
              <w:spacing w:after="40"/>
            </w:pPr>
            <w:r>
              <w:rPr>
                <w:sz w:val="18"/>
              </w:rPr>
              <w:t>unten, rechts</w:t>
              <w:br/>
              <w:t>x 86.5–87.4 %</w:t>
              <w:br/>
              <w:t>y 90.2–91.3 %</w:t>
            </w:r>
          </w:p>
        </w:tc>
      </w:tr>
      <w:tr>
        <w:trPr>
          <w:cantSplit/>
        </w:trPr>
        <w:tc>
          <w:tcPr>
            <w:tcW w:type="dxa" w:w="3288"/>
          </w:tcPr>
          <w:p>
            <w:pPr>
              <w:spacing w:after="40"/>
            </w:pPr>
            <w:r>
              <w:rPr>
                <w:sz w:val="18"/>
              </w:rPr>
              <w:t>System</w:t>
            </w:r>
          </w:p>
        </w:tc>
        <w:tc>
          <w:tcPr>
            <w:tcW w:type="dxa" w:w="3005"/>
          </w:tcPr>
          <w:p>
            <w:pPr>
              <w:spacing w:after="40"/>
            </w:pPr>
            <w:r>
              <w:rPr>
                <w:sz w:val="18"/>
              </w:rPr>
              <w:t>x 48–93</w:t>
              <w:br/>
              <w:t>y 878–891</w:t>
            </w:r>
          </w:p>
        </w:tc>
        <w:tc>
          <w:tcPr>
            <w:tcW w:type="dxa" w:w="3402"/>
          </w:tcPr>
          <w:p>
            <w:pPr>
              <w:spacing w:after="40"/>
            </w:pPr>
            <w:r>
              <w:rPr>
                <w:sz w:val="18"/>
              </w:rPr>
              <w:t>unten, links</w:t>
              <w:br/>
              <w:t>x 2.5–4.9 %</w:t>
              <w:br/>
              <w:t>y 94.5–95.9 %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8: Business Builder: Space-Auswahl</w:t>
      </w:r>
    </w:p>
    <w:p>
      <w:r>
        <w:t>Bildformat: 1912 × 911 Pixel. Die folgenden Positionen beziehen sich auf dieses vollständige Bild.</w:t>
      </w:r>
    </w:p>
    <w:p>
      <w:pPr>
        <w:pStyle w:val="Heading2"/>
      </w:pPr>
      <w:r>
        <w:t>1. Gesamtaufbau und sichtbarer Zustand</w:t>
      </w:r>
    </w:p>
    <w:p>
      <w:pPr>
        <w:pStyle w:val="Heading3"/>
      </w:pPr>
      <w:r>
        <w:t>Gesamtansicht</w:t>
      </w:r>
    </w:p>
    <w:p>
      <w:r>
        <w:t>Oben steht „Welcome to the Business Builder (Deprecated)“. Darunter befindet sich ein erklärender Satz zu Business Entities, Fact Models, Consumption Models und Authorization Scenarios. Der restliche Hauptbereich zeigt Space-Karten.</w:t>
      </w:r>
    </w:p>
    <w:p>
      <w:pPr>
        <w:pStyle w:val="Heading3"/>
      </w:pPr>
      <w:r>
        <w:t>Links und oben</w:t>
      </w:r>
    </w:p>
    <w:p>
      <w:r>
        <w:t>Am linken Rand bleibt die globale Navigation sichtbar. Unterhalb der Begrüßung steht „Spaces“. Im rechten Bereich oberhalb des Rasters ist ein Suchfeld angeordnet.</w:t>
      </w:r>
    </w:p>
    <w:p>
      <w:pPr>
        <w:pStyle w:val="Heading3"/>
      </w:pPr>
      <w:r>
        <w:t>Hauptbereich</w:t>
      </w:r>
    </w:p>
    <w:p>
      <w:r>
        <w:t>Mehrere Karten stehen in einem regelmäßigen Raster mit mehreren Spalten. Jede Karte enthält einen Bezeichnungsbereich und die Beschriftung „Disk for Storage“. Sichtbare Einheiten sind MB und GB. Die Karten zeigen kleine Symbole und eine helle, klar abgegrenzte Fläche. Die untersten Karten werden vom unteren Bildrand angeschnitten.</w:t>
      </w:r>
    </w:p>
    <w:p>
      <w:pPr>
        <w:pStyle w:val="Heading3"/>
      </w:pPr>
      <w:r>
        <w:t>Abgrenzung der Ansicht</w:t>
      </w:r>
    </w:p>
    <w:p>
      <w:r>
        <w:t>Es ist kein Business-Entity-Editor geöffnet. Das Bild zeigt ausschließlich die vorgeschaltete Übersicht mit den auswählbaren Karten. Die Kennzeichnung „Deprecated“ steht direkt in der Begrüßungsüberschrift und ist Bestandteil der sichtbaren Oberfläche.</w:t>
      </w:r>
    </w:p>
    <w:p>
      <w:pPr>
        <w:pStyle w:val="Heading2"/>
      </w:pPr>
      <w:r>
        <w:t>2. Räumliche Beschreibung von oben nach unten</w:t>
      </w:r>
    </w:p>
    <w:p>
      <w:pPr>
        <w:pStyle w:val="Heading3"/>
      </w:pPr>
      <w:r>
        <w:t>Kopfbereich</w:t>
      </w:r>
    </w:p>
    <w:p>
      <w:r>
        <w:rPr>
          <w:b/>
        </w:rPr>
        <w:t xml:space="preserve">Ungefähre Bildregion: </w:t>
      </w:r>
      <w:r>
        <w:t>x 16–97 %, y 10–25 %</w:t>
      </w:r>
    </w:p>
    <w:p>
      <w:r>
        <w:t>Welcome to the Business Builder mit dem Zusatz Deprecated steht oben. Der Erklärungstext folgt unmittelbar darunter. Spaces liegt unter dem Text links, das Suchfeld auf gleicher Höhe rechts.</w:t>
      </w:r>
    </w:p>
    <w:p>
      <w:pPr>
        <w:pStyle w:val="Heading3"/>
      </w:pPr>
      <w:r>
        <w:t>Kartenraster</w:t>
      </w:r>
    </w:p>
    <w:p>
      <w:r>
        <w:rPr>
          <w:b/>
        </w:rPr>
        <w:t xml:space="preserve">Ungefähre Bildregion: </w:t>
      </w:r>
      <w:r>
        <w:t>x 16–97 %, y 26–100 %</w:t>
      </w:r>
    </w:p>
    <w:p>
      <w:r>
        <w:t>Drei Karten pro Reihe. Titelbereich und Speicherzeile sind vertikal innerhalb jeder Karte angeordnet. Die Karten sind durch gleichmäßige Zwischenräume getrennt; am unteren Rand werden weitere Karten angeschnitten.</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Business Builder</w:t>
            </w:r>
          </w:p>
        </w:tc>
        <w:tc>
          <w:tcPr>
            <w:tcW w:type="dxa" w:w="3005"/>
          </w:tcPr>
          <w:p>
            <w:pPr>
              <w:spacing w:after="40"/>
            </w:pPr>
            <w:r>
              <w:rPr>
                <w:sz w:val="18"/>
              </w:rPr>
              <w:t>x 228–338</w:t>
              <w:br/>
              <w:t>y 52–62</w:t>
            </w:r>
          </w:p>
        </w:tc>
        <w:tc>
          <w:tcPr>
            <w:tcW w:type="dxa" w:w="3402"/>
          </w:tcPr>
          <w:p>
            <w:pPr>
              <w:spacing w:after="40"/>
            </w:pPr>
            <w:r>
              <w:rPr>
                <w:sz w:val="18"/>
              </w:rPr>
              <w:t>oben, links</w:t>
              <w:br/>
              <w:t>x 11.9–17.7 %</w:t>
              <w:br/>
              <w:t>y 5.7–6.8 %</w:t>
            </w:r>
          </w:p>
        </w:tc>
      </w:tr>
      <w:tr>
        <w:trPr>
          <w:cantSplit/>
        </w:trPr>
        <w:tc>
          <w:tcPr>
            <w:tcW w:type="dxa" w:w="3288"/>
          </w:tcPr>
          <w:p>
            <w:pPr>
              <w:spacing w:after="40"/>
            </w:pPr>
            <w:r>
              <w:rPr>
                <w:sz w:val="18"/>
              </w:rPr>
              <w:t>System and Spaces</w:t>
            </w:r>
          </w:p>
        </w:tc>
        <w:tc>
          <w:tcPr>
            <w:tcW w:type="dxa" w:w="3005"/>
          </w:tcPr>
          <w:p>
            <w:pPr>
              <w:spacing w:after="40"/>
            </w:pPr>
            <w:r>
              <w:rPr>
                <w:sz w:val="18"/>
              </w:rPr>
              <w:t>x 53–173</w:t>
              <w:br/>
              <w:t>y 113–126</w:t>
            </w:r>
          </w:p>
        </w:tc>
        <w:tc>
          <w:tcPr>
            <w:tcW w:type="dxa" w:w="3402"/>
          </w:tcPr>
          <w:p>
            <w:pPr>
              <w:spacing w:after="40"/>
            </w:pPr>
            <w:r>
              <w:rPr>
                <w:sz w:val="18"/>
              </w:rPr>
              <w:t>oben, links</w:t>
              <w:br/>
              <w:t>x 2.8–9.0 %</w:t>
              <w:br/>
              <w:t>y 12.4–13.8 %</w:t>
            </w:r>
          </w:p>
        </w:tc>
      </w:tr>
      <w:tr>
        <w:trPr>
          <w:cantSplit/>
        </w:trPr>
        <w:tc>
          <w:tcPr>
            <w:tcW w:type="dxa" w:w="3288"/>
          </w:tcPr>
          <w:p>
            <w:pPr>
              <w:spacing w:after="40"/>
            </w:pPr>
            <w:r>
              <w:rPr>
                <w:sz w:val="18"/>
              </w:rPr>
              <w:t>Capacities</w:t>
            </w:r>
          </w:p>
        </w:tc>
        <w:tc>
          <w:tcPr>
            <w:tcW w:type="dxa" w:w="3005"/>
          </w:tcPr>
          <w:p>
            <w:pPr>
              <w:spacing w:after="40"/>
            </w:pPr>
            <w:r>
              <w:rPr>
                <w:sz w:val="18"/>
              </w:rPr>
              <w:t>x 52–116</w:t>
              <w:br/>
              <w:t>y 149–162</w:t>
            </w:r>
          </w:p>
        </w:tc>
        <w:tc>
          <w:tcPr>
            <w:tcW w:type="dxa" w:w="3402"/>
          </w:tcPr>
          <w:p>
            <w:pPr>
              <w:spacing w:after="40"/>
            </w:pPr>
            <w:r>
              <w:rPr>
                <w:sz w:val="18"/>
              </w:rPr>
              <w:t>oben, links</w:t>
              <w:br/>
              <w:t>x 2.7–6.1 %</w:t>
              <w:br/>
              <w:t>y 16.4–17.8 %</w:t>
            </w:r>
          </w:p>
        </w:tc>
      </w:tr>
      <w:tr>
        <w:trPr>
          <w:cantSplit/>
        </w:trPr>
        <w:tc>
          <w:tcPr>
            <w:tcW w:type="dxa" w:w="3288"/>
          </w:tcPr>
          <w:p>
            <w:pPr>
              <w:spacing w:after="40"/>
            </w:pPr>
            <w:r>
              <w:rPr>
                <w:sz w:val="18"/>
              </w:rPr>
              <w:t>Welcome to the Business Builder</w:t>
            </w:r>
          </w:p>
        </w:tc>
        <w:tc>
          <w:tcPr>
            <w:tcW w:type="dxa" w:w="3005"/>
          </w:tcPr>
          <w:p>
            <w:pPr>
              <w:spacing w:after="40"/>
            </w:pPr>
            <w:r>
              <w:rPr>
                <w:sz w:val="18"/>
              </w:rPr>
              <w:t>x 308–700</w:t>
              <w:br/>
              <w:t>y 140–159</w:t>
            </w:r>
          </w:p>
        </w:tc>
        <w:tc>
          <w:tcPr>
            <w:tcW w:type="dxa" w:w="3402"/>
          </w:tcPr>
          <w:p>
            <w:pPr>
              <w:spacing w:after="40"/>
            </w:pPr>
            <w:r>
              <w:rPr>
                <w:sz w:val="18"/>
              </w:rPr>
              <w:t>oben, links</w:t>
              <w:br/>
              <w:t>x 16.1–36.6 %</w:t>
              <w:br/>
              <w:t>y 15.4–17.5 %</w:t>
            </w:r>
          </w:p>
        </w:tc>
      </w:tr>
      <w:tr>
        <w:trPr>
          <w:cantSplit/>
        </w:trPr>
        <w:tc>
          <w:tcPr>
            <w:tcW w:type="dxa" w:w="3288"/>
          </w:tcPr>
          <w:p>
            <w:pPr>
              <w:spacing w:after="40"/>
            </w:pPr>
            <w:r>
              <w:rPr>
                <w:sz w:val="18"/>
              </w:rPr>
              <w:t>(Deprecated)</w:t>
            </w:r>
          </w:p>
        </w:tc>
        <w:tc>
          <w:tcPr>
            <w:tcW w:type="dxa" w:w="3005"/>
          </w:tcPr>
          <w:p>
            <w:pPr>
              <w:spacing w:after="40"/>
            </w:pPr>
            <w:r>
              <w:rPr>
                <w:sz w:val="18"/>
              </w:rPr>
              <w:t>x 707–860</w:t>
              <w:br/>
              <w:t>y 141–164</w:t>
            </w:r>
          </w:p>
        </w:tc>
        <w:tc>
          <w:tcPr>
            <w:tcW w:type="dxa" w:w="3402"/>
          </w:tcPr>
          <w:p>
            <w:pPr>
              <w:spacing w:after="40"/>
            </w:pPr>
            <w:r>
              <w:rPr>
                <w:sz w:val="18"/>
              </w:rPr>
              <w:t>oben, mittig</w:t>
              <w:br/>
              <w:t>x 37.0–45.0 %</w:t>
              <w:br/>
              <w:t>y 15.5–18.0 %</w:t>
            </w:r>
          </w:p>
        </w:tc>
      </w:tr>
      <w:tr>
        <w:trPr>
          <w:cantSplit/>
        </w:trPr>
        <w:tc>
          <w:tcPr>
            <w:tcW w:type="dxa" w:w="3288"/>
          </w:tcPr>
          <w:p>
            <w:pPr>
              <w:spacing w:after="40"/>
            </w:pPr>
            <w:r>
              <w:rPr>
                <w:sz w:val="18"/>
              </w:rPr>
              <w:t>Task Logs</w:t>
            </w:r>
          </w:p>
        </w:tc>
        <w:tc>
          <w:tcPr>
            <w:tcW w:type="dxa" w:w="3005"/>
          </w:tcPr>
          <w:p>
            <w:pPr>
              <w:spacing w:after="40"/>
            </w:pPr>
            <w:r>
              <w:rPr>
                <w:sz w:val="18"/>
              </w:rPr>
              <w:t>x 52–112</w:t>
              <w:br/>
              <w:t>y 185–198</w:t>
            </w:r>
          </w:p>
        </w:tc>
        <w:tc>
          <w:tcPr>
            <w:tcW w:type="dxa" w:w="3402"/>
          </w:tcPr>
          <w:p>
            <w:pPr>
              <w:spacing w:after="40"/>
            </w:pPr>
            <w:r>
              <w:rPr>
                <w:sz w:val="18"/>
              </w:rPr>
              <w:t>oben, links</w:t>
              <w:br/>
              <w:t>x 2.7–5.9 %</w:t>
              <w:br/>
              <w:t>y 20.3–21.7 %</w:t>
            </w:r>
          </w:p>
        </w:tc>
      </w:tr>
      <w:tr>
        <w:trPr>
          <w:cantSplit/>
        </w:trPr>
        <w:tc>
          <w:tcPr>
            <w:tcW w:type="dxa" w:w="3288"/>
          </w:tcPr>
          <w:p>
            <w:pPr>
              <w:spacing w:after="40"/>
            </w:pPr>
            <w:r>
              <w:rPr>
                <w:sz w:val="18"/>
              </w:rPr>
              <w:t>Expensive Statement Logs</w:t>
            </w:r>
          </w:p>
        </w:tc>
        <w:tc>
          <w:tcPr>
            <w:tcW w:type="dxa" w:w="3005"/>
          </w:tcPr>
          <w:p>
            <w:pPr>
              <w:spacing w:after="40"/>
            </w:pPr>
            <w:r>
              <w:rPr>
                <w:sz w:val="18"/>
              </w:rPr>
              <w:t>x 53–215</w:t>
              <w:br/>
              <w:t>y 221–234</w:t>
            </w:r>
          </w:p>
        </w:tc>
        <w:tc>
          <w:tcPr>
            <w:tcW w:type="dxa" w:w="3402"/>
          </w:tcPr>
          <w:p>
            <w:pPr>
              <w:spacing w:after="40"/>
            </w:pPr>
            <w:r>
              <w:rPr>
                <w:sz w:val="18"/>
              </w:rPr>
              <w:t>oben, links</w:t>
              <w:br/>
              <w:t>x 2.8–11.2 %</w:t>
              <w:br/>
              <w:t>y 24.3–25.7 %</w:t>
            </w:r>
          </w:p>
        </w:tc>
      </w:tr>
      <w:tr>
        <w:trPr>
          <w:cantSplit/>
        </w:trPr>
        <w:tc>
          <w:tcPr>
            <w:tcW w:type="dxa" w:w="3288"/>
          </w:tcPr>
          <w:p>
            <w:pPr>
              <w:spacing w:after="40"/>
            </w:pPr>
            <w:r>
              <w:rPr>
                <w:sz w:val="18"/>
              </w:rPr>
              <w:t>Elastic Compute Nodes</w:t>
            </w:r>
          </w:p>
        </w:tc>
        <w:tc>
          <w:tcPr>
            <w:tcW w:type="dxa" w:w="3005"/>
          </w:tcPr>
          <w:p>
            <w:pPr>
              <w:spacing w:after="40"/>
            </w:pPr>
            <w:r>
              <w:rPr>
                <w:sz w:val="18"/>
              </w:rPr>
              <w:t>x 53–196</w:t>
              <w:br/>
              <w:t>y 257–270</w:t>
            </w:r>
          </w:p>
        </w:tc>
        <w:tc>
          <w:tcPr>
            <w:tcW w:type="dxa" w:w="3402"/>
          </w:tcPr>
          <w:p>
            <w:pPr>
              <w:spacing w:after="40"/>
            </w:pPr>
            <w:r>
              <w:rPr>
                <w:sz w:val="18"/>
              </w:rPr>
              <w:t>oben, links</w:t>
              <w:br/>
              <w:t>x 2.8–10.3 %</w:t>
              <w:br/>
              <w:t>y 28.2–29.6 %</w:t>
            </w:r>
          </w:p>
        </w:tc>
      </w:tr>
      <w:tr>
        <w:trPr>
          <w:cantSplit/>
        </w:trPr>
        <w:tc>
          <w:tcPr>
            <w:tcW w:type="dxa" w:w="3288"/>
          </w:tcPr>
          <w:p>
            <w:pPr>
              <w:spacing w:after="40"/>
            </w:pPr>
            <w:r>
              <w:rPr>
                <w:sz w:val="18"/>
              </w:rPr>
              <w:t>Spaces</w:t>
            </w:r>
          </w:p>
        </w:tc>
        <w:tc>
          <w:tcPr>
            <w:tcW w:type="dxa" w:w="3005"/>
          </w:tcPr>
          <w:p>
            <w:pPr>
              <w:spacing w:after="40"/>
            </w:pPr>
            <w:r>
              <w:rPr>
                <w:sz w:val="18"/>
              </w:rPr>
              <w:t>x 887–950</w:t>
              <w:br/>
              <w:t>y 260–278</w:t>
            </w:r>
          </w:p>
        </w:tc>
        <w:tc>
          <w:tcPr>
            <w:tcW w:type="dxa" w:w="3402"/>
          </w:tcPr>
          <w:p>
            <w:pPr>
              <w:spacing w:after="40"/>
            </w:pPr>
            <w:r>
              <w:rPr>
                <w:sz w:val="18"/>
              </w:rPr>
              <w:t>oben, mittig</w:t>
              <w:br/>
              <w:t>x 46.4–49.7 %</w:t>
              <w:br/>
              <w:t>y 28.5–30.5 %</w:t>
            </w:r>
          </w:p>
        </w:tc>
      </w:tr>
      <w:tr>
        <w:trPr>
          <w:cantSplit/>
        </w:trPr>
        <w:tc>
          <w:tcPr>
            <w:tcW w:type="dxa" w:w="3288"/>
          </w:tcPr>
          <w:p>
            <w:pPr>
              <w:spacing w:after="40"/>
            </w:pPr>
            <w:r>
              <w:rPr>
                <w:sz w:val="18"/>
              </w:rPr>
              <w:t>Search</w:t>
            </w:r>
          </w:p>
        </w:tc>
        <w:tc>
          <w:tcPr>
            <w:tcW w:type="dxa" w:w="3005"/>
          </w:tcPr>
          <w:p>
            <w:pPr>
              <w:spacing w:after="40"/>
            </w:pPr>
            <w:r>
              <w:rPr>
                <w:sz w:val="18"/>
              </w:rPr>
              <w:t>x 1680–1721</w:t>
              <w:br/>
              <w:t>y 259–269</w:t>
            </w:r>
          </w:p>
        </w:tc>
        <w:tc>
          <w:tcPr>
            <w:tcW w:type="dxa" w:w="3402"/>
          </w:tcPr>
          <w:p>
            <w:pPr>
              <w:spacing w:after="40"/>
            </w:pPr>
            <w:r>
              <w:rPr>
                <w:sz w:val="18"/>
              </w:rPr>
              <w:t>oben, rechts</w:t>
              <w:br/>
              <w:t>x 87.9–90.0 %</w:t>
              <w:br/>
              <w:t>y 28.4–29.5 %</w:t>
            </w:r>
          </w:p>
        </w:tc>
      </w:tr>
      <w:tr>
        <w:trPr>
          <w:cantSplit/>
        </w:trPr>
        <w:tc>
          <w:tcPr>
            <w:tcW w:type="dxa" w:w="3288"/>
          </w:tcPr>
          <w:p>
            <w:pPr>
              <w:spacing w:after="40"/>
            </w:pPr>
            <w:r>
              <w:rPr>
                <w:sz w:val="18"/>
              </w:rPr>
              <w:t>Data Integration</w:t>
            </w:r>
          </w:p>
        </w:tc>
        <w:tc>
          <w:tcPr>
            <w:tcW w:type="dxa" w:w="3005"/>
          </w:tcPr>
          <w:p>
            <w:pPr>
              <w:spacing w:after="40"/>
            </w:pPr>
            <w:r>
              <w:rPr>
                <w:sz w:val="18"/>
              </w:rPr>
              <w:t>x 53–150</w:t>
              <w:br/>
              <w:t>y 293–306</w:t>
            </w:r>
          </w:p>
        </w:tc>
        <w:tc>
          <w:tcPr>
            <w:tcW w:type="dxa" w:w="3402"/>
          </w:tcPr>
          <w:p>
            <w:pPr>
              <w:spacing w:after="40"/>
            </w:pPr>
            <w:r>
              <w:rPr>
                <w:sz w:val="18"/>
              </w:rPr>
              <w:t>oben, links</w:t>
              <w:br/>
              <w:t>x 2.8–7.8 %</w:t>
              <w:br/>
              <w:t>y 32.2–33.6 %</w:t>
            </w:r>
          </w:p>
        </w:tc>
      </w:tr>
      <w:tr>
        <w:trPr>
          <w:cantSplit/>
        </w:trPr>
        <w:tc>
          <w:tcPr>
            <w:tcW w:type="dxa" w:w="3288"/>
          </w:tcPr>
          <w:p>
            <w:pPr>
              <w:spacing w:after="40"/>
            </w:pPr>
            <w:r>
              <w:rPr>
                <w:sz w:val="18"/>
              </w:rPr>
              <w:t>Disk for Storage:</w:t>
            </w:r>
          </w:p>
        </w:tc>
        <w:tc>
          <w:tcPr>
            <w:tcW w:type="dxa" w:w="3005"/>
          </w:tcPr>
          <w:p>
            <w:pPr>
              <w:spacing w:after="40"/>
            </w:pPr>
            <w:r>
              <w:rPr>
                <w:sz w:val="18"/>
              </w:rPr>
              <w:t>x 912–1012</w:t>
              <w:br/>
              <w:t>y 374–387</w:t>
            </w:r>
          </w:p>
        </w:tc>
        <w:tc>
          <w:tcPr>
            <w:tcW w:type="dxa" w:w="3402"/>
          </w:tcPr>
          <w:p>
            <w:pPr>
              <w:spacing w:after="40"/>
            </w:pPr>
            <w:r>
              <w:rPr>
                <w:sz w:val="18"/>
              </w:rPr>
              <w:t>auf mittlerer Höhe, mittig</w:t>
              <w:br/>
              <w:t>x 47.7–52.9 %</w:t>
              <w:br/>
              <w:t>y 41.1–42.5 %</w:t>
            </w:r>
          </w:p>
        </w:tc>
      </w:tr>
      <w:tr>
        <w:trPr>
          <w:cantSplit/>
        </w:trPr>
        <w:tc>
          <w:tcPr>
            <w:tcW w:type="dxa" w:w="3288"/>
          </w:tcPr>
          <w:p>
            <w:pPr>
              <w:spacing w:after="40"/>
            </w:pPr>
            <w:r>
              <w:rPr>
                <w:sz w:val="18"/>
              </w:rPr>
              <w:t>Disk for Storage:</w:t>
            </w:r>
          </w:p>
        </w:tc>
        <w:tc>
          <w:tcPr>
            <w:tcW w:type="dxa" w:w="3005"/>
          </w:tcPr>
          <w:p>
            <w:pPr>
              <w:spacing w:after="40"/>
            </w:pPr>
            <w:r>
              <w:rPr>
                <w:sz w:val="18"/>
              </w:rPr>
              <w:t>x 1228–1328</w:t>
              <w:br/>
              <w:t>y 374–387</w:t>
            </w:r>
          </w:p>
        </w:tc>
        <w:tc>
          <w:tcPr>
            <w:tcW w:type="dxa" w:w="3402"/>
          </w:tcPr>
          <w:p>
            <w:pPr>
              <w:spacing w:after="40"/>
            </w:pPr>
            <w:r>
              <w:rPr>
                <w:sz w:val="18"/>
              </w:rPr>
              <w:t>auf mittlerer Höhe, mittig</w:t>
              <w:br/>
              <w:t>x 64.2–69.5 %</w:t>
              <w:br/>
              <w:t>y 41.1–42.5 %</w:t>
            </w:r>
          </w:p>
        </w:tc>
      </w:tr>
      <w:tr>
        <w:trPr>
          <w:cantSplit/>
        </w:trPr>
        <w:tc>
          <w:tcPr>
            <w:tcW w:type="dxa" w:w="3288"/>
          </w:tcPr>
          <w:p>
            <w:pPr>
              <w:spacing w:after="40"/>
            </w:pPr>
            <w:r>
              <w:rPr>
                <w:sz w:val="18"/>
              </w:rPr>
              <w:t>Disk for Storage:</w:t>
            </w:r>
          </w:p>
        </w:tc>
        <w:tc>
          <w:tcPr>
            <w:tcW w:type="dxa" w:w="3005"/>
          </w:tcPr>
          <w:p>
            <w:pPr>
              <w:spacing w:after="40"/>
            </w:pPr>
            <w:r>
              <w:rPr>
                <w:sz w:val="18"/>
              </w:rPr>
              <w:t>x 1544–1644</w:t>
              <w:br/>
              <w:t>y 374–387</w:t>
            </w:r>
          </w:p>
        </w:tc>
        <w:tc>
          <w:tcPr>
            <w:tcW w:type="dxa" w:w="3402"/>
          </w:tcPr>
          <w:p>
            <w:pPr>
              <w:spacing w:after="40"/>
            </w:pPr>
            <w:r>
              <w:rPr>
                <w:sz w:val="18"/>
              </w:rPr>
              <w:t>auf mittlerer Höhe, rechts</w:t>
              <w:br/>
              <w:t>x 80.8–86.0 %</w:t>
              <w:br/>
              <w:t>y 41.1–42.5 %</w:t>
            </w:r>
          </w:p>
        </w:tc>
      </w:tr>
      <w:tr>
        <w:trPr>
          <w:cantSplit/>
        </w:trPr>
        <w:tc>
          <w:tcPr>
            <w:tcW w:type="dxa" w:w="3288"/>
          </w:tcPr>
          <w:p>
            <w:pPr>
              <w:spacing w:after="40"/>
            </w:pPr>
            <w:r>
              <w:rPr>
                <w:sz w:val="18"/>
              </w:rPr>
              <w:t>Search</w:t>
            </w:r>
          </w:p>
        </w:tc>
        <w:tc>
          <w:tcPr>
            <w:tcW w:type="dxa" w:w="3005"/>
          </w:tcPr>
          <w:p>
            <w:pPr>
              <w:spacing w:after="40"/>
            </w:pPr>
            <w:r>
              <w:rPr>
                <w:sz w:val="18"/>
              </w:rPr>
              <w:t>x 53–94</w:t>
              <w:br/>
              <w:t>y 381–391</w:t>
            </w:r>
          </w:p>
        </w:tc>
        <w:tc>
          <w:tcPr>
            <w:tcW w:type="dxa" w:w="3402"/>
          </w:tcPr>
          <w:p>
            <w:pPr>
              <w:spacing w:after="40"/>
            </w:pPr>
            <w:r>
              <w:rPr>
                <w:sz w:val="18"/>
              </w:rPr>
              <w:t>auf mittlerer Höhe, links</w:t>
              <w:br/>
              <w:t>x 2.8–4.9 %</w:t>
              <w:br/>
              <w:t>y 41.8–42.9 %</w:t>
            </w:r>
          </w:p>
        </w:tc>
      </w:tr>
      <w:tr>
        <w:trPr>
          <w:cantSplit/>
        </w:trPr>
        <w:tc>
          <w:tcPr>
            <w:tcW w:type="dxa" w:w="3288"/>
          </w:tcPr>
          <w:p>
            <w:pPr>
              <w:spacing w:after="40"/>
            </w:pPr>
            <w:r>
              <w:rPr>
                <w:sz w:val="18"/>
              </w:rPr>
              <w:t>of</w:t>
            </w:r>
          </w:p>
        </w:tc>
        <w:tc>
          <w:tcPr>
            <w:tcW w:type="dxa" w:w="3005"/>
          </w:tcPr>
          <w:p>
            <w:pPr>
              <w:spacing w:after="40"/>
            </w:pPr>
            <w:r>
              <w:rPr>
                <w:sz w:val="18"/>
              </w:rPr>
              <w:t>x 968–984</w:t>
              <w:br/>
              <w:t>y 395–418</w:t>
            </w:r>
          </w:p>
        </w:tc>
        <w:tc>
          <w:tcPr>
            <w:tcW w:type="dxa" w:w="3402"/>
          </w:tcPr>
          <w:p>
            <w:pPr>
              <w:spacing w:after="40"/>
            </w:pPr>
            <w:r>
              <w:rPr>
                <w:sz w:val="18"/>
              </w:rPr>
              <w:t>auf mittlerer Höhe, mittig</w:t>
              <w:br/>
              <w:t>x 50.6–51.4 %</w:t>
              <w:br/>
              <w:t>y 43.4–45.8 %</w:t>
            </w:r>
          </w:p>
        </w:tc>
      </w:tr>
      <w:tr>
        <w:trPr>
          <w:cantSplit/>
        </w:trPr>
        <w:tc>
          <w:tcPr>
            <w:tcW w:type="dxa" w:w="3288"/>
          </w:tcPr>
          <w:p>
            <w:pPr>
              <w:spacing w:after="40"/>
            </w:pPr>
            <w:r>
              <w:rPr>
                <w:sz w:val="18"/>
              </w:rPr>
              <w:t>of</w:t>
            </w:r>
          </w:p>
        </w:tc>
        <w:tc>
          <w:tcPr>
            <w:tcW w:type="dxa" w:w="3005"/>
          </w:tcPr>
          <w:p>
            <w:pPr>
              <w:spacing w:after="40"/>
            </w:pPr>
            <w:r>
              <w:rPr>
                <w:sz w:val="18"/>
              </w:rPr>
              <w:t>x 1282–1296</w:t>
              <w:br/>
              <w:t>y 402–412</w:t>
            </w:r>
          </w:p>
        </w:tc>
        <w:tc>
          <w:tcPr>
            <w:tcW w:type="dxa" w:w="3402"/>
          </w:tcPr>
          <w:p>
            <w:pPr>
              <w:spacing w:after="40"/>
            </w:pPr>
            <w:r>
              <w:rPr>
                <w:sz w:val="18"/>
              </w:rPr>
              <w:t>auf mittlerer Höhe, rechts</w:t>
              <w:br/>
              <w:t>x 67.0–67.8 %</w:t>
              <w:br/>
              <w:t>y 44.1–45.2 %</w:t>
            </w:r>
          </w:p>
        </w:tc>
      </w:tr>
      <w:tr>
        <w:trPr>
          <w:cantSplit/>
        </w:trPr>
        <w:tc>
          <w:tcPr>
            <w:tcW w:type="dxa" w:w="3288"/>
          </w:tcPr>
          <w:p>
            <w:pPr>
              <w:spacing w:after="40"/>
            </w:pPr>
            <w:r>
              <w:rPr>
                <w:sz w:val="18"/>
              </w:rPr>
              <w:t>of</w:t>
            </w:r>
          </w:p>
        </w:tc>
        <w:tc>
          <w:tcPr>
            <w:tcW w:type="dxa" w:w="3005"/>
          </w:tcPr>
          <w:p>
            <w:pPr>
              <w:spacing w:after="40"/>
            </w:pPr>
            <w:r>
              <w:rPr>
                <w:sz w:val="18"/>
              </w:rPr>
              <w:t>x 1608–1620</w:t>
              <w:br/>
              <w:t>y 402–412</w:t>
            </w:r>
          </w:p>
        </w:tc>
        <w:tc>
          <w:tcPr>
            <w:tcW w:type="dxa" w:w="3402"/>
          </w:tcPr>
          <w:p>
            <w:pPr>
              <w:spacing w:after="40"/>
            </w:pPr>
            <w:r>
              <w:rPr>
                <w:sz w:val="18"/>
              </w:rPr>
              <w:t>auf mittlerer Höhe, rechts</w:t>
              <w:br/>
              <w:t>x 84.1–84.7 %</w:t>
              <w:br/>
              <w:t>y 44.1–45.2 %</w:t>
            </w:r>
          </w:p>
        </w:tc>
      </w:tr>
      <w:tr>
        <w:trPr>
          <w:cantSplit/>
        </w:trPr>
        <w:tc>
          <w:tcPr>
            <w:tcW w:type="dxa" w:w="3288"/>
          </w:tcPr>
          <w:p>
            <w:pPr>
              <w:spacing w:after="40"/>
            </w:pPr>
            <w:r>
              <w:rPr>
                <w:sz w:val="18"/>
              </w:rPr>
              <w:t>MB</w:t>
            </w:r>
          </w:p>
        </w:tc>
        <w:tc>
          <w:tcPr>
            <w:tcW w:type="dxa" w:w="3005"/>
          </w:tcPr>
          <w:p>
            <w:pPr>
              <w:spacing w:after="40"/>
            </w:pPr>
            <w:r>
              <w:rPr>
                <w:sz w:val="18"/>
              </w:rPr>
              <w:t>x 1652–1671</w:t>
              <w:br/>
              <w:t>y 402–412</w:t>
            </w:r>
          </w:p>
        </w:tc>
        <w:tc>
          <w:tcPr>
            <w:tcW w:type="dxa" w:w="3402"/>
          </w:tcPr>
          <w:p>
            <w:pPr>
              <w:spacing w:after="40"/>
            </w:pPr>
            <w:r>
              <w:rPr>
                <w:sz w:val="18"/>
              </w:rPr>
              <w:t>auf mittlerer Höhe, rechts</w:t>
              <w:br/>
              <w:t>x 86.4–87.4 %</w:t>
              <w:br/>
              <w:t>y 44.1–45.2 %</w:t>
            </w:r>
          </w:p>
        </w:tc>
      </w:tr>
      <w:tr>
        <w:trPr>
          <w:cantSplit/>
        </w:trPr>
        <w:tc>
          <w:tcPr>
            <w:tcW w:type="dxa" w:w="3288"/>
          </w:tcPr>
          <w:p>
            <w:pPr>
              <w:spacing w:after="40"/>
            </w:pPr>
            <w:r>
              <w:rPr>
                <w:sz w:val="18"/>
              </w:rPr>
              <w:t>Apps</w:t>
            </w:r>
          </w:p>
        </w:tc>
        <w:tc>
          <w:tcPr>
            <w:tcW w:type="dxa" w:w="3005"/>
          </w:tcPr>
          <w:p>
            <w:pPr>
              <w:spacing w:after="40"/>
            </w:pPr>
            <w:r>
              <w:rPr>
                <w:sz w:val="18"/>
              </w:rPr>
              <w:t>x 28–59</w:t>
              <w:br/>
              <w:t>y 463–476</w:t>
            </w:r>
          </w:p>
        </w:tc>
        <w:tc>
          <w:tcPr>
            <w:tcW w:type="dxa" w:w="3402"/>
          </w:tcPr>
          <w:p>
            <w:pPr>
              <w:spacing w:after="40"/>
            </w:pPr>
            <w:r>
              <w:rPr>
                <w:sz w:val="18"/>
              </w:rPr>
              <w:t>auf mittlerer Höhe, links</w:t>
              <w:br/>
              <w:t>x 1.5–3.1 %</w:t>
              <w:br/>
              <w:t>y 50.8–52.3 %</w:t>
            </w:r>
          </w:p>
        </w:tc>
      </w:tr>
      <w:tr>
        <w:trPr>
          <w:cantSplit/>
        </w:trPr>
        <w:tc>
          <w:tcPr>
            <w:tcW w:type="dxa" w:w="3288"/>
          </w:tcPr>
          <w:p>
            <w:pPr>
              <w:spacing w:after="40"/>
            </w:pPr>
            <w:r>
              <w:rPr>
                <w:sz w:val="18"/>
              </w:rPr>
              <w:t>Semantic Onboarding</w:t>
            </w:r>
          </w:p>
        </w:tc>
        <w:tc>
          <w:tcPr>
            <w:tcW w:type="dxa" w:w="3005"/>
          </w:tcPr>
          <w:p>
            <w:pPr>
              <w:spacing w:after="40"/>
            </w:pPr>
            <w:r>
              <w:rPr>
                <w:sz w:val="18"/>
              </w:rPr>
              <w:t>x 52–186</w:t>
              <w:br/>
              <w:t>y 499–512</w:t>
            </w:r>
          </w:p>
        </w:tc>
        <w:tc>
          <w:tcPr>
            <w:tcW w:type="dxa" w:w="3402"/>
          </w:tcPr>
          <w:p>
            <w:pPr>
              <w:spacing w:after="40"/>
            </w:pPr>
            <w:r>
              <w:rPr>
                <w:sz w:val="18"/>
              </w:rPr>
              <w:t>auf mittlerer Höhe, links</w:t>
              <w:br/>
              <w:t>x 2.7–9.7 %</w:t>
              <w:br/>
              <w:t>y 54.8–56.2 %</w:t>
            </w:r>
          </w:p>
        </w:tc>
      </w:tr>
      <w:tr>
        <w:trPr>
          <w:cantSplit/>
        </w:trPr>
        <w:tc>
          <w:tcPr>
            <w:tcW w:type="dxa" w:w="3288"/>
          </w:tcPr>
          <w:p>
            <w:pPr>
              <w:spacing w:after="40"/>
            </w:pPr>
            <w:r>
              <w:rPr>
                <w:sz w:val="18"/>
              </w:rPr>
              <w:t>Disk for Storage:</w:t>
            </w:r>
          </w:p>
        </w:tc>
        <w:tc>
          <w:tcPr>
            <w:tcW w:type="dxa" w:w="3005"/>
          </w:tcPr>
          <w:p>
            <w:pPr>
              <w:spacing w:after="40"/>
            </w:pPr>
            <w:r>
              <w:rPr>
                <w:sz w:val="18"/>
              </w:rPr>
              <w:t>x 912–1012</w:t>
              <w:br/>
              <w:t>y 520–533</w:t>
            </w:r>
          </w:p>
        </w:tc>
        <w:tc>
          <w:tcPr>
            <w:tcW w:type="dxa" w:w="3402"/>
          </w:tcPr>
          <w:p>
            <w:pPr>
              <w:spacing w:after="40"/>
            </w:pPr>
            <w:r>
              <w:rPr>
                <w:sz w:val="18"/>
              </w:rPr>
              <w:t>auf mittlerer Höhe, mittig</w:t>
              <w:br/>
              <w:t>x 47.7–52.9 %</w:t>
              <w:br/>
              <w:t>y 57.1–58.5 %</w:t>
            </w:r>
          </w:p>
        </w:tc>
      </w:tr>
      <w:tr>
        <w:trPr>
          <w:cantSplit/>
        </w:trPr>
        <w:tc>
          <w:tcPr>
            <w:tcW w:type="dxa" w:w="3288"/>
          </w:tcPr>
          <w:p>
            <w:pPr>
              <w:spacing w:after="40"/>
            </w:pPr>
            <w:r>
              <w:rPr>
                <w:sz w:val="18"/>
              </w:rPr>
              <w:t>Disk for Storage:</w:t>
            </w:r>
          </w:p>
        </w:tc>
        <w:tc>
          <w:tcPr>
            <w:tcW w:type="dxa" w:w="3005"/>
          </w:tcPr>
          <w:p>
            <w:pPr>
              <w:spacing w:after="40"/>
            </w:pPr>
            <w:r>
              <w:rPr>
                <w:sz w:val="18"/>
              </w:rPr>
              <w:t>x 1228–1328</w:t>
              <w:br/>
              <w:t>y 520–533</w:t>
            </w:r>
          </w:p>
        </w:tc>
        <w:tc>
          <w:tcPr>
            <w:tcW w:type="dxa" w:w="3402"/>
          </w:tcPr>
          <w:p>
            <w:pPr>
              <w:spacing w:after="40"/>
            </w:pPr>
            <w:r>
              <w:rPr>
                <w:sz w:val="18"/>
              </w:rPr>
              <w:t>auf mittlerer Höhe, mittig</w:t>
              <w:br/>
              <w:t>x 64.2–69.5 %</w:t>
              <w:br/>
              <w:t>y 57.1–58.5 %</w:t>
            </w:r>
          </w:p>
        </w:tc>
      </w:tr>
      <w:tr>
        <w:trPr>
          <w:cantSplit/>
        </w:trPr>
        <w:tc>
          <w:tcPr>
            <w:tcW w:type="dxa" w:w="3288"/>
          </w:tcPr>
          <w:p>
            <w:pPr>
              <w:spacing w:after="40"/>
            </w:pPr>
            <w:r>
              <w:rPr>
                <w:sz w:val="18"/>
              </w:rPr>
              <w:t>Disk for Storage:</w:t>
            </w:r>
          </w:p>
        </w:tc>
        <w:tc>
          <w:tcPr>
            <w:tcW w:type="dxa" w:w="3005"/>
          </w:tcPr>
          <w:p>
            <w:pPr>
              <w:spacing w:after="40"/>
            </w:pPr>
            <w:r>
              <w:rPr>
                <w:sz w:val="18"/>
              </w:rPr>
              <w:t>x 1544–1644</w:t>
              <w:br/>
              <w:t>y 520–533</w:t>
            </w:r>
          </w:p>
        </w:tc>
        <w:tc>
          <w:tcPr>
            <w:tcW w:type="dxa" w:w="3402"/>
          </w:tcPr>
          <w:p>
            <w:pPr>
              <w:spacing w:after="40"/>
            </w:pPr>
            <w:r>
              <w:rPr>
                <w:sz w:val="18"/>
              </w:rPr>
              <w:t>auf mittlerer Höhe, rechts</w:t>
              <w:br/>
              <w:t>x 80.8–86.0 %</w:t>
              <w:br/>
              <w:t>y 57.1–58.5 %</w:t>
            </w:r>
          </w:p>
        </w:tc>
      </w:tr>
      <w:tr>
        <w:trPr>
          <w:cantSplit/>
        </w:trPr>
        <w:tc>
          <w:tcPr>
            <w:tcW w:type="dxa" w:w="3288"/>
          </w:tcPr>
          <w:p>
            <w:pPr>
              <w:spacing w:after="40"/>
            </w:pPr>
            <w:r>
              <w:rPr>
                <w:sz w:val="18"/>
              </w:rPr>
              <w:t>Business Builder</w:t>
            </w:r>
          </w:p>
        </w:tc>
        <w:tc>
          <w:tcPr>
            <w:tcW w:type="dxa" w:w="3005"/>
          </w:tcPr>
          <w:p>
            <w:pPr>
              <w:spacing w:after="40"/>
            </w:pPr>
            <w:r>
              <w:rPr>
                <w:sz w:val="18"/>
              </w:rPr>
              <w:t>x 53–155</w:t>
              <w:br/>
              <w:t>y 535–545</w:t>
            </w:r>
          </w:p>
        </w:tc>
        <w:tc>
          <w:tcPr>
            <w:tcW w:type="dxa" w:w="3402"/>
          </w:tcPr>
          <w:p>
            <w:pPr>
              <w:spacing w:after="40"/>
            </w:pPr>
            <w:r>
              <w:rPr>
                <w:sz w:val="18"/>
              </w:rPr>
              <w:t>auf mittlerer Höhe, links</w:t>
              <w:br/>
              <w:t>x 2.8–8.1 %</w:t>
              <w:br/>
              <w:t>y 58.7–59.8 %</w:t>
            </w:r>
          </w:p>
        </w:tc>
      </w:tr>
      <w:tr>
        <w:trPr>
          <w:cantSplit/>
        </w:trPr>
        <w:tc>
          <w:tcPr>
            <w:tcW w:type="dxa" w:w="3288"/>
          </w:tcPr>
          <w:p>
            <w:pPr>
              <w:spacing w:after="40"/>
            </w:pPr>
            <w:r>
              <w:rPr>
                <w:sz w:val="18"/>
              </w:rPr>
              <w:t>of</w:t>
            </w:r>
          </w:p>
        </w:tc>
        <w:tc>
          <w:tcPr>
            <w:tcW w:type="dxa" w:w="3005"/>
          </w:tcPr>
          <w:p>
            <w:pPr>
              <w:spacing w:after="40"/>
            </w:pPr>
            <w:r>
              <w:rPr>
                <w:sz w:val="18"/>
              </w:rPr>
              <w:t>x 968–980</w:t>
              <w:br/>
              <w:t>y 548–558</w:t>
            </w:r>
          </w:p>
        </w:tc>
        <w:tc>
          <w:tcPr>
            <w:tcW w:type="dxa" w:w="3402"/>
          </w:tcPr>
          <w:p>
            <w:pPr>
              <w:spacing w:after="40"/>
            </w:pPr>
            <w:r>
              <w:rPr>
                <w:sz w:val="18"/>
              </w:rPr>
              <w:t>auf mittlerer Höhe, mittig</w:t>
              <w:br/>
              <w:t>x 50.6–51.2 %</w:t>
              <w:br/>
              <w:t>y 60.2–61.3 %</w:t>
            </w:r>
          </w:p>
        </w:tc>
      </w:tr>
      <w:tr>
        <w:trPr>
          <w:cantSplit/>
        </w:trPr>
        <w:tc>
          <w:tcPr>
            <w:tcW w:type="dxa" w:w="3288"/>
          </w:tcPr>
          <w:p>
            <w:pPr>
              <w:spacing w:after="40"/>
            </w:pPr>
            <w:r>
              <w:rPr>
                <w:sz w:val="18"/>
              </w:rPr>
              <w:t>of</w:t>
            </w:r>
          </w:p>
        </w:tc>
        <w:tc>
          <w:tcPr>
            <w:tcW w:type="dxa" w:w="3005"/>
          </w:tcPr>
          <w:p>
            <w:pPr>
              <w:spacing w:after="40"/>
            </w:pPr>
            <w:r>
              <w:rPr>
                <w:sz w:val="18"/>
              </w:rPr>
              <w:t>x 1297–1308</w:t>
              <w:br/>
              <w:t>y 548–558</w:t>
            </w:r>
          </w:p>
        </w:tc>
        <w:tc>
          <w:tcPr>
            <w:tcW w:type="dxa" w:w="3402"/>
          </w:tcPr>
          <w:p>
            <w:pPr>
              <w:spacing w:after="40"/>
            </w:pPr>
            <w:r>
              <w:rPr>
                <w:sz w:val="18"/>
              </w:rPr>
              <w:t>auf mittlerer Höhe, rechts</w:t>
              <w:br/>
              <w:t>x 67.8–68.4 %</w:t>
              <w:br/>
              <w:t>y 60.2–61.3 %</w:t>
            </w:r>
          </w:p>
        </w:tc>
      </w:tr>
      <w:tr>
        <w:trPr>
          <w:cantSplit/>
        </w:trPr>
        <w:tc>
          <w:tcPr>
            <w:tcW w:type="dxa" w:w="3288"/>
          </w:tcPr>
          <w:p>
            <w:pPr>
              <w:spacing w:after="40"/>
            </w:pPr>
            <w:r>
              <w:rPr>
                <w:sz w:val="18"/>
              </w:rPr>
              <w:t>of</w:t>
            </w:r>
          </w:p>
        </w:tc>
        <w:tc>
          <w:tcPr>
            <w:tcW w:type="dxa" w:w="3005"/>
          </w:tcPr>
          <w:p>
            <w:pPr>
              <w:spacing w:after="40"/>
            </w:pPr>
            <w:r>
              <w:rPr>
                <w:sz w:val="18"/>
              </w:rPr>
              <w:t>x 1608–1620</w:t>
              <w:br/>
              <w:t>y 548–558</w:t>
            </w:r>
          </w:p>
        </w:tc>
        <w:tc>
          <w:tcPr>
            <w:tcW w:type="dxa" w:w="3402"/>
          </w:tcPr>
          <w:p>
            <w:pPr>
              <w:spacing w:after="40"/>
            </w:pPr>
            <w:r>
              <w:rPr>
                <w:sz w:val="18"/>
              </w:rPr>
              <w:t>auf mittlerer Höhe, rechts</w:t>
              <w:br/>
              <w:t>x 84.1–84.7 %</w:t>
              <w:br/>
              <w:t>y 60.2–61.3 %</w:t>
            </w:r>
          </w:p>
        </w:tc>
      </w:tr>
      <w:tr>
        <w:trPr>
          <w:cantSplit/>
        </w:trPr>
        <w:tc>
          <w:tcPr>
            <w:tcW w:type="dxa" w:w="3288"/>
          </w:tcPr>
          <w:p>
            <w:pPr>
              <w:spacing w:after="40"/>
            </w:pPr>
            <w:r>
              <w:rPr>
                <w:sz w:val="18"/>
              </w:rPr>
              <w:t>Data Builder</w:t>
            </w:r>
          </w:p>
        </w:tc>
        <w:tc>
          <w:tcPr>
            <w:tcW w:type="dxa" w:w="3005"/>
          </w:tcPr>
          <w:p>
            <w:pPr>
              <w:spacing w:after="40"/>
            </w:pPr>
            <w:r>
              <w:rPr>
                <w:sz w:val="18"/>
              </w:rPr>
              <w:t>x 53–129</w:t>
              <w:br/>
              <w:t>y 571–581</w:t>
            </w:r>
          </w:p>
        </w:tc>
        <w:tc>
          <w:tcPr>
            <w:tcW w:type="dxa" w:w="3402"/>
          </w:tcPr>
          <w:p>
            <w:pPr>
              <w:spacing w:after="40"/>
            </w:pPr>
            <w:r>
              <w:rPr>
                <w:sz w:val="18"/>
              </w:rPr>
              <w:t>auf mittlerer Höhe, links</w:t>
              <w:br/>
              <w:t>x 2.8–6.7 %</w:t>
              <w:br/>
              <w:t>y 62.7–63.8 %</w:t>
            </w:r>
          </w:p>
        </w:tc>
      </w:tr>
      <w:tr>
        <w:trPr>
          <w:cantSplit/>
        </w:trPr>
        <w:tc>
          <w:tcPr>
            <w:tcW w:type="dxa" w:w="3288"/>
          </w:tcPr>
          <w:p>
            <w:pPr>
              <w:spacing w:after="40"/>
            </w:pPr>
            <w:r>
              <w:rPr>
                <w:sz w:val="18"/>
              </w:rPr>
              <w:t>Connections</w:t>
            </w:r>
          </w:p>
        </w:tc>
        <w:tc>
          <w:tcPr>
            <w:tcW w:type="dxa" w:w="3005"/>
          </w:tcPr>
          <w:p>
            <w:pPr>
              <w:spacing w:after="40"/>
            </w:pPr>
            <w:r>
              <w:rPr>
                <w:sz w:val="18"/>
              </w:rPr>
              <w:t>x 52–128</w:t>
              <w:br/>
              <w:t>y 607–617</w:t>
            </w:r>
          </w:p>
        </w:tc>
        <w:tc>
          <w:tcPr>
            <w:tcW w:type="dxa" w:w="3402"/>
          </w:tcPr>
          <w:p>
            <w:pPr>
              <w:spacing w:after="40"/>
            </w:pPr>
            <w:r>
              <w:rPr>
                <w:sz w:val="18"/>
              </w:rPr>
              <w:t>unten, links</w:t>
              <w:br/>
              <w:t>x 2.7–6.7 %</w:t>
              <w:br/>
              <w:t>y 66.6–67.7 %</w:t>
            </w:r>
          </w:p>
        </w:tc>
      </w:tr>
      <w:tr>
        <w:trPr>
          <w:cantSplit/>
        </w:trPr>
        <w:tc>
          <w:tcPr>
            <w:tcW w:type="dxa" w:w="3288"/>
          </w:tcPr>
          <w:p>
            <w:pPr>
              <w:spacing w:after="40"/>
            </w:pPr>
            <w:r>
              <w:rPr>
                <w:sz w:val="18"/>
              </w:rPr>
              <w:t>Utilities</w:t>
            </w:r>
          </w:p>
        </w:tc>
        <w:tc>
          <w:tcPr>
            <w:tcW w:type="dxa" w:w="3005"/>
          </w:tcPr>
          <w:p>
            <w:pPr>
              <w:spacing w:after="40"/>
            </w:pPr>
            <w:r>
              <w:rPr>
                <w:sz w:val="18"/>
              </w:rPr>
              <w:t>x 29–73</w:t>
              <w:br/>
              <w:t>y 653–663</w:t>
            </w:r>
          </w:p>
        </w:tc>
        <w:tc>
          <w:tcPr>
            <w:tcW w:type="dxa" w:w="3402"/>
          </w:tcPr>
          <w:p>
            <w:pPr>
              <w:spacing w:after="40"/>
            </w:pPr>
            <w:r>
              <w:rPr>
                <w:sz w:val="18"/>
              </w:rPr>
              <w:t>unten, links</w:t>
              <w:br/>
              <w:t>x 1.5–3.8 %</w:t>
              <w:br/>
              <w:t>y 71.7–72.8 %</w:t>
            </w:r>
          </w:p>
        </w:tc>
      </w:tr>
      <w:tr>
        <w:trPr>
          <w:cantSplit/>
        </w:trPr>
        <w:tc>
          <w:tcPr>
            <w:tcW w:type="dxa" w:w="3288"/>
          </w:tcPr>
          <w:p>
            <w:pPr>
              <w:spacing w:after="40"/>
            </w:pPr>
            <w:r>
              <w:rPr>
                <w:sz w:val="18"/>
              </w:rPr>
              <w:t>Disk for Storage:</w:t>
            </w:r>
          </w:p>
        </w:tc>
        <w:tc>
          <w:tcPr>
            <w:tcW w:type="dxa" w:w="3005"/>
          </w:tcPr>
          <w:p>
            <w:pPr>
              <w:spacing w:after="40"/>
            </w:pPr>
            <w:r>
              <w:rPr>
                <w:sz w:val="18"/>
              </w:rPr>
              <w:t>x 912–1012</w:t>
              <w:br/>
              <w:t>y 666–679</w:t>
            </w:r>
          </w:p>
        </w:tc>
        <w:tc>
          <w:tcPr>
            <w:tcW w:type="dxa" w:w="3402"/>
          </w:tcPr>
          <w:p>
            <w:pPr>
              <w:spacing w:after="40"/>
            </w:pPr>
            <w:r>
              <w:rPr>
                <w:sz w:val="18"/>
              </w:rPr>
              <w:t>unten, mittig</w:t>
              <w:br/>
              <w:t>x 47.7–52.9 %</w:t>
              <w:br/>
              <w:t>y 73.1–74.5 %</w:t>
            </w:r>
          </w:p>
        </w:tc>
      </w:tr>
      <w:tr>
        <w:trPr>
          <w:cantSplit/>
        </w:trPr>
        <w:tc>
          <w:tcPr>
            <w:tcW w:type="dxa" w:w="3288"/>
          </w:tcPr>
          <w:p>
            <w:pPr>
              <w:spacing w:after="40"/>
            </w:pPr>
            <w:r>
              <w:rPr>
                <w:sz w:val="18"/>
              </w:rPr>
              <w:t>Disk for Storage:</w:t>
            </w:r>
          </w:p>
        </w:tc>
        <w:tc>
          <w:tcPr>
            <w:tcW w:type="dxa" w:w="3005"/>
          </w:tcPr>
          <w:p>
            <w:pPr>
              <w:spacing w:after="40"/>
            </w:pPr>
            <w:r>
              <w:rPr>
                <w:sz w:val="18"/>
              </w:rPr>
              <w:t>x 1228–1328</w:t>
              <w:br/>
              <w:t>y 666–679</w:t>
            </w:r>
          </w:p>
        </w:tc>
        <w:tc>
          <w:tcPr>
            <w:tcW w:type="dxa" w:w="3402"/>
          </w:tcPr>
          <w:p>
            <w:pPr>
              <w:spacing w:after="40"/>
            </w:pPr>
            <w:r>
              <w:rPr>
                <w:sz w:val="18"/>
              </w:rPr>
              <w:t>unten, mittig</w:t>
              <w:br/>
              <w:t>x 64.2–69.5 %</w:t>
              <w:br/>
              <w:t>y 73.1–74.5 %</w:t>
            </w:r>
          </w:p>
        </w:tc>
      </w:tr>
      <w:tr>
        <w:trPr>
          <w:cantSplit/>
        </w:trPr>
        <w:tc>
          <w:tcPr>
            <w:tcW w:type="dxa" w:w="3288"/>
          </w:tcPr>
          <w:p>
            <w:pPr>
              <w:spacing w:after="40"/>
            </w:pPr>
            <w:r>
              <w:rPr>
                <w:sz w:val="18"/>
              </w:rPr>
              <w:t>Disk for Storage:</w:t>
            </w:r>
          </w:p>
        </w:tc>
        <w:tc>
          <w:tcPr>
            <w:tcW w:type="dxa" w:w="3005"/>
          </w:tcPr>
          <w:p>
            <w:pPr>
              <w:spacing w:after="40"/>
            </w:pPr>
            <w:r>
              <w:rPr>
                <w:sz w:val="18"/>
              </w:rPr>
              <w:t>x 1544–1644</w:t>
              <w:br/>
              <w:t>y 666–679</w:t>
            </w:r>
          </w:p>
        </w:tc>
        <w:tc>
          <w:tcPr>
            <w:tcW w:type="dxa" w:w="3402"/>
          </w:tcPr>
          <w:p>
            <w:pPr>
              <w:spacing w:after="40"/>
            </w:pPr>
            <w:r>
              <w:rPr>
                <w:sz w:val="18"/>
              </w:rPr>
              <w:t>unten, rechts</w:t>
              <w:br/>
              <w:t>x 80.8–86.0 %</w:t>
              <w:br/>
              <w:t>y 73.1–74.5 %</w:t>
            </w:r>
          </w:p>
        </w:tc>
      </w:tr>
      <w:tr>
        <w:trPr>
          <w:cantSplit/>
        </w:trPr>
        <w:tc>
          <w:tcPr>
            <w:tcW w:type="dxa" w:w="3288"/>
          </w:tcPr>
          <w:p>
            <w:pPr>
              <w:spacing w:after="40"/>
            </w:pPr>
            <w:r>
              <w:rPr>
                <w:sz w:val="18"/>
              </w:rPr>
              <w:t>Space Management</w:t>
            </w:r>
          </w:p>
        </w:tc>
        <w:tc>
          <w:tcPr>
            <w:tcW w:type="dxa" w:w="3005"/>
          </w:tcPr>
          <w:p>
            <w:pPr>
              <w:spacing w:after="40"/>
            </w:pPr>
            <w:r>
              <w:rPr>
                <w:sz w:val="18"/>
              </w:rPr>
              <w:t>x 52–175</w:t>
              <w:br/>
              <w:t>y 689–702</w:t>
            </w:r>
          </w:p>
        </w:tc>
        <w:tc>
          <w:tcPr>
            <w:tcW w:type="dxa" w:w="3402"/>
          </w:tcPr>
          <w:p>
            <w:pPr>
              <w:spacing w:after="40"/>
            </w:pPr>
            <w:r>
              <w:rPr>
                <w:sz w:val="18"/>
              </w:rPr>
              <w:t>unten, links</w:t>
              <w:br/>
              <w:t>x 2.7–9.2 %</w:t>
              <w:br/>
              <w:t>y 75.6–77.1 %</w:t>
            </w:r>
          </w:p>
        </w:tc>
      </w:tr>
      <w:tr>
        <w:trPr>
          <w:cantSplit/>
        </w:trPr>
        <w:tc>
          <w:tcPr>
            <w:tcW w:type="dxa" w:w="3288"/>
          </w:tcPr>
          <w:p>
            <w:pPr>
              <w:spacing w:after="40"/>
            </w:pPr>
            <w:r>
              <w:rPr>
                <w:sz w:val="18"/>
              </w:rPr>
              <w:t>spaces.</w:t>
            </w:r>
          </w:p>
        </w:tc>
        <w:tc>
          <w:tcPr>
            <w:tcW w:type="dxa" w:w="3005"/>
          </w:tcPr>
          <w:p>
            <w:pPr>
              <w:spacing w:after="40"/>
            </w:pPr>
            <w:r>
              <w:rPr>
                <w:sz w:val="18"/>
              </w:rPr>
              <w:t>x 313–358</w:t>
              <w:br/>
              <w:t>y 680–690</w:t>
            </w:r>
          </w:p>
        </w:tc>
        <w:tc>
          <w:tcPr>
            <w:tcW w:type="dxa" w:w="3402"/>
          </w:tcPr>
          <w:p>
            <w:pPr>
              <w:spacing w:after="40"/>
            </w:pPr>
            <w:r>
              <w:rPr>
                <w:sz w:val="18"/>
              </w:rPr>
              <w:t>unten, links</w:t>
              <w:br/>
              <w:t>x 16.4–18.7 %</w:t>
              <w:br/>
              <w:t>y 74.6–75.7 %</w:t>
            </w:r>
          </w:p>
        </w:tc>
      </w:tr>
      <w:tr>
        <w:trPr>
          <w:cantSplit/>
        </w:trPr>
        <w:tc>
          <w:tcPr>
            <w:tcW w:type="dxa" w:w="3288"/>
          </w:tcPr>
          <w:p>
            <w:pPr>
              <w:spacing w:after="40"/>
            </w:pPr>
            <w:r>
              <w:rPr>
                <w:sz w:val="18"/>
              </w:rPr>
              <w:t>spaces</w:t>
            </w:r>
          </w:p>
        </w:tc>
        <w:tc>
          <w:tcPr>
            <w:tcW w:type="dxa" w:w="3005"/>
          </w:tcPr>
          <w:p>
            <w:pPr>
              <w:spacing w:after="40"/>
            </w:pPr>
            <w:r>
              <w:rPr>
                <w:sz w:val="18"/>
              </w:rPr>
              <w:t>x 709–751</w:t>
              <w:br/>
              <w:t>y 680–690</w:t>
            </w:r>
          </w:p>
        </w:tc>
        <w:tc>
          <w:tcPr>
            <w:tcW w:type="dxa" w:w="3402"/>
          </w:tcPr>
          <w:p>
            <w:pPr>
              <w:spacing w:after="40"/>
            </w:pPr>
            <w:r>
              <w:rPr>
                <w:sz w:val="18"/>
              </w:rPr>
              <w:t>unten, mittig</w:t>
              <w:br/>
              <w:t>x 37.1–39.3 %</w:t>
              <w:br/>
              <w:t>y 74.6–75.7 %</w:t>
            </w:r>
          </w:p>
        </w:tc>
      </w:tr>
      <w:tr>
        <w:trPr>
          <w:cantSplit/>
        </w:trPr>
        <w:tc>
          <w:tcPr>
            <w:tcW w:type="dxa" w:w="3288"/>
          </w:tcPr>
          <w:p>
            <w:pPr>
              <w:spacing w:after="40"/>
            </w:pPr>
            <w:r>
              <w:rPr>
                <w:sz w:val="18"/>
              </w:rPr>
              <w:t>of</w:t>
            </w:r>
          </w:p>
        </w:tc>
        <w:tc>
          <w:tcPr>
            <w:tcW w:type="dxa" w:w="3005"/>
          </w:tcPr>
          <w:p>
            <w:pPr>
              <w:spacing w:after="40"/>
            </w:pPr>
            <w:r>
              <w:rPr>
                <w:sz w:val="18"/>
              </w:rPr>
              <w:t>x 976–988</w:t>
              <w:br/>
              <w:t>y 694–704</w:t>
            </w:r>
          </w:p>
        </w:tc>
        <w:tc>
          <w:tcPr>
            <w:tcW w:type="dxa" w:w="3402"/>
          </w:tcPr>
          <w:p>
            <w:pPr>
              <w:spacing w:after="40"/>
            </w:pPr>
            <w:r>
              <w:rPr>
                <w:sz w:val="18"/>
              </w:rPr>
              <w:t>unten, mittig</w:t>
              <w:br/>
              <w:t>x 51.0–51.7 %</w:t>
              <w:br/>
              <w:t>y 76.2–77.3 %</w:t>
            </w:r>
          </w:p>
        </w:tc>
      </w:tr>
      <w:tr>
        <w:trPr>
          <w:cantSplit/>
        </w:trPr>
        <w:tc>
          <w:tcPr>
            <w:tcW w:type="dxa" w:w="3288"/>
          </w:tcPr>
          <w:p>
            <w:pPr>
              <w:spacing w:after="40"/>
            </w:pPr>
            <w:r>
              <w:rPr>
                <w:sz w:val="18"/>
              </w:rPr>
              <w:t>of</w:t>
            </w:r>
          </w:p>
        </w:tc>
        <w:tc>
          <w:tcPr>
            <w:tcW w:type="dxa" w:w="3005"/>
          </w:tcPr>
          <w:p>
            <w:pPr>
              <w:spacing w:after="40"/>
            </w:pPr>
            <w:r>
              <w:rPr>
                <w:sz w:val="18"/>
              </w:rPr>
              <w:t>x 1292–1304</w:t>
              <w:br/>
              <w:t>y 694–704</w:t>
            </w:r>
          </w:p>
        </w:tc>
        <w:tc>
          <w:tcPr>
            <w:tcW w:type="dxa" w:w="3402"/>
          </w:tcPr>
          <w:p>
            <w:pPr>
              <w:spacing w:after="40"/>
            </w:pPr>
            <w:r>
              <w:rPr>
                <w:sz w:val="18"/>
              </w:rPr>
              <w:t>unten, rechts</w:t>
              <w:br/>
              <w:t>x 67.6–68.2 %</w:t>
              <w:br/>
              <w:t>y 76.2–77.3 %</w:t>
            </w:r>
          </w:p>
        </w:tc>
      </w:tr>
      <w:tr>
        <w:trPr>
          <w:cantSplit/>
        </w:trPr>
        <w:tc>
          <w:tcPr>
            <w:tcW w:type="dxa" w:w="3288"/>
          </w:tcPr>
          <w:p>
            <w:pPr>
              <w:spacing w:after="40"/>
            </w:pPr>
            <w:r>
              <w:rPr>
                <w:sz w:val="18"/>
              </w:rPr>
              <w:t>of</w:t>
            </w:r>
          </w:p>
        </w:tc>
        <w:tc>
          <w:tcPr>
            <w:tcW w:type="dxa" w:w="3005"/>
          </w:tcPr>
          <w:p>
            <w:pPr>
              <w:spacing w:after="40"/>
            </w:pPr>
            <w:r>
              <w:rPr>
                <w:sz w:val="18"/>
              </w:rPr>
              <w:t>x 1613–1624</w:t>
              <w:br/>
              <w:t>y 694–704</w:t>
            </w:r>
          </w:p>
        </w:tc>
        <w:tc>
          <w:tcPr>
            <w:tcW w:type="dxa" w:w="3402"/>
          </w:tcPr>
          <w:p>
            <w:pPr>
              <w:spacing w:after="40"/>
            </w:pPr>
            <w:r>
              <w:rPr>
                <w:sz w:val="18"/>
              </w:rPr>
              <w:t>unten, rechts</w:t>
              <w:br/>
              <w:t>x 84.4–84.9 %</w:t>
              <w:br/>
              <w:t>y 76.2–77.3 %</w:t>
            </w:r>
          </w:p>
        </w:tc>
      </w:tr>
      <w:tr>
        <w:trPr>
          <w:cantSplit/>
        </w:trPr>
        <w:tc>
          <w:tcPr>
            <w:tcW w:type="dxa" w:w="3288"/>
          </w:tcPr>
          <w:p>
            <w:pPr>
              <w:spacing w:after="40"/>
            </w:pPr>
            <w:r>
              <w:rPr>
                <w:sz w:val="18"/>
              </w:rPr>
              <w:t>Translation</w:t>
            </w:r>
          </w:p>
        </w:tc>
        <w:tc>
          <w:tcPr>
            <w:tcW w:type="dxa" w:w="3005"/>
          </w:tcPr>
          <w:p>
            <w:pPr>
              <w:spacing w:after="40"/>
            </w:pPr>
            <w:r>
              <w:rPr>
                <w:sz w:val="18"/>
              </w:rPr>
              <w:t>x 52–119</w:t>
              <w:br/>
              <w:t>y 725–735</w:t>
            </w:r>
          </w:p>
        </w:tc>
        <w:tc>
          <w:tcPr>
            <w:tcW w:type="dxa" w:w="3402"/>
          </w:tcPr>
          <w:p>
            <w:pPr>
              <w:spacing w:after="40"/>
            </w:pPr>
            <w:r>
              <w:rPr>
                <w:sz w:val="18"/>
              </w:rPr>
              <w:t>unten, links</w:t>
              <w:br/>
              <w:t>x 2.7–6.2 %</w:t>
              <w:br/>
              <w:t>y 79.6–80.7 %</w:t>
            </w:r>
          </w:p>
        </w:tc>
      </w:tr>
      <w:tr>
        <w:trPr>
          <w:cantSplit/>
        </w:trPr>
        <w:tc>
          <w:tcPr>
            <w:tcW w:type="dxa" w:w="3288"/>
          </w:tcPr>
          <w:p>
            <w:pPr>
              <w:spacing w:after="40"/>
            </w:pPr>
            <w:r>
              <w:rPr>
                <w:sz w:val="18"/>
              </w:rPr>
              <w:t>Transport</w:t>
            </w:r>
          </w:p>
        </w:tc>
        <w:tc>
          <w:tcPr>
            <w:tcW w:type="dxa" w:w="3005"/>
          </w:tcPr>
          <w:p>
            <w:pPr>
              <w:spacing w:after="40"/>
            </w:pPr>
            <w:r>
              <w:rPr>
                <w:sz w:val="18"/>
              </w:rPr>
              <w:t>x 52–110</w:t>
              <w:br/>
              <w:t>y 761–774</w:t>
            </w:r>
          </w:p>
        </w:tc>
        <w:tc>
          <w:tcPr>
            <w:tcW w:type="dxa" w:w="3402"/>
          </w:tcPr>
          <w:p>
            <w:pPr>
              <w:spacing w:after="40"/>
            </w:pPr>
            <w:r>
              <w:rPr>
                <w:sz w:val="18"/>
              </w:rPr>
              <w:t>unten, links</w:t>
              <w:br/>
              <w:t>x 2.7–5.8 %</w:t>
              <w:br/>
              <w:t>y 83.5–85.0 %</w:t>
            </w:r>
          </w:p>
        </w:tc>
      </w:tr>
      <w:tr>
        <w:trPr>
          <w:cantSplit/>
        </w:trPr>
        <w:tc>
          <w:tcPr>
            <w:tcW w:type="dxa" w:w="3288"/>
          </w:tcPr>
          <w:p>
            <w:pPr>
              <w:spacing w:after="40"/>
            </w:pPr>
            <w:r>
              <w:rPr>
                <w:sz w:val="18"/>
              </w:rPr>
              <w:t>Data Sharing Cockpit</w:t>
            </w:r>
          </w:p>
        </w:tc>
        <w:tc>
          <w:tcPr>
            <w:tcW w:type="dxa" w:w="3005"/>
          </w:tcPr>
          <w:p>
            <w:pPr>
              <w:spacing w:after="40"/>
            </w:pPr>
            <w:r>
              <w:rPr>
                <w:sz w:val="18"/>
              </w:rPr>
              <w:t>x 53–182</w:t>
              <w:br/>
              <w:t>y 797–810</w:t>
            </w:r>
          </w:p>
        </w:tc>
        <w:tc>
          <w:tcPr>
            <w:tcW w:type="dxa" w:w="3402"/>
          </w:tcPr>
          <w:p>
            <w:pPr>
              <w:spacing w:after="40"/>
            </w:pPr>
            <w:r>
              <w:rPr>
                <w:sz w:val="18"/>
              </w:rPr>
              <w:t>unten, links</w:t>
              <w:br/>
              <w:t>x 2.8–9.5 %</w:t>
              <w:br/>
              <w:t>y 87.5–88.9 %</w:t>
            </w:r>
          </w:p>
        </w:tc>
      </w:tr>
      <w:tr>
        <w:trPr>
          <w:cantSplit/>
        </w:trPr>
        <w:tc>
          <w:tcPr>
            <w:tcW w:type="dxa" w:w="3288"/>
          </w:tcPr>
          <w:p>
            <w:pPr>
              <w:spacing w:after="40"/>
            </w:pPr>
            <w:r>
              <w:rPr>
                <w:sz w:val="18"/>
              </w:rPr>
              <w:t>Disk for Storage:</w:t>
            </w:r>
          </w:p>
        </w:tc>
        <w:tc>
          <w:tcPr>
            <w:tcW w:type="dxa" w:w="3005"/>
          </w:tcPr>
          <w:p>
            <w:pPr>
              <w:spacing w:after="40"/>
            </w:pPr>
            <w:r>
              <w:rPr>
                <w:sz w:val="18"/>
              </w:rPr>
              <w:t>x 912–1012</w:t>
              <w:br/>
              <w:t>y 812–825</w:t>
            </w:r>
          </w:p>
        </w:tc>
        <w:tc>
          <w:tcPr>
            <w:tcW w:type="dxa" w:w="3402"/>
          </w:tcPr>
          <w:p>
            <w:pPr>
              <w:spacing w:after="40"/>
            </w:pPr>
            <w:r>
              <w:rPr>
                <w:sz w:val="18"/>
              </w:rPr>
              <w:t>unten, mittig</w:t>
              <w:br/>
              <w:t>x 47.7–52.9 %</w:t>
              <w:br/>
              <w:t>y 89.1–90.6 %</w:t>
            </w:r>
          </w:p>
        </w:tc>
      </w:tr>
      <w:tr>
        <w:trPr>
          <w:cantSplit/>
        </w:trPr>
        <w:tc>
          <w:tcPr>
            <w:tcW w:type="dxa" w:w="3288"/>
          </w:tcPr>
          <w:p>
            <w:pPr>
              <w:spacing w:after="40"/>
            </w:pPr>
            <w:r>
              <w:rPr>
                <w:sz w:val="18"/>
              </w:rPr>
              <w:t>Disk for Storage:</w:t>
            </w:r>
          </w:p>
        </w:tc>
        <w:tc>
          <w:tcPr>
            <w:tcW w:type="dxa" w:w="3005"/>
          </w:tcPr>
          <w:p>
            <w:pPr>
              <w:spacing w:after="40"/>
            </w:pPr>
            <w:r>
              <w:rPr>
                <w:sz w:val="18"/>
              </w:rPr>
              <w:t>x 1228–1328</w:t>
              <w:br/>
              <w:t>y 812–825</w:t>
            </w:r>
          </w:p>
        </w:tc>
        <w:tc>
          <w:tcPr>
            <w:tcW w:type="dxa" w:w="3402"/>
          </w:tcPr>
          <w:p>
            <w:pPr>
              <w:spacing w:after="40"/>
            </w:pPr>
            <w:r>
              <w:rPr>
                <w:sz w:val="18"/>
              </w:rPr>
              <w:t>unten, mittig</w:t>
              <w:br/>
              <w:t>x 64.2–69.5 %</w:t>
              <w:br/>
              <w:t>y 89.1–90.6 %</w:t>
            </w:r>
          </w:p>
        </w:tc>
      </w:tr>
      <w:tr>
        <w:trPr>
          <w:cantSplit/>
        </w:trPr>
        <w:tc>
          <w:tcPr>
            <w:tcW w:type="dxa" w:w="3288"/>
          </w:tcPr>
          <w:p>
            <w:pPr>
              <w:spacing w:after="40"/>
            </w:pPr>
            <w:r>
              <w:rPr>
                <w:sz w:val="18"/>
              </w:rPr>
              <w:t>Disk for Storage:</w:t>
            </w:r>
          </w:p>
        </w:tc>
        <w:tc>
          <w:tcPr>
            <w:tcW w:type="dxa" w:w="3005"/>
          </w:tcPr>
          <w:p>
            <w:pPr>
              <w:spacing w:after="40"/>
            </w:pPr>
            <w:r>
              <w:rPr>
                <w:sz w:val="18"/>
              </w:rPr>
              <w:t>x 1544–1644</w:t>
              <w:br/>
              <w:t>y 812–825</w:t>
            </w:r>
          </w:p>
        </w:tc>
        <w:tc>
          <w:tcPr>
            <w:tcW w:type="dxa" w:w="3402"/>
          </w:tcPr>
          <w:p>
            <w:pPr>
              <w:spacing w:after="40"/>
            </w:pPr>
            <w:r>
              <w:rPr>
                <w:sz w:val="18"/>
              </w:rPr>
              <w:t>unten, rechts</w:t>
              <w:br/>
              <w:t>x 80.8–86.0 %</w:t>
              <w:br/>
              <w:t>y 89.1–90.6 %</w:t>
            </w:r>
          </w:p>
        </w:tc>
      </w:tr>
      <w:tr>
        <w:trPr>
          <w:cantSplit/>
        </w:trPr>
        <w:tc>
          <w:tcPr>
            <w:tcW w:type="dxa" w:w="3288"/>
          </w:tcPr>
          <w:p>
            <w:pPr>
              <w:spacing w:after="40"/>
            </w:pPr>
            <w:r>
              <w:rPr>
                <w:sz w:val="18"/>
              </w:rPr>
              <w:t>Security</w:t>
            </w:r>
          </w:p>
        </w:tc>
        <w:tc>
          <w:tcPr>
            <w:tcW w:type="dxa" w:w="3005"/>
          </w:tcPr>
          <w:p>
            <w:pPr>
              <w:spacing w:after="40"/>
            </w:pPr>
            <w:r>
              <w:rPr>
                <w:sz w:val="18"/>
              </w:rPr>
              <w:t>x 52–102</w:t>
              <w:br/>
              <w:t>y 844–857</w:t>
            </w:r>
          </w:p>
        </w:tc>
        <w:tc>
          <w:tcPr>
            <w:tcW w:type="dxa" w:w="3402"/>
          </w:tcPr>
          <w:p>
            <w:pPr>
              <w:spacing w:after="40"/>
            </w:pPr>
            <w:r>
              <w:rPr>
                <w:sz w:val="18"/>
              </w:rPr>
              <w:t>unten, links</w:t>
              <w:br/>
              <w:t>x 2.7–5.3 %</w:t>
              <w:br/>
              <w:t>y 92.6–94.1 %</w:t>
            </w:r>
          </w:p>
        </w:tc>
      </w:tr>
      <w:tr>
        <w:trPr>
          <w:cantSplit/>
        </w:trPr>
        <w:tc>
          <w:tcPr>
            <w:tcW w:type="dxa" w:w="3288"/>
          </w:tcPr>
          <w:p>
            <w:pPr>
              <w:spacing w:after="40"/>
            </w:pPr>
            <w:r>
              <w:rPr>
                <w:sz w:val="18"/>
              </w:rPr>
              <w:t>of</w:t>
            </w:r>
          </w:p>
        </w:tc>
        <w:tc>
          <w:tcPr>
            <w:tcW w:type="dxa" w:w="3005"/>
          </w:tcPr>
          <w:p>
            <w:pPr>
              <w:spacing w:after="40"/>
            </w:pPr>
            <w:r>
              <w:rPr>
                <w:sz w:val="18"/>
              </w:rPr>
              <w:t>x 966–980</w:t>
              <w:br/>
              <w:t>y 840–850</w:t>
            </w:r>
          </w:p>
        </w:tc>
        <w:tc>
          <w:tcPr>
            <w:tcW w:type="dxa" w:w="3402"/>
          </w:tcPr>
          <w:p>
            <w:pPr>
              <w:spacing w:after="40"/>
            </w:pPr>
            <w:r>
              <w:rPr>
                <w:sz w:val="18"/>
              </w:rPr>
              <w:t>unten, mittig</w:t>
              <w:br/>
              <w:t>x 50.5–51.2 %</w:t>
              <w:br/>
              <w:t>y 92.2–93.3 %</w:t>
            </w:r>
          </w:p>
        </w:tc>
      </w:tr>
      <w:tr>
        <w:trPr>
          <w:cantSplit/>
        </w:trPr>
        <w:tc>
          <w:tcPr>
            <w:tcW w:type="dxa" w:w="3288"/>
          </w:tcPr>
          <w:p>
            <w:pPr>
              <w:spacing w:after="40"/>
            </w:pPr>
            <w:r>
              <w:rPr>
                <w:sz w:val="18"/>
              </w:rPr>
              <w:t>of</w:t>
            </w:r>
          </w:p>
        </w:tc>
        <w:tc>
          <w:tcPr>
            <w:tcW w:type="dxa" w:w="3005"/>
          </w:tcPr>
          <w:p>
            <w:pPr>
              <w:spacing w:after="40"/>
            </w:pPr>
            <w:r>
              <w:rPr>
                <w:sz w:val="18"/>
              </w:rPr>
              <w:t>x 1297–1308</w:t>
              <w:br/>
              <w:t>y 840–850</w:t>
            </w:r>
          </w:p>
        </w:tc>
        <w:tc>
          <w:tcPr>
            <w:tcW w:type="dxa" w:w="3402"/>
          </w:tcPr>
          <w:p>
            <w:pPr>
              <w:spacing w:after="40"/>
            </w:pPr>
            <w:r>
              <w:rPr>
                <w:sz w:val="18"/>
              </w:rPr>
              <w:t>unten, rechts</w:t>
              <w:br/>
              <w:t>x 67.8–68.4 %</w:t>
              <w:br/>
              <w:t>y 92.2–93.3 %</w:t>
            </w:r>
          </w:p>
        </w:tc>
      </w:tr>
      <w:tr>
        <w:trPr>
          <w:cantSplit/>
        </w:trPr>
        <w:tc>
          <w:tcPr>
            <w:tcW w:type="dxa" w:w="3288"/>
          </w:tcPr>
          <w:p>
            <w:pPr>
              <w:spacing w:after="40"/>
            </w:pPr>
            <w:r>
              <w:rPr>
                <w:sz w:val="18"/>
              </w:rPr>
              <w:t>of</w:t>
            </w:r>
          </w:p>
        </w:tc>
        <w:tc>
          <w:tcPr>
            <w:tcW w:type="dxa" w:w="3005"/>
          </w:tcPr>
          <w:p>
            <w:pPr>
              <w:spacing w:after="40"/>
            </w:pPr>
            <w:r>
              <w:rPr>
                <w:sz w:val="18"/>
              </w:rPr>
              <w:t>x 1613–1625</w:t>
              <w:br/>
              <w:t>y 840–850</w:t>
            </w:r>
          </w:p>
        </w:tc>
        <w:tc>
          <w:tcPr>
            <w:tcW w:type="dxa" w:w="3402"/>
          </w:tcPr>
          <w:p>
            <w:pPr>
              <w:spacing w:after="40"/>
            </w:pPr>
            <w:r>
              <w:rPr>
                <w:sz w:val="18"/>
              </w:rPr>
              <w:t>unten, rechts</w:t>
              <w:br/>
              <w:t>x 84.4–85.0 %</w:t>
              <w:br/>
              <w:t>y 92.2–93.3 %</w:t>
            </w:r>
          </w:p>
        </w:tc>
      </w:tr>
      <w:tr>
        <w:trPr>
          <w:cantSplit/>
        </w:trPr>
        <w:tc>
          <w:tcPr>
            <w:tcW w:type="dxa" w:w="3288"/>
          </w:tcPr>
          <w:p>
            <w:pPr>
              <w:spacing w:after="40"/>
            </w:pPr>
            <w:r>
              <w:rPr>
                <w:sz w:val="18"/>
              </w:rPr>
              <w:t>MB</w:t>
            </w:r>
          </w:p>
        </w:tc>
        <w:tc>
          <w:tcPr>
            <w:tcW w:type="dxa" w:w="3005"/>
          </w:tcPr>
          <w:p>
            <w:pPr>
              <w:spacing w:after="40"/>
            </w:pPr>
            <w:r>
              <w:rPr>
                <w:sz w:val="18"/>
              </w:rPr>
              <w:t>x 1660–1676</w:t>
              <w:br/>
              <w:t>y 840–850</w:t>
            </w:r>
          </w:p>
        </w:tc>
        <w:tc>
          <w:tcPr>
            <w:tcW w:type="dxa" w:w="3402"/>
          </w:tcPr>
          <w:p>
            <w:pPr>
              <w:spacing w:after="40"/>
            </w:pPr>
            <w:r>
              <w:rPr>
                <w:sz w:val="18"/>
              </w:rPr>
              <w:t>unten, rechts</w:t>
              <w:br/>
              <w:t>x 86.8–87.7 %</w:t>
              <w:br/>
              <w:t>y 92.2–93.3 %</w:t>
            </w:r>
          </w:p>
        </w:tc>
      </w:tr>
      <w:tr>
        <w:trPr>
          <w:cantSplit/>
        </w:trPr>
        <w:tc>
          <w:tcPr>
            <w:tcW w:type="dxa" w:w="3288"/>
          </w:tcPr>
          <w:p>
            <w:pPr>
              <w:spacing w:after="40"/>
            </w:pPr>
            <w:r>
              <w:rPr>
                <w:sz w:val="18"/>
              </w:rPr>
              <w:t>System</w:t>
            </w:r>
          </w:p>
        </w:tc>
        <w:tc>
          <w:tcPr>
            <w:tcW w:type="dxa" w:w="3005"/>
          </w:tcPr>
          <w:p>
            <w:pPr>
              <w:spacing w:after="40"/>
            </w:pPr>
            <w:r>
              <w:rPr>
                <w:sz w:val="18"/>
              </w:rPr>
              <w:t>x 52–97</w:t>
              <w:br/>
              <w:t>y 880–893</w:t>
            </w:r>
          </w:p>
        </w:tc>
        <w:tc>
          <w:tcPr>
            <w:tcW w:type="dxa" w:w="3402"/>
          </w:tcPr>
          <w:p>
            <w:pPr>
              <w:spacing w:after="40"/>
            </w:pPr>
            <w:r>
              <w:rPr>
                <w:sz w:val="18"/>
              </w:rPr>
              <w:t>unten, links</w:t>
              <w:br/>
              <w:t>x 2.7–5.1 %</w:t>
              <w:br/>
              <w:t>y 96.6–98.0 %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9: Data Builder: Space-Auswahl</w:t>
      </w:r>
    </w:p>
    <w:p>
      <w:r>
        <w:t>Bildformat: 1911 × 914 Pixel. Die folgenden Positionen beziehen sich auf dieses vollständige Bild.</w:t>
      </w:r>
    </w:p>
    <w:p>
      <w:pPr>
        <w:pStyle w:val="Heading2"/>
      </w:pPr>
      <w:r>
        <w:t>1. Gesamtaufbau und sichtbarer Zustand</w:t>
      </w:r>
    </w:p>
    <w:p>
      <w:pPr>
        <w:pStyle w:val="Heading3"/>
      </w:pPr>
      <w:r>
        <w:t>Gesamtansicht</w:t>
      </w:r>
    </w:p>
    <w:p>
      <w:r>
        <w:t>Der Hauptbereich beginnt mit „Welcome to the Data Builder“. Darunter steht ein kurzer Text zu Views, Tabellen und Entity-Relationship-Modellen. Anschließend folgt eine Übersicht von Space-Karten.</w:t>
      </w:r>
    </w:p>
    <w:p>
      <w:pPr>
        <w:pStyle w:val="Heading3"/>
      </w:pPr>
      <w:r>
        <w:t>Navigation und Kopfbereich</w:t>
      </w:r>
    </w:p>
    <w:p>
      <w:r>
        <w:t>Links steht die globale Navigation. Unter der Begrüßung befindet sich die Überschrift „Spaces“. Ein Suchfeld liegt oberhalb der Karten im rechten Teil des Hauptbereichs.</w:t>
      </w:r>
    </w:p>
    <w:p>
      <w:pPr>
        <w:pStyle w:val="Heading3"/>
      </w:pPr>
      <w:r>
        <w:t>Karten und räumliche Anordnung</w:t>
      </w:r>
    </w:p>
    <w:p>
      <w:r>
        <w:t>Die Karten sind in mehreren Reihen und Spalten angeordnet. Jede Karte enthält einen oberen Titelbereich und darunter Speicherinformationen mit „Disk for Storage“. Einheiten wie MB und GB bleiben sichtbar. Die Karten sind durch helle Rahmen, abgerundete Ecken und regelmäßige Abstände voneinander getrennt.</w:t>
      </w:r>
    </w:p>
    <w:p>
      <w:pPr>
        <w:pStyle w:val="Heading3"/>
      </w:pPr>
      <w:r>
        <w:t>Sichtbarer Zustand</w:t>
      </w:r>
    </w:p>
    <w:p>
      <w:r>
        <w:t>Der Screenshot zeigt noch keine geöffnete Tabelle, View oder Modellierungsfläche. Die Auswahlübersicht füllt fast den gesamten Hauptbereich. Weitere Karten sind am unteren Rand nur teilweise sichtbar. Ein Dialog oder ein seitliches Detailfenster ist nicht eingeblendet.</w:t>
      </w:r>
    </w:p>
    <w:p>
      <w:pPr>
        <w:pStyle w:val="Heading2"/>
      </w:pPr>
      <w:r>
        <w:t>2. Räumliche Beschreibung von oben nach unten</w:t>
      </w:r>
    </w:p>
    <w:p>
      <w:pPr>
        <w:pStyle w:val="Heading3"/>
      </w:pPr>
      <w:r>
        <w:t>Kopfbereich</w:t>
      </w:r>
    </w:p>
    <w:p>
      <w:r>
        <w:rPr>
          <w:b/>
        </w:rPr>
        <w:t xml:space="preserve">Ungefähre Bildregion: </w:t>
      </w:r>
      <w:r>
        <w:t>x 16–97 %, y 10–25 %</w:t>
      </w:r>
    </w:p>
    <w:p>
      <w:r>
        <w:t>Welcome to the Data Builder steht links oben im Hauptbereich. Der Beschreibungssatz liegt darunter. Spaces und das Suchfeld bilden die Zeile direkt oberhalb der Karten.</w:t>
      </w:r>
    </w:p>
    <w:p>
      <w:pPr>
        <w:pStyle w:val="Heading3"/>
      </w:pPr>
      <w:r>
        <w:t>Auswahlkarten</w:t>
      </w:r>
    </w:p>
    <w:p>
      <w:r>
        <w:rPr>
          <w:b/>
        </w:rPr>
        <w:t xml:space="preserve">Ungefähre Bildregion: </w:t>
      </w:r>
      <w:r>
        <w:t>x 16–97 %, y 26–100 %</w:t>
      </w:r>
    </w:p>
    <w:p>
      <w:r>
        <w:t>Drei Spalten mit wiederkehrenden Karten. Jede Karte zeigt einen oberen Titelbereich, kleine grafische Elemente und darunter Disk for Storage. Die unteren Reihen reichen über den sichtbaren Bildausschnitt hinaus.</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Data Builder</w:t>
            </w:r>
          </w:p>
        </w:tc>
        <w:tc>
          <w:tcPr>
            <w:tcW w:type="dxa" w:w="3005"/>
          </w:tcPr>
          <w:p>
            <w:pPr>
              <w:spacing w:after="40"/>
            </w:pPr>
            <w:r>
              <w:rPr>
                <w:sz w:val="18"/>
              </w:rPr>
              <w:t>x 226–307</w:t>
              <w:br/>
              <w:t>y 55–65</w:t>
            </w:r>
          </w:p>
        </w:tc>
        <w:tc>
          <w:tcPr>
            <w:tcW w:type="dxa" w:w="3402"/>
          </w:tcPr>
          <w:p>
            <w:pPr>
              <w:spacing w:after="40"/>
            </w:pPr>
            <w:r>
              <w:rPr>
                <w:sz w:val="18"/>
              </w:rPr>
              <w:t>oben, links</w:t>
              <w:br/>
              <w:t>x 11.8–16.1 %</w:t>
              <w:br/>
              <w:t>y 6.0–7.1 %</w:t>
            </w:r>
          </w:p>
        </w:tc>
      </w:tr>
      <w:tr>
        <w:trPr>
          <w:cantSplit/>
        </w:trPr>
        <w:tc>
          <w:tcPr>
            <w:tcW w:type="dxa" w:w="3288"/>
          </w:tcPr>
          <w:p>
            <w:pPr>
              <w:spacing w:after="40"/>
            </w:pPr>
            <w:r>
              <w:rPr>
                <w:sz w:val="18"/>
              </w:rPr>
              <w:t>System and Spaces</w:t>
            </w:r>
          </w:p>
        </w:tc>
        <w:tc>
          <w:tcPr>
            <w:tcW w:type="dxa" w:w="3005"/>
          </w:tcPr>
          <w:p>
            <w:pPr>
              <w:spacing w:after="40"/>
            </w:pPr>
            <w:r>
              <w:rPr>
                <w:sz w:val="18"/>
              </w:rPr>
              <w:t>x 51–171</w:t>
              <w:br/>
              <w:t>y 116–129</w:t>
            </w:r>
          </w:p>
        </w:tc>
        <w:tc>
          <w:tcPr>
            <w:tcW w:type="dxa" w:w="3402"/>
          </w:tcPr>
          <w:p>
            <w:pPr>
              <w:spacing w:after="40"/>
            </w:pPr>
            <w:r>
              <w:rPr>
                <w:sz w:val="18"/>
              </w:rPr>
              <w:t>oben, links</w:t>
              <w:br/>
              <w:t>x 2.7–8.9 %</w:t>
              <w:br/>
              <w:t>y 12.7–14.1 %</w:t>
            </w:r>
          </w:p>
        </w:tc>
      </w:tr>
      <w:tr>
        <w:trPr>
          <w:cantSplit/>
        </w:trPr>
        <w:tc>
          <w:tcPr>
            <w:tcW w:type="dxa" w:w="3288"/>
          </w:tcPr>
          <w:p>
            <w:pPr>
              <w:spacing w:after="40"/>
            </w:pPr>
            <w:r>
              <w:rPr>
                <w:sz w:val="18"/>
              </w:rPr>
              <w:t>Welcome to the Data Builder</w:t>
            </w:r>
          </w:p>
        </w:tc>
        <w:tc>
          <w:tcPr>
            <w:tcW w:type="dxa" w:w="3005"/>
          </w:tcPr>
          <w:p>
            <w:pPr>
              <w:spacing w:after="40"/>
            </w:pPr>
            <w:r>
              <w:rPr>
                <w:sz w:val="18"/>
              </w:rPr>
              <w:t>x 306–647</w:t>
              <w:br/>
              <w:t>y 143–162</w:t>
            </w:r>
          </w:p>
        </w:tc>
        <w:tc>
          <w:tcPr>
            <w:tcW w:type="dxa" w:w="3402"/>
          </w:tcPr>
          <w:p>
            <w:pPr>
              <w:spacing w:after="40"/>
            </w:pPr>
            <w:r>
              <w:rPr>
                <w:sz w:val="18"/>
              </w:rPr>
              <w:t>oben, links</w:t>
              <w:br/>
              <w:t>x 16.0–33.9 %</w:t>
              <w:br/>
              <w:t>y 15.6–17.7 %</w:t>
            </w:r>
          </w:p>
        </w:tc>
      </w:tr>
      <w:tr>
        <w:trPr>
          <w:cantSplit/>
        </w:trPr>
        <w:tc>
          <w:tcPr>
            <w:tcW w:type="dxa" w:w="3288"/>
          </w:tcPr>
          <w:p>
            <w:pPr>
              <w:spacing w:after="40"/>
            </w:pPr>
            <w:r>
              <w:rPr>
                <w:sz w:val="18"/>
              </w:rPr>
              <w:t>Capacities</w:t>
            </w:r>
          </w:p>
        </w:tc>
        <w:tc>
          <w:tcPr>
            <w:tcW w:type="dxa" w:w="3005"/>
          </w:tcPr>
          <w:p>
            <w:pPr>
              <w:spacing w:after="40"/>
            </w:pPr>
            <w:r>
              <w:rPr>
                <w:sz w:val="18"/>
              </w:rPr>
              <w:t>x 50–114</w:t>
              <w:br/>
              <w:t>y 152–165</w:t>
            </w:r>
          </w:p>
        </w:tc>
        <w:tc>
          <w:tcPr>
            <w:tcW w:type="dxa" w:w="3402"/>
          </w:tcPr>
          <w:p>
            <w:pPr>
              <w:spacing w:after="40"/>
            </w:pPr>
            <w:r>
              <w:rPr>
                <w:sz w:val="18"/>
              </w:rPr>
              <w:t>oben, links</w:t>
              <w:br/>
              <w:t>x 2.6–6.0 %</w:t>
              <w:br/>
              <w:t>y 16.6–18.1 %</w:t>
            </w:r>
          </w:p>
        </w:tc>
      </w:tr>
      <w:tr>
        <w:trPr>
          <w:cantSplit/>
        </w:trPr>
        <w:tc>
          <w:tcPr>
            <w:tcW w:type="dxa" w:w="3288"/>
          </w:tcPr>
          <w:p>
            <w:pPr>
              <w:spacing w:after="40"/>
            </w:pPr>
            <w:r>
              <w:rPr>
                <w:sz w:val="18"/>
              </w:rPr>
              <w:t>views</w:t>
            </w:r>
          </w:p>
        </w:tc>
        <w:tc>
          <w:tcPr>
            <w:tcW w:type="dxa" w:w="3005"/>
          </w:tcPr>
          <w:p>
            <w:pPr>
              <w:spacing w:after="40"/>
            </w:pPr>
            <w:r>
              <w:rPr>
                <w:sz w:val="18"/>
              </w:rPr>
              <w:t>x 351–385</w:t>
              <w:br/>
              <w:t>y 182–192</w:t>
            </w:r>
          </w:p>
        </w:tc>
        <w:tc>
          <w:tcPr>
            <w:tcW w:type="dxa" w:w="3402"/>
          </w:tcPr>
          <w:p>
            <w:pPr>
              <w:spacing w:after="40"/>
            </w:pPr>
            <w:r>
              <w:rPr>
                <w:sz w:val="18"/>
              </w:rPr>
              <w:t>oben, links</w:t>
              <w:br/>
              <w:t>x 18.4–20.1 %</w:t>
              <w:br/>
              <w:t>y 20.0–21.0 %</w:t>
            </w:r>
          </w:p>
        </w:tc>
      </w:tr>
      <w:tr>
        <w:trPr>
          <w:cantSplit/>
        </w:trPr>
        <w:tc>
          <w:tcPr>
            <w:tcW w:type="dxa" w:w="3288"/>
          </w:tcPr>
          <w:p>
            <w:pPr>
              <w:spacing w:after="40"/>
            </w:pPr>
            <w:r>
              <w:rPr>
                <w:sz w:val="18"/>
              </w:rPr>
              <w:t>tables</w:t>
            </w:r>
          </w:p>
        </w:tc>
        <w:tc>
          <w:tcPr>
            <w:tcW w:type="dxa" w:w="3005"/>
          </w:tcPr>
          <w:p>
            <w:pPr>
              <w:spacing w:after="40"/>
            </w:pPr>
            <w:r>
              <w:rPr>
                <w:sz w:val="18"/>
              </w:rPr>
              <w:t>x 416–453</w:t>
              <w:br/>
              <w:t>y 182–192</w:t>
            </w:r>
          </w:p>
        </w:tc>
        <w:tc>
          <w:tcPr>
            <w:tcW w:type="dxa" w:w="3402"/>
          </w:tcPr>
          <w:p>
            <w:pPr>
              <w:spacing w:after="40"/>
            </w:pPr>
            <w:r>
              <w:rPr>
                <w:sz w:val="18"/>
              </w:rPr>
              <w:t>oben, links</w:t>
              <w:br/>
              <w:t>x 21.8–23.7 %</w:t>
              <w:br/>
              <w:t>y 19.9–21.0 %</w:t>
            </w:r>
          </w:p>
        </w:tc>
      </w:tr>
      <w:tr>
        <w:trPr>
          <w:cantSplit/>
        </w:trPr>
        <w:tc>
          <w:tcPr>
            <w:tcW w:type="dxa" w:w="3288"/>
          </w:tcPr>
          <w:p>
            <w:pPr>
              <w:spacing w:after="40"/>
            </w:pPr>
            <w:r>
              <w:rPr>
                <w:sz w:val="18"/>
              </w:rPr>
              <w:t>Task Logs</w:t>
            </w:r>
          </w:p>
        </w:tc>
        <w:tc>
          <w:tcPr>
            <w:tcW w:type="dxa" w:w="3005"/>
          </w:tcPr>
          <w:p>
            <w:pPr>
              <w:spacing w:after="40"/>
            </w:pPr>
            <w:r>
              <w:rPr>
                <w:sz w:val="18"/>
              </w:rPr>
              <w:t>x 50–110</w:t>
              <w:br/>
              <w:t>y 188–201</w:t>
            </w:r>
          </w:p>
        </w:tc>
        <w:tc>
          <w:tcPr>
            <w:tcW w:type="dxa" w:w="3402"/>
          </w:tcPr>
          <w:p>
            <w:pPr>
              <w:spacing w:after="40"/>
            </w:pPr>
            <w:r>
              <w:rPr>
                <w:sz w:val="18"/>
              </w:rPr>
              <w:t>oben, links</w:t>
              <w:br/>
              <w:t>x 2.6–5.8 %</w:t>
              <w:br/>
              <w:t>y 20.6–22.0 %</w:t>
            </w:r>
          </w:p>
        </w:tc>
      </w:tr>
      <w:tr>
        <w:trPr>
          <w:cantSplit/>
        </w:trPr>
        <w:tc>
          <w:tcPr>
            <w:tcW w:type="dxa" w:w="3288"/>
          </w:tcPr>
          <w:p>
            <w:pPr>
              <w:spacing w:after="40"/>
            </w:pPr>
            <w:r>
              <w:rPr>
                <w:sz w:val="18"/>
              </w:rPr>
              <w:t>Expensive Statement Logs</w:t>
            </w:r>
          </w:p>
        </w:tc>
        <w:tc>
          <w:tcPr>
            <w:tcW w:type="dxa" w:w="3005"/>
          </w:tcPr>
          <w:p>
            <w:pPr>
              <w:spacing w:after="40"/>
            </w:pPr>
            <w:r>
              <w:rPr>
                <w:sz w:val="18"/>
              </w:rPr>
              <w:t>x 51–213</w:t>
              <w:br/>
              <w:t>y 224–237</w:t>
            </w:r>
          </w:p>
        </w:tc>
        <w:tc>
          <w:tcPr>
            <w:tcW w:type="dxa" w:w="3402"/>
          </w:tcPr>
          <w:p>
            <w:pPr>
              <w:spacing w:after="40"/>
            </w:pPr>
            <w:r>
              <w:rPr>
                <w:sz w:val="18"/>
              </w:rPr>
              <w:t>oben, links</w:t>
              <w:br/>
              <w:t>x 2.7–11.1 %</w:t>
              <w:br/>
              <w:t>y 24.5–25.9 %</w:t>
            </w:r>
          </w:p>
        </w:tc>
      </w:tr>
      <w:tr>
        <w:trPr>
          <w:cantSplit/>
        </w:trPr>
        <w:tc>
          <w:tcPr>
            <w:tcW w:type="dxa" w:w="3288"/>
          </w:tcPr>
          <w:p>
            <w:pPr>
              <w:spacing w:after="40"/>
            </w:pPr>
            <w:r>
              <w:rPr>
                <w:sz w:val="18"/>
              </w:rPr>
              <w:t>Elastic Compute Nodes</w:t>
            </w:r>
          </w:p>
        </w:tc>
        <w:tc>
          <w:tcPr>
            <w:tcW w:type="dxa" w:w="3005"/>
          </w:tcPr>
          <w:p>
            <w:pPr>
              <w:spacing w:after="40"/>
            </w:pPr>
            <w:r>
              <w:rPr>
                <w:sz w:val="18"/>
              </w:rPr>
              <w:t>x 51–194</w:t>
              <w:br/>
              <w:t>y 260–273</w:t>
            </w:r>
          </w:p>
        </w:tc>
        <w:tc>
          <w:tcPr>
            <w:tcW w:type="dxa" w:w="3402"/>
          </w:tcPr>
          <w:p>
            <w:pPr>
              <w:spacing w:after="40"/>
            </w:pPr>
            <w:r>
              <w:rPr>
                <w:sz w:val="18"/>
              </w:rPr>
              <w:t>oben, links</w:t>
              <w:br/>
              <w:t>x 2.7–10.2 %</w:t>
              <w:br/>
              <w:t>y 28.4–29.9 %</w:t>
            </w:r>
          </w:p>
        </w:tc>
      </w:tr>
      <w:tr>
        <w:trPr>
          <w:cantSplit/>
        </w:trPr>
        <w:tc>
          <w:tcPr>
            <w:tcW w:type="dxa" w:w="3288"/>
          </w:tcPr>
          <w:p>
            <w:pPr>
              <w:spacing w:after="40"/>
            </w:pPr>
            <w:r>
              <w:rPr>
                <w:sz w:val="18"/>
              </w:rPr>
              <w:t>Spaces</w:t>
            </w:r>
          </w:p>
        </w:tc>
        <w:tc>
          <w:tcPr>
            <w:tcW w:type="dxa" w:w="3005"/>
          </w:tcPr>
          <w:p>
            <w:pPr>
              <w:spacing w:after="40"/>
            </w:pPr>
            <w:r>
              <w:rPr>
                <w:sz w:val="18"/>
              </w:rPr>
              <w:t>x 885–948</w:t>
              <w:br/>
              <w:t>y 263–281</w:t>
            </w:r>
          </w:p>
        </w:tc>
        <w:tc>
          <w:tcPr>
            <w:tcW w:type="dxa" w:w="3402"/>
          </w:tcPr>
          <w:p>
            <w:pPr>
              <w:spacing w:after="40"/>
            </w:pPr>
            <w:r>
              <w:rPr>
                <w:sz w:val="18"/>
              </w:rPr>
              <w:t>oben, mittig</w:t>
              <w:br/>
              <w:t>x 46.3–49.6 %</w:t>
              <w:br/>
              <w:t>y 28.8–30.7 %</w:t>
            </w:r>
          </w:p>
        </w:tc>
      </w:tr>
      <w:tr>
        <w:trPr>
          <w:cantSplit/>
        </w:trPr>
        <w:tc>
          <w:tcPr>
            <w:tcW w:type="dxa" w:w="3288"/>
          </w:tcPr>
          <w:p>
            <w:pPr>
              <w:spacing w:after="40"/>
            </w:pPr>
            <w:r>
              <w:rPr>
                <w:sz w:val="18"/>
              </w:rPr>
              <w:t>search</w:t>
            </w:r>
          </w:p>
        </w:tc>
        <w:tc>
          <w:tcPr>
            <w:tcW w:type="dxa" w:w="3005"/>
          </w:tcPr>
          <w:p>
            <w:pPr>
              <w:spacing w:after="40"/>
            </w:pPr>
            <w:r>
              <w:rPr>
                <w:sz w:val="18"/>
              </w:rPr>
              <w:t>x 1677–1719</w:t>
              <w:br/>
              <w:t>y 259–275</w:t>
            </w:r>
          </w:p>
        </w:tc>
        <w:tc>
          <w:tcPr>
            <w:tcW w:type="dxa" w:w="3402"/>
          </w:tcPr>
          <w:p>
            <w:pPr>
              <w:spacing w:after="40"/>
            </w:pPr>
            <w:r>
              <w:rPr>
                <w:sz w:val="18"/>
              </w:rPr>
              <w:t>oben, rechts</w:t>
              <w:br/>
              <w:t>x 87.8–90.0 %</w:t>
              <w:br/>
              <w:t>y 28.3–30.1 %</w:t>
            </w:r>
          </w:p>
        </w:tc>
      </w:tr>
      <w:tr>
        <w:trPr>
          <w:cantSplit/>
        </w:trPr>
        <w:tc>
          <w:tcPr>
            <w:tcW w:type="dxa" w:w="3288"/>
          </w:tcPr>
          <w:p>
            <w:pPr>
              <w:spacing w:after="40"/>
            </w:pPr>
            <w:r>
              <w:rPr>
                <w:sz w:val="18"/>
              </w:rPr>
              <w:t>Data Integration</w:t>
            </w:r>
          </w:p>
        </w:tc>
        <w:tc>
          <w:tcPr>
            <w:tcW w:type="dxa" w:w="3005"/>
          </w:tcPr>
          <w:p>
            <w:pPr>
              <w:spacing w:after="40"/>
            </w:pPr>
            <w:r>
              <w:rPr>
                <w:sz w:val="18"/>
              </w:rPr>
              <w:t>x 51–148</w:t>
              <w:br/>
              <w:t>y 296–309</w:t>
            </w:r>
          </w:p>
        </w:tc>
        <w:tc>
          <w:tcPr>
            <w:tcW w:type="dxa" w:w="3402"/>
          </w:tcPr>
          <w:p>
            <w:pPr>
              <w:spacing w:after="40"/>
            </w:pPr>
            <w:r>
              <w:rPr>
                <w:sz w:val="18"/>
              </w:rPr>
              <w:t>auf mittlerer Höhe, links</w:t>
              <w:br/>
              <w:t>x 2.7–7.7 %</w:t>
              <w:br/>
              <w:t>y 32.4–33.8 %</w:t>
            </w:r>
          </w:p>
        </w:tc>
      </w:tr>
      <w:tr>
        <w:trPr>
          <w:cantSplit/>
        </w:trPr>
        <w:tc>
          <w:tcPr>
            <w:tcW w:type="dxa" w:w="3288"/>
          </w:tcPr>
          <w:p>
            <w:pPr>
              <w:spacing w:after="40"/>
            </w:pPr>
            <w:r>
              <w:rPr>
                <w:sz w:val="18"/>
              </w:rPr>
              <w:t>Disk for Storage:</w:t>
            </w:r>
          </w:p>
        </w:tc>
        <w:tc>
          <w:tcPr>
            <w:tcW w:type="dxa" w:w="3005"/>
          </w:tcPr>
          <w:p>
            <w:pPr>
              <w:spacing w:after="40"/>
            </w:pPr>
            <w:r>
              <w:rPr>
                <w:sz w:val="18"/>
              </w:rPr>
              <w:t>x 910–1010</w:t>
              <w:br/>
              <w:t>y 377–390</w:t>
            </w:r>
          </w:p>
        </w:tc>
        <w:tc>
          <w:tcPr>
            <w:tcW w:type="dxa" w:w="3402"/>
          </w:tcPr>
          <w:p>
            <w:pPr>
              <w:spacing w:after="40"/>
            </w:pPr>
            <w:r>
              <w:rPr>
                <w:sz w:val="18"/>
              </w:rPr>
              <w:t>auf mittlerer Höhe, mittig</w:t>
              <w:br/>
              <w:t>x 47.6–52.9 %</w:t>
              <w:br/>
              <w:t>y 41.2–42.7 %</w:t>
            </w:r>
          </w:p>
        </w:tc>
      </w:tr>
      <w:tr>
        <w:trPr>
          <w:cantSplit/>
        </w:trPr>
        <w:tc>
          <w:tcPr>
            <w:tcW w:type="dxa" w:w="3288"/>
          </w:tcPr>
          <w:p>
            <w:pPr>
              <w:spacing w:after="40"/>
            </w:pPr>
            <w:r>
              <w:rPr>
                <w:sz w:val="18"/>
              </w:rPr>
              <w:t>Disk for Storage:</w:t>
            </w:r>
          </w:p>
        </w:tc>
        <w:tc>
          <w:tcPr>
            <w:tcW w:type="dxa" w:w="3005"/>
          </w:tcPr>
          <w:p>
            <w:pPr>
              <w:spacing w:after="40"/>
            </w:pPr>
            <w:r>
              <w:rPr>
                <w:sz w:val="18"/>
              </w:rPr>
              <w:t>x 1226–1326</w:t>
              <w:br/>
              <w:t>y 377–390</w:t>
            </w:r>
          </w:p>
        </w:tc>
        <w:tc>
          <w:tcPr>
            <w:tcW w:type="dxa" w:w="3402"/>
          </w:tcPr>
          <w:p>
            <w:pPr>
              <w:spacing w:after="40"/>
            </w:pPr>
            <w:r>
              <w:rPr>
                <w:sz w:val="18"/>
              </w:rPr>
              <w:t>auf mittlerer Höhe, mittig</w:t>
              <w:br/>
              <w:t>x 64.2–69.4 %</w:t>
              <w:br/>
              <w:t>y 41.2–42.7 %</w:t>
            </w:r>
          </w:p>
        </w:tc>
      </w:tr>
      <w:tr>
        <w:trPr>
          <w:cantSplit/>
        </w:trPr>
        <w:tc>
          <w:tcPr>
            <w:tcW w:type="dxa" w:w="3288"/>
          </w:tcPr>
          <w:p>
            <w:pPr>
              <w:spacing w:after="40"/>
            </w:pPr>
            <w:r>
              <w:rPr>
                <w:sz w:val="18"/>
              </w:rPr>
              <w:t>Disk for Storage:</w:t>
            </w:r>
          </w:p>
        </w:tc>
        <w:tc>
          <w:tcPr>
            <w:tcW w:type="dxa" w:w="3005"/>
          </w:tcPr>
          <w:p>
            <w:pPr>
              <w:spacing w:after="40"/>
            </w:pPr>
            <w:r>
              <w:rPr>
                <w:sz w:val="18"/>
              </w:rPr>
              <w:t>x 1542–1642</w:t>
              <w:br/>
              <w:t>y 377–390</w:t>
            </w:r>
          </w:p>
        </w:tc>
        <w:tc>
          <w:tcPr>
            <w:tcW w:type="dxa" w:w="3402"/>
          </w:tcPr>
          <w:p>
            <w:pPr>
              <w:spacing w:after="40"/>
            </w:pPr>
            <w:r>
              <w:rPr>
                <w:sz w:val="18"/>
              </w:rPr>
              <w:t>auf mittlerer Höhe, rechts</w:t>
              <w:br/>
              <w:t>x 80.7–85.9 %</w:t>
              <w:br/>
              <w:t>y 41.2–42.7 %</w:t>
            </w:r>
          </w:p>
        </w:tc>
      </w:tr>
      <w:tr>
        <w:trPr>
          <w:cantSplit/>
        </w:trPr>
        <w:tc>
          <w:tcPr>
            <w:tcW w:type="dxa" w:w="3288"/>
          </w:tcPr>
          <w:p>
            <w:pPr>
              <w:spacing w:after="40"/>
            </w:pPr>
            <w:r>
              <w:rPr>
                <w:sz w:val="18"/>
              </w:rPr>
              <w:t>Search</w:t>
            </w:r>
          </w:p>
        </w:tc>
        <w:tc>
          <w:tcPr>
            <w:tcW w:type="dxa" w:w="3005"/>
          </w:tcPr>
          <w:p>
            <w:pPr>
              <w:spacing w:after="40"/>
            </w:pPr>
            <w:r>
              <w:rPr>
                <w:sz w:val="18"/>
              </w:rPr>
              <w:t>x 51–92</w:t>
              <w:br/>
              <w:t>y 384–394</w:t>
            </w:r>
          </w:p>
        </w:tc>
        <w:tc>
          <w:tcPr>
            <w:tcW w:type="dxa" w:w="3402"/>
          </w:tcPr>
          <w:p>
            <w:pPr>
              <w:spacing w:after="40"/>
            </w:pPr>
            <w:r>
              <w:rPr>
                <w:sz w:val="18"/>
              </w:rPr>
              <w:t>auf mittlerer Höhe, links</w:t>
              <w:br/>
              <w:t>x 2.7–4.8 %</w:t>
              <w:br/>
              <w:t>y 42.0–43.1 %</w:t>
            </w:r>
          </w:p>
        </w:tc>
      </w:tr>
      <w:tr>
        <w:trPr>
          <w:cantSplit/>
        </w:trPr>
        <w:tc>
          <w:tcPr>
            <w:tcW w:type="dxa" w:w="3288"/>
          </w:tcPr>
          <w:p>
            <w:pPr>
              <w:spacing w:after="40"/>
            </w:pPr>
            <w:r>
              <w:rPr>
                <w:sz w:val="18"/>
              </w:rPr>
              <w:t>of</w:t>
            </w:r>
          </w:p>
        </w:tc>
        <w:tc>
          <w:tcPr>
            <w:tcW w:type="dxa" w:w="3005"/>
          </w:tcPr>
          <w:p>
            <w:pPr>
              <w:spacing w:after="40"/>
            </w:pPr>
            <w:r>
              <w:rPr>
                <w:sz w:val="18"/>
              </w:rPr>
              <w:t>x 966–982</w:t>
              <w:br/>
              <w:t>y 398–420</w:t>
            </w:r>
          </w:p>
        </w:tc>
        <w:tc>
          <w:tcPr>
            <w:tcW w:type="dxa" w:w="3402"/>
          </w:tcPr>
          <w:p>
            <w:pPr>
              <w:spacing w:after="40"/>
            </w:pPr>
            <w:r>
              <w:rPr>
                <w:sz w:val="18"/>
              </w:rPr>
              <w:t>auf mittlerer Höhe, mittig</w:t>
              <w:br/>
              <w:t>x 50.5–51.4 %</w:t>
              <w:br/>
              <w:t>y 43.5–46.0 %</w:t>
            </w:r>
          </w:p>
        </w:tc>
      </w:tr>
      <w:tr>
        <w:trPr>
          <w:cantSplit/>
        </w:trPr>
        <w:tc>
          <w:tcPr>
            <w:tcW w:type="dxa" w:w="3288"/>
          </w:tcPr>
          <w:p>
            <w:pPr>
              <w:spacing w:after="40"/>
            </w:pPr>
            <w:r>
              <w:rPr>
                <w:sz w:val="18"/>
              </w:rPr>
              <w:t>of</w:t>
            </w:r>
          </w:p>
        </w:tc>
        <w:tc>
          <w:tcPr>
            <w:tcW w:type="dxa" w:w="3005"/>
          </w:tcPr>
          <w:p>
            <w:pPr>
              <w:spacing w:after="40"/>
            </w:pPr>
            <w:r>
              <w:rPr>
                <w:sz w:val="18"/>
              </w:rPr>
              <w:t>x 1280–1294</w:t>
              <w:br/>
              <w:t>y 405–415</w:t>
            </w:r>
          </w:p>
        </w:tc>
        <w:tc>
          <w:tcPr>
            <w:tcW w:type="dxa" w:w="3402"/>
          </w:tcPr>
          <w:p>
            <w:pPr>
              <w:spacing w:after="40"/>
            </w:pPr>
            <w:r>
              <w:rPr>
                <w:sz w:val="18"/>
              </w:rPr>
              <w:t>auf mittlerer Höhe, rechts</w:t>
              <w:br/>
              <w:t>x 67.0–67.7 %</w:t>
              <w:br/>
              <w:t>y 44.3–45.4 %</w:t>
            </w:r>
          </w:p>
        </w:tc>
      </w:tr>
      <w:tr>
        <w:trPr>
          <w:cantSplit/>
        </w:trPr>
        <w:tc>
          <w:tcPr>
            <w:tcW w:type="dxa" w:w="3288"/>
          </w:tcPr>
          <w:p>
            <w:pPr>
              <w:spacing w:after="40"/>
            </w:pPr>
            <w:r>
              <w:rPr>
                <w:sz w:val="18"/>
              </w:rPr>
              <w:t>of</w:t>
            </w:r>
          </w:p>
        </w:tc>
        <w:tc>
          <w:tcPr>
            <w:tcW w:type="dxa" w:w="3005"/>
          </w:tcPr>
          <w:p>
            <w:pPr>
              <w:spacing w:after="40"/>
            </w:pPr>
            <w:r>
              <w:rPr>
                <w:sz w:val="18"/>
              </w:rPr>
              <w:t>x 1606–1618</w:t>
              <w:br/>
              <w:t>y 405–415</w:t>
            </w:r>
          </w:p>
        </w:tc>
        <w:tc>
          <w:tcPr>
            <w:tcW w:type="dxa" w:w="3402"/>
          </w:tcPr>
          <w:p>
            <w:pPr>
              <w:spacing w:after="40"/>
            </w:pPr>
            <w:r>
              <w:rPr>
                <w:sz w:val="18"/>
              </w:rPr>
              <w:t>auf mittlerer Höhe, rechts</w:t>
              <w:br/>
              <w:t>x 84.0–84.7 %</w:t>
              <w:br/>
              <w:t>y 44.3–45.4 %</w:t>
            </w:r>
          </w:p>
        </w:tc>
      </w:tr>
      <w:tr>
        <w:trPr>
          <w:cantSplit/>
        </w:trPr>
        <w:tc>
          <w:tcPr>
            <w:tcW w:type="dxa" w:w="3288"/>
          </w:tcPr>
          <w:p>
            <w:pPr>
              <w:spacing w:after="40"/>
            </w:pPr>
            <w:r>
              <w:rPr>
                <w:sz w:val="18"/>
              </w:rPr>
              <w:t>MB</w:t>
            </w:r>
          </w:p>
        </w:tc>
        <w:tc>
          <w:tcPr>
            <w:tcW w:type="dxa" w:w="3005"/>
          </w:tcPr>
          <w:p>
            <w:pPr>
              <w:spacing w:after="40"/>
            </w:pPr>
            <w:r>
              <w:rPr>
                <w:sz w:val="18"/>
              </w:rPr>
              <w:t>x 1650–1669</w:t>
              <w:br/>
              <w:t>y 405–415</w:t>
            </w:r>
          </w:p>
        </w:tc>
        <w:tc>
          <w:tcPr>
            <w:tcW w:type="dxa" w:w="3402"/>
          </w:tcPr>
          <w:p>
            <w:pPr>
              <w:spacing w:after="40"/>
            </w:pPr>
            <w:r>
              <w:rPr>
                <w:sz w:val="18"/>
              </w:rPr>
              <w:t>auf mittlerer Höhe, rechts</w:t>
              <w:br/>
              <w:t>x 86.3–87.3 %</w:t>
              <w:br/>
              <w:t>y 44.3–45.4 %</w:t>
            </w:r>
          </w:p>
        </w:tc>
      </w:tr>
      <w:tr>
        <w:trPr>
          <w:cantSplit/>
        </w:trPr>
        <w:tc>
          <w:tcPr>
            <w:tcW w:type="dxa" w:w="3288"/>
          </w:tcPr>
          <w:p>
            <w:pPr>
              <w:spacing w:after="40"/>
            </w:pPr>
            <w:r>
              <w:rPr>
                <w:sz w:val="18"/>
              </w:rPr>
              <w:t>Apps</w:t>
            </w:r>
          </w:p>
        </w:tc>
        <w:tc>
          <w:tcPr>
            <w:tcW w:type="dxa" w:w="3005"/>
          </w:tcPr>
          <w:p>
            <w:pPr>
              <w:spacing w:after="40"/>
            </w:pPr>
            <w:r>
              <w:rPr>
                <w:sz w:val="18"/>
              </w:rPr>
              <w:t>x 26–57</w:t>
              <w:br/>
              <w:t>y 466–479</w:t>
            </w:r>
          </w:p>
        </w:tc>
        <w:tc>
          <w:tcPr>
            <w:tcW w:type="dxa" w:w="3402"/>
          </w:tcPr>
          <w:p>
            <w:pPr>
              <w:spacing w:after="40"/>
            </w:pPr>
            <w:r>
              <w:rPr>
                <w:sz w:val="18"/>
              </w:rPr>
              <w:t>auf mittlerer Höhe, links</w:t>
              <w:br/>
              <w:t>x 1.4–3.0 %</w:t>
              <w:br/>
              <w:t>y 51.0–52.4 %</w:t>
            </w:r>
          </w:p>
        </w:tc>
      </w:tr>
      <w:tr>
        <w:trPr>
          <w:cantSplit/>
        </w:trPr>
        <w:tc>
          <w:tcPr>
            <w:tcW w:type="dxa" w:w="3288"/>
          </w:tcPr>
          <w:p>
            <w:pPr>
              <w:spacing w:after="40"/>
            </w:pPr>
            <w:r>
              <w:rPr>
                <w:sz w:val="18"/>
              </w:rPr>
              <w:t>Semantic Onboarding</w:t>
            </w:r>
          </w:p>
        </w:tc>
        <w:tc>
          <w:tcPr>
            <w:tcW w:type="dxa" w:w="3005"/>
          </w:tcPr>
          <w:p>
            <w:pPr>
              <w:spacing w:after="40"/>
            </w:pPr>
            <w:r>
              <w:rPr>
                <w:sz w:val="18"/>
              </w:rPr>
              <w:t>x 50–184</w:t>
              <w:br/>
              <w:t>y 502–515</w:t>
            </w:r>
          </w:p>
        </w:tc>
        <w:tc>
          <w:tcPr>
            <w:tcW w:type="dxa" w:w="3402"/>
          </w:tcPr>
          <w:p>
            <w:pPr>
              <w:spacing w:after="40"/>
            </w:pPr>
            <w:r>
              <w:rPr>
                <w:sz w:val="18"/>
              </w:rPr>
              <w:t>auf mittlerer Höhe, links</w:t>
              <w:br/>
              <w:t>x 2.6–9.6 %</w:t>
              <w:br/>
              <w:t>y 54.9–56.3 %</w:t>
            </w:r>
          </w:p>
        </w:tc>
      </w:tr>
      <w:tr>
        <w:trPr>
          <w:cantSplit/>
        </w:trPr>
        <w:tc>
          <w:tcPr>
            <w:tcW w:type="dxa" w:w="3288"/>
          </w:tcPr>
          <w:p>
            <w:pPr>
              <w:spacing w:after="40"/>
            </w:pPr>
            <w:r>
              <w:rPr>
                <w:sz w:val="18"/>
              </w:rPr>
              <w:t>Disk for Storage:</w:t>
            </w:r>
          </w:p>
        </w:tc>
        <w:tc>
          <w:tcPr>
            <w:tcW w:type="dxa" w:w="3005"/>
          </w:tcPr>
          <w:p>
            <w:pPr>
              <w:spacing w:after="40"/>
            </w:pPr>
            <w:r>
              <w:rPr>
                <w:sz w:val="18"/>
              </w:rPr>
              <w:t>x 910–1010</w:t>
              <w:br/>
              <w:t>y 523–536</w:t>
            </w:r>
          </w:p>
        </w:tc>
        <w:tc>
          <w:tcPr>
            <w:tcW w:type="dxa" w:w="3402"/>
          </w:tcPr>
          <w:p>
            <w:pPr>
              <w:spacing w:after="40"/>
            </w:pPr>
            <w:r>
              <w:rPr>
                <w:sz w:val="18"/>
              </w:rPr>
              <w:t>auf mittlerer Höhe, mittig</w:t>
              <w:br/>
              <w:t>x 47.6–52.9 %</w:t>
              <w:br/>
              <w:t>y 57.2–58.6 %</w:t>
            </w:r>
          </w:p>
        </w:tc>
      </w:tr>
      <w:tr>
        <w:trPr>
          <w:cantSplit/>
        </w:trPr>
        <w:tc>
          <w:tcPr>
            <w:tcW w:type="dxa" w:w="3288"/>
          </w:tcPr>
          <w:p>
            <w:pPr>
              <w:spacing w:after="40"/>
            </w:pPr>
            <w:r>
              <w:rPr>
                <w:sz w:val="18"/>
              </w:rPr>
              <w:t>Disk for Storage:</w:t>
            </w:r>
          </w:p>
        </w:tc>
        <w:tc>
          <w:tcPr>
            <w:tcW w:type="dxa" w:w="3005"/>
          </w:tcPr>
          <w:p>
            <w:pPr>
              <w:spacing w:after="40"/>
            </w:pPr>
            <w:r>
              <w:rPr>
                <w:sz w:val="18"/>
              </w:rPr>
              <w:t>x 1226–1326</w:t>
              <w:br/>
              <w:t>y 523–536</w:t>
            </w:r>
          </w:p>
        </w:tc>
        <w:tc>
          <w:tcPr>
            <w:tcW w:type="dxa" w:w="3402"/>
          </w:tcPr>
          <w:p>
            <w:pPr>
              <w:spacing w:after="40"/>
            </w:pPr>
            <w:r>
              <w:rPr>
                <w:sz w:val="18"/>
              </w:rPr>
              <w:t>auf mittlerer Höhe, mittig</w:t>
              <w:br/>
              <w:t>x 64.2–69.4 %</w:t>
              <w:br/>
              <w:t>y 57.2–58.6 %</w:t>
            </w:r>
          </w:p>
        </w:tc>
      </w:tr>
      <w:tr>
        <w:trPr>
          <w:cantSplit/>
        </w:trPr>
        <w:tc>
          <w:tcPr>
            <w:tcW w:type="dxa" w:w="3288"/>
          </w:tcPr>
          <w:p>
            <w:pPr>
              <w:spacing w:after="40"/>
            </w:pPr>
            <w:r>
              <w:rPr>
                <w:sz w:val="18"/>
              </w:rPr>
              <w:t>Disk for Storage:</w:t>
            </w:r>
          </w:p>
        </w:tc>
        <w:tc>
          <w:tcPr>
            <w:tcW w:type="dxa" w:w="3005"/>
          </w:tcPr>
          <w:p>
            <w:pPr>
              <w:spacing w:after="40"/>
            </w:pPr>
            <w:r>
              <w:rPr>
                <w:sz w:val="18"/>
              </w:rPr>
              <w:t>x 1542–1642</w:t>
              <w:br/>
              <w:t>y 523–536</w:t>
            </w:r>
          </w:p>
        </w:tc>
        <w:tc>
          <w:tcPr>
            <w:tcW w:type="dxa" w:w="3402"/>
          </w:tcPr>
          <w:p>
            <w:pPr>
              <w:spacing w:after="40"/>
            </w:pPr>
            <w:r>
              <w:rPr>
                <w:sz w:val="18"/>
              </w:rPr>
              <w:t>auf mittlerer Höhe, rechts</w:t>
              <w:br/>
              <w:t>x 80.7–85.9 %</w:t>
              <w:br/>
              <w:t>y 57.2–58.6 %</w:t>
            </w:r>
          </w:p>
        </w:tc>
      </w:tr>
      <w:tr>
        <w:trPr>
          <w:cantSplit/>
        </w:trPr>
        <w:tc>
          <w:tcPr>
            <w:tcW w:type="dxa" w:w="3288"/>
          </w:tcPr>
          <w:p>
            <w:pPr>
              <w:spacing w:after="40"/>
            </w:pPr>
            <w:r>
              <w:rPr>
                <w:sz w:val="18"/>
              </w:rPr>
              <w:t>Business Builder</w:t>
            </w:r>
          </w:p>
        </w:tc>
        <w:tc>
          <w:tcPr>
            <w:tcW w:type="dxa" w:w="3005"/>
          </w:tcPr>
          <w:p>
            <w:pPr>
              <w:spacing w:after="40"/>
            </w:pPr>
            <w:r>
              <w:rPr>
                <w:sz w:val="18"/>
              </w:rPr>
              <w:t>x 51–153</w:t>
              <w:br/>
              <w:t>y 538–548</w:t>
            </w:r>
          </w:p>
        </w:tc>
        <w:tc>
          <w:tcPr>
            <w:tcW w:type="dxa" w:w="3402"/>
          </w:tcPr>
          <w:p>
            <w:pPr>
              <w:spacing w:after="40"/>
            </w:pPr>
            <w:r>
              <w:rPr>
                <w:sz w:val="18"/>
              </w:rPr>
              <w:t>auf mittlerer Höhe, links</w:t>
              <w:br/>
              <w:t>x 2.7–8.0 %</w:t>
              <w:br/>
              <w:t>y 58.9–60.0 %</w:t>
            </w:r>
          </w:p>
        </w:tc>
      </w:tr>
      <w:tr>
        <w:trPr>
          <w:cantSplit/>
        </w:trPr>
        <w:tc>
          <w:tcPr>
            <w:tcW w:type="dxa" w:w="3288"/>
          </w:tcPr>
          <w:p>
            <w:pPr>
              <w:spacing w:after="40"/>
            </w:pPr>
            <w:r>
              <w:rPr>
                <w:sz w:val="18"/>
              </w:rPr>
              <w:t>of</w:t>
            </w:r>
          </w:p>
        </w:tc>
        <w:tc>
          <w:tcPr>
            <w:tcW w:type="dxa" w:w="3005"/>
          </w:tcPr>
          <w:p>
            <w:pPr>
              <w:spacing w:after="40"/>
            </w:pPr>
            <w:r>
              <w:rPr>
                <w:sz w:val="18"/>
              </w:rPr>
              <w:t>x 966–978</w:t>
              <w:br/>
              <w:t>y 551–561</w:t>
            </w:r>
          </w:p>
        </w:tc>
        <w:tc>
          <w:tcPr>
            <w:tcW w:type="dxa" w:w="3402"/>
          </w:tcPr>
          <w:p>
            <w:pPr>
              <w:spacing w:after="40"/>
            </w:pPr>
            <w:r>
              <w:rPr>
                <w:sz w:val="18"/>
              </w:rPr>
              <w:t>auf mittlerer Höhe, mittig</w:t>
              <w:br/>
              <w:t>x 50.5–51.2 %</w:t>
              <w:br/>
              <w:t>y 60.3–61.4 %</w:t>
            </w:r>
          </w:p>
        </w:tc>
      </w:tr>
      <w:tr>
        <w:trPr>
          <w:cantSplit/>
        </w:trPr>
        <w:tc>
          <w:tcPr>
            <w:tcW w:type="dxa" w:w="3288"/>
          </w:tcPr>
          <w:p>
            <w:pPr>
              <w:spacing w:after="40"/>
            </w:pPr>
            <w:r>
              <w:rPr>
                <w:sz w:val="18"/>
              </w:rPr>
              <w:t>of</w:t>
            </w:r>
          </w:p>
        </w:tc>
        <w:tc>
          <w:tcPr>
            <w:tcW w:type="dxa" w:w="3005"/>
          </w:tcPr>
          <w:p>
            <w:pPr>
              <w:spacing w:after="40"/>
            </w:pPr>
            <w:r>
              <w:rPr>
                <w:sz w:val="18"/>
              </w:rPr>
              <w:t>x 1295–1306</w:t>
              <w:br/>
              <w:t>y 551–561</w:t>
            </w:r>
          </w:p>
        </w:tc>
        <w:tc>
          <w:tcPr>
            <w:tcW w:type="dxa" w:w="3402"/>
          </w:tcPr>
          <w:p>
            <w:pPr>
              <w:spacing w:after="40"/>
            </w:pPr>
            <w:r>
              <w:rPr>
                <w:sz w:val="18"/>
              </w:rPr>
              <w:t>auf mittlerer Höhe, rechts</w:t>
              <w:br/>
              <w:t>x 67.8–68.3 %</w:t>
              <w:br/>
              <w:t>y 60.3–61.4 %</w:t>
            </w:r>
          </w:p>
        </w:tc>
      </w:tr>
      <w:tr>
        <w:trPr>
          <w:cantSplit/>
        </w:trPr>
        <w:tc>
          <w:tcPr>
            <w:tcW w:type="dxa" w:w="3288"/>
          </w:tcPr>
          <w:p>
            <w:pPr>
              <w:spacing w:after="40"/>
            </w:pPr>
            <w:r>
              <w:rPr>
                <w:sz w:val="18"/>
              </w:rPr>
              <w:t>of</w:t>
            </w:r>
          </w:p>
        </w:tc>
        <w:tc>
          <w:tcPr>
            <w:tcW w:type="dxa" w:w="3005"/>
          </w:tcPr>
          <w:p>
            <w:pPr>
              <w:spacing w:after="40"/>
            </w:pPr>
            <w:r>
              <w:rPr>
                <w:sz w:val="18"/>
              </w:rPr>
              <w:t>x 1606–1618</w:t>
              <w:br/>
              <w:t>y 551–561</w:t>
            </w:r>
          </w:p>
        </w:tc>
        <w:tc>
          <w:tcPr>
            <w:tcW w:type="dxa" w:w="3402"/>
          </w:tcPr>
          <w:p>
            <w:pPr>
              <w:spacing w:after="40"/>
            </w:pPr>
            <w:r>
              <w:rPr>
                <w:sz w:val="18"/>
              </w:rPr>
              <w:t>auf mittlerer Höhe, rechts</w:t>
              <w:br/>
              <w:t>x 84.0–84.7 %</w:t>
              <w:br/>
              <w:t>y 60.3–61.4 %</w:t>
            </w:r>
          </w:p>
        </w:tc>
      </w:tr>
      <w:tr>
        <w:trPr>
          <w:cantSplit/>
        </w:trPr>
        <w:tc>
          <w:tcPr>
            <w:tcW w:type="dxa" w:w="3288"/>
          </w:tcPr>
          <w:p>
            <w:pPr>
              <w:spacing w:after="40"/>
            </w:pPr>
            <w:r>
              <w:rPr>
                <w:sz w:val="18"/>
              </w:rPr>
              <w:t>Data Builder</w:t>
            </w:r>
          </w:p>
        </w:tc>
        <w:tc>
          <w:tcPr>
            <w:tcW w:type="dxa" w:w="3005"/>
          </w:tcPr>
          <w:p>
            <w:pPr>
              <w:spacing w:after="40"/>
            </w:pPr>
            <w:r>
              <w:rPr>
                <w:sz w:val="18"/>
              </w:rPr>
              <w:t>x 51–127</w:t>
              <w:br/>
              <w:t>y 574–584</w:t>
            </w:r>
          </w:p>
        </w:tc>
        <w:tc>
          <w:tcPr>
            <w:tcW w:type="dxa" w:w="3402"/>
          </w:tcPr>
          <w:p>
            <w:pPr>
              <w:spacing w:after="40"/>
            </w:pPr>
            <w:r>
              <w:rPr>
                <w:sz w:val="18"/>
              </w:rPr>
              <w:t>auf mittlerer Höhe, links</w:t>
              <w:br/>
              <w:t>x 2.7–6.6 %</w:t>
              <w:br/>
              <w:t>y 62.8–63.9 %</w:t>
            </w:r>
          </w:p>
        </w:tc>
      </w:tr>
      <w:tr>
        <w:trPr>
          <w:cantSplit/>
        </w:trPr>
        <w:tc>
          <w:tcPr>
            <w:tcW w:type="dxa" w:w="3288"/>
          </w:tcPr>
          <w:p>
            <w:pPr>
              <w:spacing w:after="40"/>
            </w:pPr>
            <w:r>
              <w:rPr>
                <w:sz w:val="18"/>
              </w:rPr>
              <w:t>Connections</w:t>
            </w:r>
          </w:p>
        </w:tc>
        <w:tc>
          <w:tcPr>
            <w:tcW w:type="dxa" w:w="3005"/>
          </w:tcPr>
          <w:p>
            <w:pPr>
              <w:spacing w:after="40"/>
            </w:pPr>
            <w:r>
              <w:rPr>
                <w:sz w:val="18"/>
              </w:rPr>
              <w:t>x 50–126</w:t>
              <w:br/>
              <w:t>y 610–620</w:t>
            </w:r>
          </w:p>
        </w:tc>
        <w:tc>
          <w:tcPr>
            <w:tcW w:type="dxa" w:w="3402"/>
          </w:tcPr>
          <w:p>
            <w:pPr>
              <w:spacing w:after="40"/>
            </w:pPr>
            <w:r>
              <w:rPr>
                <w:sz w:val="18"/>
              </w:rPr>
              <w:t>unten, links</w:t>
              <w:br/>
              <w:t>x 2.6–6.6 %</w:t>
              <w:br/>
              <w:t>y 66.7–67.8 %</w:t>
            </w:r>
          </w:p>
        </w:tc>
      </w:tr>
      <w:tr>
        <w:trPr>
          <w:cantSplit/>
        </w:trPr>
        <w:tc>
          <w:tcPr>
            <w:tcW w:type="dxa" w:w="3288"/>
          </w:tcPr>
          <w:p>
            <w:pPr>
              <w:spacing w:after="40"/>
            </w:pPr>
            <w:r>
              <w:rPr>
                <w:sz w:val="18"/>
              </w:rPr>
              <w:t>Utilities</w:t>
            </w:r>
          </w:p>
        </w:tc>
        <w:tc>
          <w:tcPr>
            <w:tcW w:type="dxa" w:w="3005"/>
          </w:tcPr>
          <w:p>
            <w:pPr>
              <w:spacing w:after="40"/>
            </w:pPr>
            <w:r>
              <w:rPr>
                <w:sz w:val="18"/>
              </w:rPr>
              <w:t>x 27–71</w:t>
              <w:br/>
              <w:t>y 656–666</w:t>
            </w:r>
          </w:p>
        </w:tc>
        <w:tc>
          <w:tcPr>
            <w:tcW w:type="dxa" w:w="3402"/>
          </w:tcPr>
          <w:p>
            <w:pPr>
              <w:spacing w:after="40"/>
            </w:pPr>
            <w:r>
              <w:rPr>
                <w:sz w:val="18"/>
              </w:rPr>
              <w:t>unten, links</w:t>
              <w:br/>
              <w:t>x 1.4–3.7 %</w:t>
              <w:br/>
              <w:t>y 71.8–72.9 %</w:t>
            </w:r>
          </w:p>
        </w:tc>
      </w:tr>
      <w:tr>
        <w:trPr>
          <w:cantSplit/>
        </w:trPr>
        <w:tc>
          <w:tcPr>
            <w:tcW w:type="dxa" w:w="3288"/>
          </w:tcPr>
          <w:p>
            <w:pPr>
              <w:spacing w:after="40"/>
            </w:pPr>
            <w:r>
              <w:rPr>
                <w:sz w:val="18"/>
              </w:rPr>
              <w:t>Disk for Storage:</w:t>
            </w:r>
          </w:p>
        </w:tc>
        <w:tc>
          <w:tcPr>
            <w:tcW w:type="dxa" w:w="3005"/>
          </w:tcPr>
          <w:p>
            <w:pPr>
              <w:spacing w:after="40"/>
            </w:pPr>
            <w:r>
              <w:rPr>
                <w:sz w:val="18"/>
              </w:rPr>
              <w:t>x 910–1010</w:t>
              <w:br/>
              <w:t>y 669–682</w:t>
            </w:r>
          </w:p>
        </w:tc>
        <w:tc>
          <w:tcPr>
            <w:tcW w:type="dxa" w:w="3402"/>
          </w:tcPr>
          <w:p>
            <w:pPr>
              <w:spacing w:after="40"/>
            </w:pPr>
            <w:r>
              <w:rPr>
                <w:sz w:val="18"/>
              </w:rPr>
              <w:t>unten, mittig</w:t>
              <w:br/>
              <w:t>x 47.6–52.9 %</w:t>
              <w:br/>
              <w:t>y 73.2–74.6 %</w:t>
            </w:r>
          </w:p>
        </w:tc>
      </w:tr>
      <w:tr>
        <w:trPr>
          <w:cantSplit/>
        </w:trPr>
        <w:tc>
          <w:tcPr>
            <w:tcW w:type="dxa" w:w="3288"/>
          </w:tcPr>
          <w:p>
            <w:pPr>
              <w:spacing w:after="40"/>
            </w:pPr>
            <w:r>
              <w:rPr>
                <w:sz w:val="18"/>
              </w:rPr>
              <w:t>Disk for Storage:</w:t>
            </w:r>
          </w:p>
        </w:tc>
        <w:tc>
          <w:tcPr>
            <w:tcW w:type="dxa" w:w="3005"/>
          </w:tcPr>
          <w:p>
            <w:pPr>
              <w:spacing w:after="40"/>
            </w:pPr>
            <w:r>
              <w:rPr>
                <w:sz w:val="18"/>
              </w:rPr>
              <w:t>x 1226–1326</w:t>
              <w:br/>
              <w:t>y 669–682</w:t>
            </w:r>
          </w:p>
        </w:tc>
        <w:tc>
          <w:tcPr>
            <w:tcW w:type="dxa" w:w="3402"/>
          </w:tcPr>
          <w:p>
            <w:pPr>
              <w:spacing w:after="40"/>
            </w:pPr>
            <w:r>
              <w:rPr>
                <w:sz w:val="18"/>
              </w:rPr>
              <w:t>unten, mittig</w:t>
              <w:br/>
              <w:t>x 64.2–69.4 %</w:t>
              <w:br/>
              <w:t>y 73.2–74.6 %</w:t>
            </w:r>
          </w:p>
        </w:tc>
      </w:tr>
      <w:tr>
        <w:trPr>
          <w:cantSplit/>
        </w:trPr>
        <w:tc>
          <w:tcPr>
            <w:tcW w:type="dxa" w:w="3288"/>
          </w:tcPr>
          <w:p>
            <w:pPr>
              <w:spacing w:after="40"/>
            </w:pPr>
            <w:r>
              <w:rPr>
                <w:sz w:val="18"/>
              </w:rPr>
              <w:t>Disk for Storage:</w:t>
            </w:r>
          </w:p>
        </w:tc>
        <w:tc>
          <w:tcPr>
            <w:tcW w:type="dxa" w:w="3005"/>
          </w:tcPr>
          <w:p>
            <w:pPr>
              <w:spacing w:after="40"/>
            </w:pPr>
            <w:r>
              <w:rPr>
                <w:sz w:val="18"/>
              </w:rPr>
              <w:t>x 1542–1642</w:t>
              <w:br/>
              <w:t>y 669–682</w:t>
            </w:r>
          </w:p>
        </w:tc>
        <w:tc>
          <w:tcPr>
            <w:tcW w:type="dxa" w:w="3402"/>
          </w:tcPr>
          <w:p>
            <w:pPr>
              <w:spacing w:after="40"/>
            </w:pPr>
            <w:r>
              <w:rPr>
                <w:sz w:val="18"/>
              </w:rPr>
              <w:t>unten, rechts</w:t>
              <w:br/>
              <w:t>x 80.7–85.9 %</w:t>
              <w:br/>
              <w:t>y 73.2–74.6 %</w:t>
            </w:r>
          </w:p>
        </w:tc>
      </w:tr>
      <w:tr>
        <w:trPr>
          <w:cantSplit/>
        </w:trPr>
        <w:tc>
          <w:tcPr>
            <w:tcW w:type="dxa" w:w="3288"/>
          </w:tcPr>
          <w:p>
            <w:pPr>
              <w:spacing w:after="40"/>
            </w:pPr>
            <w:r>
              <w:rPr>
                <w:sz w:val="18"/>
              </w:rPr>
              <w:t>spaces.</w:t>
            </w:r>
          </w:p>
        </w:tc>
        <w:tc>
          <w:tcPr>
            <w:tcW w:type="dxa" w:w="3005"/>
          </w:tcPr>
          <w:p>
            <w:pPr>
              <w:spacing w:after="40"/>
            </w:pPr>
            <w:r>
              <w:rPr>
                <w:sz w:val="18"/>
              </w:rPr>
              <w:t>x 311–356</w:t>
              <w:br/>
              <w:t>y 683–693</w:t>
            </w:r>
          </w:p>
        </w:tc>
        <w:tc>
          <w:tcPr>
            <w:tcW w:type="dxa" w:w="3402"/>
          </w:tcPr>
          <w:p>
            <w:pPr>
              <w:spacing w:after="40"/>
            </w:pPr>
            <w:r>
              <w:rPr>
                <w:sz w:val="18"/>
              </w:rPr>
              <w:t>unten, links</w:t>
              <w:br/>
              <w:t>x 16.3–18.6 %</w:t>
              <w:br/>
              <w:t>y 74.7–75.8 %</w:t>
            </w:r>
          </w:p>
        </w:tc>
      </w:tr>
      <w:tr>
        <w:trPr>
          <w:cantSplit/>
        </w:trPr>
        <w:tc>
          <w:tcPr>
            <w:tcW w:type="dxa" w:w="3288"/>
          </w:tcPr>
          <w:p>
            <w:pPr>
              <w:spacing w:after="40"/>
            </w:pPr>
            <w:r>
              <w:rPr>
                <w:sz w:val="18"/>
              </w:rPr>
              <w:t>spaces</w:t>
            </w:r>
          </w:p>
        </w:tc>
        <w:tc>
          <w:tcPr>
            <w:tcW w:type="dxa" w:w="3005"/>
          </w:tcPr>
          <w:p>
            <w:pPr>
              <w:spacing w:after="40"/>
            </w:pPr>
            <w:r>
              <w:rPr>
                <w:sz w:val="18"/>
              </w:rPr>
              <w:t>x 707–749</w:t>
              <w:br/>
              <w:t>y 683–693</w:t>
            </w:r>
          </w:p>
        </w:tc>
        <w:tc>
          <w:tcPr>
            <w:tcW w:type="dxa" w:w="3402"/>
          </w:tcPr>
          <w:p>
            <w:pPr>
              <w:spacing w:after="40"/>
            </w:pPr>
            <w:r>
              <w:rPr>
                <w:sz w:val="18"/>
              </w:rPr>
              <w:t>unten, mittig</w:t>
              <w:br/>
              <w:t>x 37.0–39.2 %</w:t>
              <w:br/>
              <w:t>y 74.7–75.8 %</w:t>
            </w:r>
          </w:p>
        </w:tc>
      </w:tr>
      <w:tr>
        <w:trPr>
          <w:cantSplit/>
        </w:trPr>
        <w:tc>
          <w:tcPr>
            <w:tcW w:type="dxa" w:w="3288"/>
          </w:tcPr>
          <w:p>
            <w:pPr>
              <w:spacing w:after="40"/>
            </w:pPr>
            <w:r>
              <w:rPr>
                <w:sz w:val="18"/>
              </w:rPr>
              <w:t>Space Management</w:t>
            </w:r>
          </w:p>
        </w:tc>
        <w:tc>
          <w:tcPr>
            <w:tcW w:type="dxa" w:w="3005"/>
          </w:tcPr>
          <w:p>
            <w:pPr>
              <w:spacing w:after="40"/>
            </w:pPr>
            <w:r>
              <w:rPr>
                <w:sz w:val="18"/>
              </w:rPr>
              <w:t>x 50–173</w:t>
              <w:br/>
              <w:t>y 692–705</w:t>
            </w:r>
          </w:p>
        </w:tc>
        <w:tc>
          <w:tcPr>
            <w:tcW w:type="dxa" w:w="3402"/>
          </w:tcPr>
          <w:p>
            <w:pPr>
              <w:spacing w:after="40"/>
            </w:pPr>
            <w:r>
              <w:rPr>
                <w:sz w:val="18"/>
              </w:rPr>
              <w:t>unten, links</w:t>
              <w:br/>
              <w:t>x 2.6–9.1 %</w:t>
              <w:br/>
              <w:t>y 75.7–77.1 %</w:t>
            </w:r>
          </w:p>
        </w:tc>
      </w:tr>
      <w:tr>
        <w:trPr>
          <w:cantSplit/>
        </w:trPr>
        <w:tc>
          <w:tcPr>
            <w:tcW w:type="dxa" w:w="3288"/>
          </w:tcPr>
          <w:p>
            <w:pPr>
              <w:spacing w:after="40"/>
            </w:pPr>
            <w:r>
              <w:rPr>
                <w:sz w:val="18"/>
              </w:rPr>
              <w:t>of</w:t>
            </w:r>
          </w:p>
        </w:tc>
        <w:tc>
          <w:tcPr>
            <w:tcW w:type="dxa" w:w="3005"/>
          </w:tcPr>
          <w:p>
            <w:pPr>
              <w:spacing w:after="40"/>
            </w:pPr>
            <w:r>
              <w:rPr>
                <w:sz w:val="18"/>
              </w:rPr>
              <w:t>x 974–986</w:t>
              <w:br/>
              <w:t>y 697–707</w:t>
            </w:r>
          </w:p>
        </w:tc>
        <w:tc>
          <w:tcPr>
            <w:tcW w:type="dxa" w:w="3402"/>
          </w:tcPr>
          <w:p>
            <w:pPr>
              <w:spacing w:after="40"/>
            </w:pPr>
            <w:r>
              <w:rPr>
                <w:sz w:val="18"/>
              </w:rPr>
              <w:t>unten, mittig</w:t>
              <w:br/>
              <w:t>x 51.0–51.6 %</w:t>
              <w:br/>
              <w:t>y 76.3–77.4 %</w:t>
            </w:r>
          </w:p>
        </w:tc>
      </w:tr>
      <w:tr>
        <w:trPr>
          <w:cantSplit/>
        </w:trPr>
        <w:tc>
          <w:tcPr>
            <w:tcW w:type="dxa" w:w="3288"/>
          </w:tcPr>
          <w:p>
            <w:pPr>
              <w:spacing w:after="40"/>
            </w:pPr>
            <w:r>
              <w:rPr>
                <w:sz w:val="18"/>
              </w:rPr>
              <w:t>of</w:t>
            </w:r>
          </w:p>
        </w:tc>
        <w:tc>
          <w:tcPr>
            <w:tcW w:type="dxa" w:w="3005"/>
          </w:tcPr>
          <w:p>
            <w:pPr>
              <w:spacing w:after="40"/>
            </w:pPr>
            <w:r>
              <w:rPr>
                <w:sz w:val="18"/>
              </w:rPr>
              <w:t>x 1290–1302</w:t>
              <w:br/>
              <w:t>y 697–707</w:t>
            </w:r>
          </w:p>
        </w:tc>
        <w:tc>
          <w:tcPr>
            <w:tcW w:type="dxa" w:w="3402"/>
          </w:tcPr>
          <w:p>
            <w:pPr>
              <w:spacing w:after="40"/>
            </w:pPr>
            <w:r>
              <w:rPr>
                <w:sz w:val="18"/>
              </w:rPr>
              <w:t>unten, rechts</w:t>
              <w:br/>
              <w:t>x 67.5–68.1 %</w:t>
              <w:br/>
              <w:t>y 76.3–77.4 %</w:t>
            </w:r>
          </w:p>
        </w:tc>
      </w:tr>
      <w:tr>
        <w:trPr>
          <w:cantSplit/>
        </w:trPr>
        <w:tc>
          <w:tcPr>
            <w:tcW w:type="dxa" w:w="3288"/>
          </w:tcPr>
          <w:p>
            <w:pPr>
              <w:spacing w:after="40"/>
            </w:pPr>
            <w:r>
              <w:rPr>
                <w:sz w:val="18"/>
              </w:rPr>
              <w:t>of</w:t>
            </w:r>
          </w:p>
        </w:tc>
        <w:tc>
          <w:tcPr>
            <w:tcW w:type="dxa" w:w="3005"/>
          </w:tcPr>
          <w:p>
            <w:pPr>
              <w:spacing w:after="40"/>
            </w:pPr>
            <w:r>
              <w:rPr>
                <w:sz w:val="18"/>
              </w:rPr>
              <w:t>x 1611–1622</w:t>
              <w:br/>
              <w:t>y 697–707</w:t>
            </w:r>
          </w:p>
        </w:tc>
        <w:tc>
          <w:tcPr>
            <w:tcW w:type="dxa" w:w="3402"/>
          </w:tcPr>
          <w:p>
            <w:pPr>
              <w:spacing w:after="40"/>
            </w:pPr>
            <w:r>
              <w:rPr>
                <w:sz w:val="18"/>
              </w:rPr>
              <w:t>unten, rechts</w:t>
              <w:br/>
              <w:t>x 84.3–84.9 %</w:t>
              <w:br/>
              <w:t>y 76.3–77.4 %</w:t>
            </w:r>
          </w:p>
        </w:tc>
      </w:tr>
      <w:tr>
        <w:trPr>
          <w:cantSplit/>
        </w:trPr>
        <w:tc>
          <w:tcPr>
            <w:tcW w:type="dxa" w:w="3288"/>
          </w:tcPr>
          <w:p>
            <w:pPr>
              <w:spacing w:after="40"/>
            </w:pPr>
            <w:r>
              <w:rPr>
                <w:sz w:val="18"/>
              </w:rPr>
              <w:t>Translation</w:t>
            </w:r>
          </w:p>
        </w:tc>
        <w:tc>
          <w:tcPr>
            <w:tcW w:type="dxa" w:w="3005"/>
          </w:tcPr>
          <w:p>
            <w:pPr>
              <w:spacing w:after="40"/>
            </w:pPr>
            <w:r>
              <w:rPr>
                <w:sz w:val="18"/>
              </w:rPr>
              <w:t>x 50–117</w:t>
              <w:br/>
              <w:t>y 728–738</w:t>
            </w:r>
          </w:p>
        </w:tc>
        <w:tc>
          <w:tcPr>
            <w:tcW w:type="dxa" w:w="3402"/>
          </w:tcPr>
          <w:p>
            <w:pPr>
              <w:spacing w:after="40"/>
            </w:pPr>
            <w:r>
              <w:rPr>
                <w:sz w:val="18"/>
              </w:rPr>
              <w:t>unten, links</w:t>
              <w:br/>
              <w:t>x 2.6–6.1 %</w:t>
              <w:br/>
              <w:t>y 79.6–80.7 %</w:t>
            </w:r>
          </w:p>
        </w:tc>
      </w:tr>
      <w:tr>
        <w:trPr>
          <w:cantSplit/>
        </w:trPr>
        <w:tc>
          <w:tcPr>
            <w:tcW w:type="dxa" w:w="3288"/>
          </w:tcPr>
          <w:p>
            <w:pPr>
              <w:spacing w:after="40"/>
            </w:pPr>
            <w:r>
              <w:rPr>
                <w:sz w:val="18"/>
              </w:rPr>
              <w:t>Transport</w:t>
            </w:r>
          </w:p>
        </w:tc>
        <w:tc>
          <w:tcPr>
            <w:tcW w:type="dxa" w:w="3005"/>
          </w:tcPr>
          <w:p>
            <w:pPr>
              <w:spacing w:after="40"/>
            </w:pPr>
            <w:r>
              <w:rPr>
                <w:sz w:val="18"/>
              </w:rPr>
              <w:t>x 50–108</w:t>
              <w:br/>
              <w:t>y 764–777</w:t>
            </w:r>
          </w:p>
        </w:tc>
        <w:tc>
          <w:tcPr>
            <w:tcW w:type="dxa" w:w="3402"/>
          </w:tcPr>
          <w:p>
            <w:pPr>
              <w:spacing w:after="40"/>
            </w:pPr>
            <w:r>
              <w:rPr>
                <w:sz w:val="18"/>
              </w:rPr>
              <w:t>unten, links</w:t>
              <w:br/>
              <w:t>x 2.6–5.7 %</w:t>
              <w:br/>
              <w:t>y 83.6–85.0 %</w:t>
            </w:r>
          </w:p>
        </w:tc>
      </w:tr>
      <w:tr>
        <w:trPr>
          <w:cantSplit/>
        </w:trPr>
        <w:tc>
          <w:tcPr>
            <w:tcW w:type="dxa" w:w="3288"/>
          </w:tcPr>
          <w:p>
            <w:pPr>
              <w:spacing w:after="40"/>
            </w:pPr>
            <w:r>
              <w:rPr>
                <w:sz w:val="18"/>
              </w:rPr>
              <w:t>Data Sharing Cockpit</w:t>
            </w:r>
          </w:p>
        </w:tc>
        <w:tc>
          <w:tcPr>
            <w:tcW w:type="dxa" w:w="3005"/>
          </w:tcPr>
          <w:p>
            <w:pPr>
              <w:spacing w:after="40"/>
            </w:pPr>
            <w:r>
              <w:rPr>
                <w:sz w:val="18"/>
              </w:rPr>
              <w:t>x 51–180</w:t>
              <w:br/>
              <w:t>y 800–813</w:t>
            </w:r>
          </w:p>
        </w:tc>
        <w:tc>
          <w:tcPr>
            <w:tcW w:type="dxa" w:w="3402"/>
          </w:tcPr>
          <w:p>
            <w:pPr>
              <w:spacing w:after="40"/>
            </w:pPr>
            <w:r>
              <w:rPr>
                <w:sz w:val="18"/>
              </w:rPr>
              <w:t>unten, links</w:t>
              <w:br/>
              <w:t>x 2.7–9.4 %</w:t>
              <w:br/>
              <w:t>y 87.5–88.9 %</w:t>
            </w:r>
          </w:p>
        </w:tc>
      </w:tr>
      <w:tr>
        <w:trPr>
          <w:cantSplit/>
        </w:trPr>
        <w:tc>
          <w:tcPr>
            <w:tcW w:type="dxa" w:w="3288"/>
          </w:tcPr>
          <w:p>
            <w:pPr>
              <w:spacing w:after="40"/>
            </w:pPr>
            <w:r>
              <w:rPr>
                <w:sz w:val="18"/>
              </w:rPr>
              <w:t>Disk for Storage:</w:t>
            </w:r>
          </w:p>
        </w:tc>
        <w:tc>
          <w:tcPr>
            <w:tcW w:type="dxa" w:w="3005"/>
          </w:tcPr>
          <w:p>
            <w:pPr>
              <w:spacing w:after="40"/>
            </w:pPr>
            <w:r>
              <w:rPr>
                <w:sz w:val="18"/>
              </w:rPr>
              <w:t>x 910–1010</w:t>
              <w:br/>
              <w:t>y 815–828</w:t>
            </w:r>
          </w:p>
        </w:tc>
        <w:tc>
          <w:tcPr>
            <w:tcW w:type="dxa" w:w="3402"/>
          </w:tcPr>
          <w:p>
            <w:pPr>
              <w:spacing w:after="40"/>
            </w:pPr>
            <w:r>
              <w:rPr>
                <w:sz w:val="18"/>
              </w:rPr>
              <w:t>unten, mittig</w:t>
              <w:br/>
              <w:t>x 47.6–52.9 %</w:t>
              <w:br/>
              <w:t>y 89.2–90.6 %</w:t>
            </w:r>
          </w:p>
        </w:tc>
      </w:tr>
      <w:tr>
        <w:trPr>
          <w:cantSplit/>
        </w:trPr>
        <w:tc>
          <w:tcPr>
            <w:tcW w:type="dxa" w:w="3288"/>
          </w:tcPr>
          <w:p>
            <w:pPr>
              <w:spacing w:after="40"/>
            </w:pPr>
            <w:r>
              <w:rPr>
                <w:sz w:val="18"/>
              </w:rPr>
              <w:t>Disk for Storage:</w:t>
            </w:r>
          </w:p>
        </w:tc>
        <w:tc>
          <w:tcPr>
            <w:tcW w:type="dxa" w:w="3005"/>
          </w:tcPr>
          <w:p>
            <w:pPr>
              <w:spacing w:after="40"/>
            </w:pPr>
            <w:r>
              <w:rPr>
                <w:sz w:val="18"/>
              </w:rPr>
              <w:t>x 1226–1326</w:t>
              <w:br/>
              <w:t>y 815–828</w:t>
            </w:r>
          </w:p>
        </w:tc>
        <w:tc>
          <w:tcPr>
            <w:tcW w:type="dxa" w:w="3402"/>
          </w:tcPr>
          <w:p>
            <w:pPr>
              <w:spacing w:after="40"/>
            </w:pPr>
            <w:r>
              <w:rPr>
                <w:sz w:val="18"/>
              </w:rPr>
              <w:t>unten, mittig</w:t>
              <w:br/>
              <w:t>x 64.2–69.4 %</w:t>
              <w:br/>
              <w:t>y 89.2–90.6 %</w:t>
            </w:r>
          </w:p>
        </w:tc>
      </w:tr>
      <w:tr>
        <w:trPr>
          <w:cantSplit/>
        </w:trPr>
        <w:tc>
          <w:tcPr>
            <w:tcW w:type="dxa" w:w="3288"/>
          </w:tcPr>
          <w:p>
            <w:pPr>
              <w:spacing w:after="40"/>
            </w:pPr>
            <w:r>
              <w:rPr>
                <w:sz w:val="18"/>
              </w:rPr>
              <w:t>Disk for Storage:</w:t>
            </w:r>
          </w:p>
        </w:tc>
        <w:tc>
          <w:tcPr>
            <w:tcW w:type="dxa" w:w="3005"/>
          </w:tcPr>
          <w:p>
            <w:pPr>
              <w:spacing w:after="40"/>
            </w:pPr>
            <w:r>
              <w:rPr>
                <w:sz w:val="18"/>
              </w:rPr>
              <w:t>x 1542–1642</w:t>
              <w:br/>
              <w:t>y 815–828</w:t>
            </w:r>
          </w:p>
        </w:tc>
        <w:tc>
          <w:tcPr>
            <w:tcW w:type="dxa" w:w="3402"/>
          </w:tcPr>
          <w:p>
            <w:pPr>
              <w:spacing w:after="40"/>
            </w:pPr>
            <w:r>
              <w:rPr>
                <w:sz w:val="18"/>
              </w:rPr>
              <w:t>unten, rechts</w:t>
              <w:br/>
              <w:t>x 80.7–85.9 %</w:t>
              <w:br/>
              <w:t>y 89.2–90.6 %</w:t>
            </w:r>
          </w:p>
        </w:tc>
      </w:tr>
      <w:tr>
        <w:trPr>
          <w:cantSplit/>
        </w:trPr>
        <w:tc>
          <w:tcPr>
            <w:tcW w:type="dxa" w:w="3288"/>
          </w:tcPr>
          <w:p>
            <w:pPr>
              <w:spacing w:after="40"/>
            </w:pPr>
            <w:r>
              <w:rPr>
                <w:sz w:val="18"/>
              </w:rPr>
              <w:t>of</w:t>
            </w:r>
          </w:p>
        </w:tc>
        <w:tc>
          <w:tcPr>
            <w:tcW w:type="dxa" w:w="3005"/>
          </w:tcPr>
          <w:p>
            <w:pPr>
              <w:spacing w:after="40"/>
            </w:pPr>
            <w:r>
              <w:rPr>
                <w:sz w:val="18"/>
              </w:rPr>
              <w:t>x 964–978</w:t>
              <w:br/>
              <w:t>y 843–853</w:t>
            </w:r>
          </w:p>
        </w:tc>
        <w:tc>
          <w:tcPr>
            <w:tcW w:type="dxa" w:w="3402"/>
          </w:tcPr>
          <w:p>
            <w:pPr>
              <w:spacing w:after="40"/>
            </w:pPr>
            <w:r>
              <w:rPr>
                <w:sz w:val="18"/>
              </w:rPr>
              <w:t>unten, mittig</w:t>
              <w:br/>
              <w:t>x 50.4–51.2 %</w:t>
              <w:br/>
              <w:t>y 92.2–93.3 %</w:t>
            </w:r>
          </w:p>
        </w:tc>
      </w:tr>
      <w:tr>
        <w:trPr>
          <w:cantSplit/>
        </w:trPr>
        <w:tc>
          <w:tcPr>
            <w:tcW w:type="dxa" w:w="3288"/>
          </w:tcPr>
          <w:p>
            <w:pPr>
              <w:spacing w:after="40"/>
            </w:pPr>
            <w:r>
              <w:rPr>
                <w:sz w:val="18"/>
              </w:rPr>
              <w:t>of</w:t>
            </w:r>
          </w:p>
        </w:tc>
        <w:tc>
          <w:tcPr>
            <w:tcW w:type="dxa" w:w="3005"/>
          </w:tcPr>
          <w:p>
            <w:pPr>
              <w:spacing w:after="40"/>
            </w:pPr>
            <w:r>
              <w:rPr>
                <w:sz w:val="18"/>
              </w:rPr>
              <w:t>x 1295–1306</w:t>
              <w:br/>
              <w:t>y 843–853</w:t>
            </w:r>
          </w:p>
        </w:tc>
        <w:tc>
          <w:tcPr>
            <w:tcW w:type="dxa" w:w="3402"/>
          </w:tcPr>
          <w:p>
            <w:pPr>
              <w:spacing w:after="40"/>
            </w:pPr>
            <w:r>
              <w:rPr>
                <w:sz w:val="18"/>
              </w:rPr>
              <w:t>unten, rechts</w:t>
              <w:br/>
              <w:t>x 67.8–68.3 %</w:t>
              <w:br/>
              <w:t>y 92.2–93.3 %</w:t>
            </w:r>
          </w:p>
        </w:tc>
      </w:tr>
      <w:tr>
        <w:trPr>
          <w:cantSplit/>
        </w:trPr>
        <w:tc>
          <w:tcPr>
            <w:tcW w:type="dxa" w:w="3288"/>
          </w:tcPr>
          <w:p>
            <w:pPr>
              <w:spacing w:after="40"/>
            </w:pPr>
            <w:r>
              <w:rPr>
                <w:sz w:val="18"/>
              </w:rPr>
              <w:t>of</w:t>
            </w:r>
          </w:p>
        </w:tc>
        <w:tc>
          <w:tcPr>
            <w:tcW w:type="dxa" w:w="3005"/>
          </w:tcPr>
          <w:p>
            <w:pPr>
              <w:spacing w:after="40"/>
            </w:pPr>
            <w:r>
              <w:rPr>
                <w:sz w:val="18"/>
              </w:rPr>
              <w:t>x 1611–1623</w:t>
              <w:br/>
              <w:t>y 843–853</w:t>
            </w:r>
          </w:p>
        </w:tc>
        <w:tc>
          <w:tcPr>
            <w:tcW w:type="dxa" w:w="3402"/>
          </w:tcPr>
          <w:p>
            <w:pPr>
              <w:spacing w:after="40"/>
            </w:pPr>
            <w:r>
              <w:rPr>
                <w:sz w:val="18"/>
              </w:rPr>
              <w:t>unten, rechts</w:t>
              <w:br/>
              <w:t>x 84.3–84.9 %</w:t>
              <w:br/>
              <w:t>y 92.2–93.3 %</w:t>
            </w:r>
          </w:p>
        </w:tc>
      </w:tr>
      <w:tr>
        <w:trPr>
          <w:cantSplit/>
        </w:trPr>
        <w:tc>
          <w:tcPr>
            <w:tcW w:type="dxa" w:w="3288"/>
          </w:tcPr>
          <w:p>
            <w:pPr>
              <w:spacing w:after="40"/>
            </w:pPr>
            <w:r>
              <w:rPr>
                <w:sz w:val="18"/>
              </w:rPr>
              <w:t>MB</w:t>
            </w:r>
          </w:p>
        </w:tc>
        <w:tc>
          <w:tcPr>
            <w:tcW w:type="dxa" w:w="3005"/>
          </w:tcPr>
          <w:p>
            <w:pPr>
              <w:spacing w:after="40"/>
            </w:pPr>
            <w:r>
              <w:rPr>
                <w:sz w:val="18"/>
              </w:rPr>
              <w:t>x 1658–1674</w:t>
              <w:br/>
              <w:t>y 843–853</w:t>
            </w:r>
          </w:p>
        </w:tc>
        <w:tc>
          <w:tcPr>
            <w:tcW w:type="dxa" w:w="3402"/>
          </w:tcPr>
          <w:p>
            <w:pPr>
              <w:spacing w:after="40"/>
            </w:pPr>
            <w:r>
              <w:rPr>
                <w:sz w:val="18"/>
              </w:rPr>
              <w:t>unten, rechts</w:t>
              <w:br/>
              <w:t>x 86.7–87.6 %</w:t>
              <w:br/>
              <w:t>y 92.2–93.3 %</w:t>
            </w:r>
          </w:p>
        </w:tc>
      </w:tr>
      <w:tr>
        <w:trPr>
          <w:cantSplit/>
        </w:trPr>
        <w:tc>
          <w:tcPr>
            <w:tcW w:type="dxa" w:w="3288"/>
          </w:tcPr>
          <w:p>
            <w:pPr>
              <w:spacing w:after="40"/>
            </w:pPr>
            <w:r>
              <w:rPr>
                <w:sz w:val="18"/>
              </w:rPr>
              <w:t>Security</w:t>
            </w:r>
          </w:p>
        </w:tc>
        <w:tc>
          <w:tcPr>
            <w:tcW w:type="dxa" w:w="3005"/>
          </w:tcPr>
          <w:p>
            <w:pPr>
              <w:spacing w:after="40"/>
            </w:pPr>
            <w:r>
              <w:rPr>
                <w:sz w:val="18"/>
              </w:rPr>
              <w:t>x 50–100</w:t>
              <w:br/>
              <w:t>y 847–860</w:t>
            </w:r>
          </w:p>
        </w:tc>
        <w:tc>
          <w:tcPr>
            <w:tcW w:type="dxa" w:w="3402"/>
          </w:tcPr>
          <w:p>
            <w:pPr>
              <w:spacing w:after="40"/>
            </w:pPr>
            <w:r>
              <w:rPr>
                <w:sz w:val="18"/>
              </w:rPr>
              <w:t>unten, links</w:t>
              <w:br/>
              <w:t>x 2.6–5.2 %</w:t>
              <w:br/>
              <w:t>y 92.7–94.1 %</w:t>
            </w:r>
          </w:p>
        </w:tc>
      </w:tr>
      <w:tr>
        <w:trPr>
          <w:cantSplit/>
        </w:trPr>
        <w:tc>
          <w:tcPr>
            <w:tcW w:type="dxa" w:w="3288"/>
          </w:tcPr>
          <w:p>
            <w:pPr>
              <w:spacing w:after="40"/>
            </w:pPr>
            <w:r>
              <w:rPr>
                <w:sz w:val="18"/>
              </w:rPr>
              <w:t>System</w:t>
            </w:r>
          </w:p>
        </w:tc>
        <w:tc>
          <w:tcPr>
            <w:tcW w:type="dxa" w:w="3005"/>
          </w:tcPr>
          <w:p>
            <w:pPr>
              <w:spacing w:after="40"/>
            </w:pPr>
            <w:r>
              <w:rPr>
                <w:sz w:val="18"/>
              </w:rPr>
              <w:t>x 50–95</w:t>
              <w:br/>
              <w:t>y 883–896</w:t>
            </w:r>
          </w:p>
        </w:tc>
        <w:tc>
          <w:tcPr>
            <w:tcW w:type="dxa" w:w="3402"/>
          </w:tcPr>
          <w:p>
            <w:pPr>
              <w:spacing w:after="40"/>
            </w:pPr>
            <w:r>
              <w:rPr>
                <w:sz w:val="18"/>
              </w:rPr>
              <w:t>unten, links</w:t>
              <w:br/>
              <w:t>x 2.6–5.0 %</w:t>
              <w:br/>
              <w:t>y 96.6–98.0 %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10: Semantic Onboarding: Systeme und Inhalte</w:t>
      </w:r>
    </w:p>
    <w:p>
      <w:r>
        <w:t>Bildformat: 1911 × 906 Pixel. Die folgenden Positionen beziehen sich auf dieses vollständige Bild.</w:t>
      </w:r>
    </w:p>
    <w:p>
      <w:pPr>
        <w:pStyle w:val="Heading2"/>
      </w:pPr>
      <w:r>
        <w:t>1. Gesamtaufbau und sichtbarer Zustand</w:t>
      </w:r>
    </w:p>
    <w:p>
      <w:pPr>
        <w:pStyle w:val="Heading3"/>
      </w:pPr>
      <w:r>
        <w:t>Gesamtansicht</w:t>
      </w:r>
    </w:p>
    <w:p>
      <w:r>
        <w:t>Die Seite „Semantic Onboarding“ zeigt zwei große Inhaltsgruppen untereinander. Links befindet sich die globale Navigation. Im Kopfbereich steht eine große Überschrift mit einem erklärenden Satz.</w:t>
      </w:r>
    </w:p>
    <w:p>
      <w:pPr>
        <w:pStyle w:val="Heading3"/>
      </w:pPr>
      <w:r>
        <w:t>Oberer Abschnitt</w:t>
      </w:r>
    </w:p>
    <w:p>
      <w:r>
        <w:t>Die erste Gruppe heißt „SAP Systems“. Darin sind mehrere Systemkacheln horizontal nebeneinander angeordnet: SAP S/4HANA Cloud, SAP S/4HANA On Premise, SAP BW/4HANA, SAP BW Bridge und SAP HANA. Jede Kachel besitzt einen Namen und ein grafisches Symbol. Unter den Kacheln stehen Angaben wie Connections; bei SAP BW Bridge ist „Not Enabled“ sichtbar. Rechts oben in diesem Abschnitt befindet sich „Open Import Logs“.</w:t>
      </w:r>
    </w:p>
    <w:p>
      <w:pPr>
        <w:pStyle w:val="Heading3"/>
      </w:pPr>
      <w:r>
        <w:t>Unterer Abschnitt</w:t>
      </w:r>
    </w:p>
    <w:p>
      <w:r>
        <w:t>Die zweite Gruppe trägt die Überschrift „Content Network“. Hier stehen die Bereiche Samples, Business Content und 3rd Party Business Content nebeneinander. Unter jedem Titel befindet sich ein kurzer Beschreibungstext. Die Bereiche sind mit eigenen Symbolen versehen.</w:t>
      </w:r>
    </w:p>
    <w:p>
      <w:pPr>
        <w:pStyle w:val="Heading3"/>
      </w:pPr>
      <w:r>
        <w:t>Darstellung</w:t>
      </w:r>
    </w:p>
    <w:p>
      <w:r>
        <w:t>Die Systemgruppe und die Inhaltsgruppe sind durch deutliche vertikale Abstände getrennt. Links neben den Gruppenüberschriften stehen kleine Aufklappsymbole. Die Oberfläche zeigt eine Übersicht, ohne dass eine Systemkachel geöffnet oder ein Importdialog eingeblendet ist.</w:t>
      </w:r>
    </w:p>
    <w:p>
      <w:pPr>
        <w:pStyle w:val="Heading2"/>
      </w:pPr>
      <w:r>
        <w:t>2. Räumliche Beschreibung von oben nach unten</w:t>
      </w:r>
    </w:p>
    <w:p>
      <w:pPr>
        <w:pStyle w:val="Heading3"/>
      </w:pPr>
      <w:r>
        <w:t>Seitentitel</w:t>
      </w:r>
    </w:p>
    <w:p>
      <w:r>
        <w:rPr>
          <w:b/>
        </w:rPr>
        <w:t xml:space="preserve">Ungefähre Bildregion: </w:t>
      </w:r>
      <w:r>
        <w:t>x 41–70 %, y 13–18 %</w:t>
      </w:r>
    </w:p>
    <w:p>
      <w:r>
        <w:t>Semantic Onboarding steht groß im oberen Hauptbereich, mit einem Symbol links daneben. Der erklärende Satz ist darunter horizontal angeordnet.</w:t>
      </w:r>
    </w:p>
    <w:p>
      <w:pPr>
        <w:pStyle w:val="Heading3"/>
      </w:pPr>
      <w:r>
        <w:t>SAP-Systeme</w:t>
      </w:r>
    </w:p>
    <w:p>
      <w:r>
        <w:rPr>
          <w:b/>
        </w:rPr>
        <w:t xml:space="preserve">Ungefähre Bildregion: </w:t>
      </w:r>
      <w:r>
        <w:t>x 16–98 %, y 30–53 %</w:t>
      </w:r>
    </w:p>
    <w:p>
      <w:r>
        <w:t>SAP Systems steht links über einer Reihe aus fünf Systembereichen. Von links nach rechts: SAP S/4HANA Cloud, SAP S/4HANA On Premise, SAP BW/4HANA, SAP BW Bridge und SAP HANA. Jeder Bereich hat einen Titel oben, ein grafisches Symbol darunter und eine Zusatzzeile im unteren Teil. Open Import Logs liegt rechts auf Höhe der Gruppenüberschrift.</w:t>
      </w:r>
    </w:p>
    <w:p>
      <w:pPr>
        <w:pStyle w:val="Heading3"/>
      </w:pPr>
      <w:r>
        <w:t>Content Network</w:t>
      </w:r>
    </w:p>
    <w:p>
      <w:r>
        <w:rPr>
          <w:b/>
        </w:rPr>
        <w:t xml:space="preserve">Ungefähre Bildregion: </w:t>
      </w:r>
      <w:r>
        <w:t>x 16–98 %, y 60–81 %</w:t>
      </w:r>
    </w:p>
    <w:p>
      <w:r>
        <w:t>Die zweite Gruppenüberschrift steht links. Darunter folgen drei Bereiche: Samples links, Business Content mittig und 3rd Party Business Content rechts. Zu jedem Bereich gehört ein Symbol und ein kurzer Absatz unterhalb des Titels.</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Semantic Onboarding</w:t>
            </w:r>
          </w:p>
        </w:tc>
        <w:tc>
          <w:tcPr>
            <w:tcW w:type="dxa" w:w="3005"/>
          </w:tcPr>
          <w:p>
            <w:pPr>
              <w:spacing w:after="40"/>
            </w:pPr>
            <w:r>
              <w:rPr>
                <w:sz w:val="18"/>
              </w:rPr>
              <w:t>x 219–363</w:t>
              <w:br/>
              <w:t>y 42–58</w:t>
            </w:r>
          </w:p>
        </w:tc>
        <w:tc>
          <w:tcPr>
            <w:tcW w:type="dxa" w:w="3402"/>
          </w:tcPr>
          <w:p>
            <w:pPr>
              <w:spacing w:after="40"/>
            </w:pPr>
            <w:r>
              <w:rPr>
                <w:sz w:val="18"/>
              </w:rPr>
              <w:t>oben, links</w:t>
              <w:br/>
              <w:t>x 11.5–19.0 %</w:t>
              <w:br/>
              <w:t>y 4.6–6.4 %</w:t>
            </w:r>
          </w:p>
        </w:tc>
      </w:tr>
      <w:tr>
        <w:trPr>
          <w:cantSplit/>
        </w:trPr>
        <w:tc>
          <w:tcPr>
            <w:tcW w:type="dxa" w:w="3288"/>
          </w:tcPr>
          <w:p>
            <w:pPr>
              <w:spacing w:after="40"/>
            </w:pPr>
            <w:r>
              <w:rPr>
                <w:sz w:val="18"/>
              </w:rPr>
              <w:t>System and Spaces</w:t>
            </w:r>
          </w:p>
        </w:tc>
        <w:tc>
          <w:tcPr>
            <w:tcW w:type="dxa" w:w="3005"/>
          </w:tcPr>
          <w:p>
            <w:pPr>
              <w:spacing w:after="40"/>
            </w:pPr>
            <w:r>
              <w:rPr>
                <w:sz w:val="18"/>
              </w:rPr>
              <w:t>x 44–166</w:t>
              <w:br/>
              <w:t>y 106–119</w:t>
            </w:r>
          </w:p>
        </w:tc>
        <w:tc>
          <w:tcPr>
            <w:tcW w:type="dxa" w:w="3402"/>
          </w:tcPr>
          <w:p>
            <w:pPr>
              <w:spacing w:after="40"/>
            </w:pPr>
            <w:r>
              <w:rPr>
                <w:sz w:val="18"/>
              </w:rPr>
              <w:t>oben, links</w:t>
              <w:br/>
              <w:t>x 2.3–8.7 %</w:t>
              <w:br/>
              <w:t>y 11.7–13.1 %</w:t>
            </w:r>
          </w:p>
        </w:tc>
      </w:tr>
      <w:tr>
        <w:trPr>
          <w:cantSplit/>
        </w:trPr>
        <w:tc>
          <w:tcPr>
            <w:tcW w:type="dxa" w:w="3288"/>
          </w:tcPr>
          <w:p>
            <w:pPr>
              <w:spacing w:after="40"/>
            </w:pPr>
            <w:r>
              <w:rPr>
                <w:sz w:val="18"/>
              </w:rPr>
              <w:t>Semantic Onboarding</w:t>
            </w:r>
          </w:p>
        </w:tc>
        <w:tc>
          <w:tcPr>
            <w:tcW w:type="dxa" w:w="3005"/>
          </w:tcPr>
          <w:p>
            <w:pPr>
              <w:spacing w:after="40"/>
            </w:pPr>
            <w:r>
              <w:rPr>
                <w:sz w:val="18"/>
              </w:rPr>
              <w:t>x 860–1350</w:t>
              <w:br/>
              <w:t>y 124–170</w:t>
            </w:r>
          </w:p>
        </w:tc>
        <w:tc>
          <w:tcPr>
            <w:tcW w:type="dxa" w:w="3402"/>
          </w:tcPr>
          <w:p>
            <w:pPr>
              <w:spacing w:after="40"/>
            </w:pPr>
            <w:r>
              <w:rPr>
                <w:sz w:val="18"/>
              </w:rPr>
              <w:t>oben, mittig</w:t>
              <w:br/>
              <w:t>x 45.0–70.7 %</w:t>
              <w:br/>
              <w:t>y 13.7–18.8 %</w:t>
            </w:r>
          </w:p>
        </w:tc>
      </w:tr>
      <w:tr>
        <w:trPr>
          <w:cantSplit/>
        </w:trPr>
        <w:tc>
          <w:tcPr>
            <w:tcW w:type="dxa" w:w="3288"/>
          </w:tcPr>
          <w:p>
            <w:pPr>
              <w:spacing w:after="40"/>
            </w:pPr>
            <w:r>
              <w:rPr>
                <w:sz w:val="18"/>
              </w:rPr>
              <w:t>Capacities</w:t>
            </w:r>
          </w:p>
        </w:tc>
        <w:tc>
          <w:tcPr>
            <w:tcW w:type="dxa" w:w="3005"/>
          </w:tcPr>
          <w:p>
            <w:pPr>
              <w:spacing w:after="40"/>
            </w:pPr>
            <w:r>
              <w:rPr>
                <w:sz w:val="18"/>
              </w:rPr>
              <w:t>x 44–108</w:t>
              <w:br/>
              <w:t>y 142–155</w:t>
            </w:r>
          </w:p>
        </w:tc>
        <w:tc>
          <w:tcPr>
            <w:tcW w:type="dxa" w:w="3402"/>
          </w:tcPr>
          <w:p>
            <w:pPr>
              <w:spacing w:after="40"/>
            </w:pPr>
            <w:r>
              <w:rPr>
                <w:sz w:val="18"/>
              </w:rPr>
              <w:t>oben, links</w:t>
              <w:br/>
              <w:t>x 2.3–5.7 %</w:t>
              <w:br/>
              <w:t>y 15.7–17.1 %</w:t>
            </w:r>
          </w:p>
        </w:tc>
      </w:tr>
      <w:tr>
        <w:trPr>
          <w:cantSplit/>
        </w:trPr>
        <w:tc>
          <w:tcPr>
            <w:tcW w:type="dxa" w:w="3288"/>
          </w:tcPr>
          <w:p>
            <w:pPr>
              <w:spacing w:after="40"/>
            </w:pPr>
            <w:r>
              <w:rPr>
                <w:sz w:val="18"/>
              </w:rPr>
              <w:t>Task Logs</w:t>
            </w:r>
          </w:p>
        </w:tc>
        <w:tc>
          <w:tcPr>
            <w:tcW w:type="dxa" w:w="3005"/>
          </w:tcPr>
          <w:p>
            <w:pPr>
              <w:spacing w:after="40"/>
            </w:pPr>
            <w:r>
              <w:rPr>
                <w:sz w:val="18"/>
              </w:rPr>
              <w:t>x 44–104</w:t>
              <w:br/>
              <w:t>y 178–191</w:t>
            </w:r>
          </w:p>
        </w:tc>
        <w:tc>
          <w:tcPr>
            <w:tcW w:type="dxa" w:w="3402"/>
          </w:tcPr>
          <w:p>
            <w:pPr>
              <w:spacing w:after="40"/>
            </w:pPr>
            <w:r>
              <w:rPr>
                <w:sz w:val="18"/>
              </w:rPr>
              <w:t>oben, links</w:t>
              <w:br/>
              <w:t>x 2.3–5.5 %</w:t>
              <w:br/>
              <w:t>y 19.6–21.1 %</w:t>
            </w:r>
          </w:p>
        </w:tc>
      </w:tr>
      <w:tr>
        <w:trPr>
          <w:cantSplit/>
        </w:trPr>
        <w:tc>
          <w:tcPr>
            <w:tcW w:type="dxa" w:w="3288"/>
          </w:tcPr>
          <w:p>
            <w:pPr>
              <w:spacing w:after="40"/>
            </w:pPr>
            <w:r>
              <w:rPr>
                <w:sz w:val="18"/>
              </w:rPr>
              <w:t>from</w:t>
            </w:r>
          </w:p>
        </w:tc>
        <w:tc>
          <w:tcPr>
            <w:tcW w:type="dxa" w:w="3005"/>
          </w:tcPr>
          <w:p>
            <w:pPr>
              <w:spacing w:after="40"/>
            </w:pPr>
            <w:r>
              <w:rPr>
                <w:sz w:val="18"/>
              </w:rPr>
              <w:t>x 858–892</w:t>
              <w:br/>
              <w:t>y 206–217</w:t>
            </w:r>
          </w:p>
        </w:tc>
        <w:tc>
          <w:tcPr>
            <w:tcW w:type="dxa" w:w="3402"/>
          </w:tcPr>
          <w:p>
            <w:pPr>
              <w:spacing w:after="40"/>
            </w:pPr>
            <w:r>
              <w:rPr>
                <w:sz w:val="18"/>
              </w:rPr>
              <w:t>oben, mittig</w:t>
              <w:br/>
              <w:t>x 44.9–46.7 %</w:t>
              <w:br/>
              <w:t>y 22.7–24.0 %</w:t>
            </w:r>
          </w:p>
        </w:tc>
      </w:tr>
      <w:tr>
        <w:trPr>
          <w:cantSplit/>
        </w:trPr>
        <w:tc>
          <w:tcPr>
            <w:tcW w:type="dxa" w:w="3288"/>
          </w:tcPr>
          <w:p>
            <w:pPr>
              <w:spacing w:after="40"/>
            </w:pPr>
            <w:r>
              <w:rPr>
                <w:sz w:val="18"/>
              </w:rPr>
              <w:t>SAP systems,</w:t>
            </w:r>
          </w:p>
        </w:tc>
        <w:tc>
          <w:tcPr>
            <w:tcW w:type="dxa" w:w="3005"/>
          </w:tcPr>
          <w:p>
            <w:pPr>
              <w:spacing w:after="40"/>
            </w:pPr>
            <w:r>
              <w:rPr>
                <w:sz w:val="18"/>
              </w:rPr>
              <w:t>x 899–999</w:t>
              <w:br/>
              <w:t>y 206–220</w:t>
            </w:r>
          </w:p>
        </w:tc>
        <w:tc>
          <w:tcPr>
            <w:tcW w:type="dxa" w:w="3402"/>
          </w:tcPr>
          <w:p>
            <w:pPr>
              <w:spacing w:after="40"/>
            </w:pPr>
            <w:r>
              <w:rPr>
                <w:sz w:val="18"/>
              </w:rPr>
              <w:t>oben, mittig</w:t>
              <w:br/>
              <w:t>x 47.0–52.3 %</w:t>
              <w:br/>
              <w:t>y 22.7–24.3 %</w:t>
            </w:r>
          </w:p>
        </w:tc>
      </w:tr>
      <w:tr>
        <w:trPr>
          <w:cantSplit/>
        </w:trPr>
        <w:tc>
          <w:tcPr>
            <w:tcW w:type="dxa" w:w="3288"/>
          </w:tcPr>
          <w:p>
            <w:pPr>
              <w:spacing w:after="40"/>
            </w:pPr>
            <w:r>
              <w:rPr>
                <w:sz w:val="18"/>
              </w:rPr>
              <w:t>Content Network,</w:t>
            </w:r>
          </w:p>
        </w:tc>
        <w:tc>
          <w:tcPr>
            <w:tcW w:type="dxa" w:w="3005"/>
          </w:tcPr>
          <w:p>
            <w:pPr>
              <w:spacing w:after="40"/>
            </w:pPr>
            <w:r>
              <w:rPr>
                <w:sz w:val="18"/>
              </w:rPr>
              <w:t>x 1070–1200</w:t>
              <w:br/>
              <w:t>y 206–220</w:t>
            </w:r>
          </w:p>
        </w:tc>
        <w:tc>
          <w:tcPr>
            <w:tcW w:type="dxa" w:w="3402"/>
          </w:tcPr>
          <w:p>
            <w:pPr>
              <w:spacing w:after="40"/>
            </w:pPr>
            <w:r>
              <w:rPr>
                <w:sz w:val="18"/>
              </w:rPr>
              <w:t>oben, mittig</w:t>
              <w:br/>
              <w:t>x 56.0–62.8 %</w:t>
              <w:br/>
              <w:t>y 22.7–24.3 %</w:t>
            </w:r>
          </w:p>
        </w:tc>
      </w:tr>
      <w:tr>
        <w:trPr>
          <w:cantSplit/>
        </w:trPr>
        <w:tc>
          <w:tcPr>
            <w:tcW w:type="dxa" w:w="3288"/>
          </w:tcPr>
          <w:p>
            <w:pPr>
              <w:spacing w:after="40"/>
            </w:pPr>
            <w:r>
              <w:rPr>
                <w:sz w:val="18"/>
              </w:rPr>
              <w:t>other data</w:t>
            </w:r>
          </w:p>
        </w:tc>
        <w:tc>
          <w:tcPr>
            <w:tcW w:type="dxa" w:w="3005"/>
          </w:tcPr>
          <w:p>
            <w:pPr>
              <w:spacing w:after="40"/>
            </w:pPr>
            <w:r>
              <w:rPr>
                <w:sz w:val="18"/>
              </w:rPr>
              <w:t>x 1490–1566</w:t>
              <w:br/>
              <w:t>y 206–217</w:t>
            </w:r>
          </w:p>
        </w:tc>
        <w:tc>
          <w:tcPr>
            <w:tcW w:type="dxa" w:w="3402"/>
          </w:tcPr>
          <w:p>
            <w:pPr>
              <w:spacing w:after="40"/>
            </w:pPr>
            <w:r>
              <w:rPr>
                <w:sz w:val="18"/>
              </w:rPr>
              <w:t>oben, rechts</w:t>
              <w:br/>
              <w:t>x 78.0–81.9 %</w:t>
              <w:br/>
              <w:t>y 22.7–24.0 %</w:t>
            </w:r>
          </w:p>
        </w:tc>
      </w:tr>
      <w:tr>
        <w:trPr>
          <w:cantSplit/>
        </w:trPr>
        <w:tc>
          <w:tcPr>
            <w:tcW w:type="dxa" w:w="3288"/>
          </w:tcPr>
          <w:p>
            <w:pPr>
              <w:spacing w:after="40"/>
            </w:pPr>
            <w:r>
              <w:rPr>
                <w:sz w:val="18"/>
              </w:rPr>
              <w:t>Expensive Statement Logs</w:t>
            </w:r>
          </w:p>
        </w:tc>
        <w:tc>
          <w:tcPr>
            <w:tcW w:type="dxa" w:w="3005"/>
          </w:tcPr>
          <w:p>
            <w:pPr>
              <w:spacing w:after="40"/>
            </w:pPr>
            <w:r>
              <w:rPr>
                <w:sz w:val="18"/>
              </w:rPr>
              <w:t>x 45–207</w:t>
              <w:br/>
              <w:t>y 214–227</w:t>
            </w:r>
          </w:p>
        </w:tc>
        <w:tc>
          <w:tcPr>
            <w:tcW w:type="dxa" w:w="3402"/>
          </w:tcPr>
          <w:p>
            <w:pPr>
              <w:spacing w:after="40"/>
            </w:pPr>
            <w:r>
              <w:rPr>
                <w:sz w:val="18"/>
              </w:rPr>
              <w:t>oben, links</w:t>
              <w:br/>
              <w:t>x 2.4–10.8 %</w:t>
              <w:br/>
              <w:t>y 23.6–25.1 %</w:t>
            </w:r>
          </w:p>
        </w:tc>
      </w:tr>
      <w:tr>
        <w:trPr>
          <w:cantSplit/>
        </w:trPr>
        <w:tc>
          <w:tcPr>
            <w:tcW w:type="dxa" w:w="3288"/>
          </w:tcPr>
          <w:p>
            <w:pPr>
              <w:spacing w:after="40"/>
            </w:pPr>
            <w:r>
              <w:rPr>
                <w:sz w:val="18"/>
              </w:rPr>
              <w:t>Elastic Compute Nodes</w:t>
            </w:r>
          </w:p>
        </w:tc>
        <w:tc>
          <w:tcPr>
            <w:tcW w:type="dxa" w:w="3005"/>
          </w:tcPr>
          <w:p>
            <w:pPr>
              <w:spacing w:after="40"/>
            </w:pPr>
            <w:r>
              <w:rPr>
                <w:sz w:val="18"/>
              </w:rPr>
              <w:t>x 45–188</w:t>
              <w:br/>
              <w:t>y 250–263</w:t>
            </w:r>
          </w:p>
        </w:tc>
        <w:tc>
          <w:tcPr>
            <w:tcW w:type="dxa" w:w="3402"/>
          </w:tcPr>
          <w:p>
            <w:pPr>
              <w:spacing w:after="40"/>
            </w:pPr>
            <w:r>
              <w:rPr>
                <w:sz w:val="18"/>
              </w:rPr>
              <w:t>oben, links</w:t>
              <w:br/>
              <w:t>x 2.4–9.8 %</w:t>
              <w:br/>
              <w:t>y 27.6–29.0 %</w:t>
            </w:r>
          </w:p>
        </w:tc>
      </w:tr>
      <w:tr>
        <w:trPr>
          <w:cantSplit/>
        </w:trPr>
        <w:tc>
          <w:tcPr>
            <w:tcW w:type="dxa" w:w="3288"/>
          </w:tcPr>
          <w:p>
            <w:pPr>
              <w:spacing w:after="40"/>
            </w:pPr>
            <w:r>
              <w:rPr>
                <w:sz w:val="18"/>
              </w:rPr>
              <w:t>SAP Systems</w:t>
            </w:r>
          </w:p>
        </w:tc>
        <w:tc>
          <w:tcPr>
            <w:tcW w:type="dxa" w:w="3005"/>
          </w:tcPr>
          <w:p>
            <w:pPr>
              <w:spacing w:after="40"/>
            </w:pPr>
            <w:r>
              <w:rPr>
                <w:sz w:val="18"/>
              </w:rPr>
              <w:t>x 368–455</w:t>
              <w:br/>
              <w:t>y 279–292</w:t>
            </w:r>
          </w:p>
        </w:tc>
        <w:tc>
          <w:tcPr>
            <w:tcW w:type="dxa" w:w="3402"/>
          </w:tcPr>
          <w:p>
            <w:pPr>
              <w:spacing w:after="40"/>
            </w:pPr>
            <w:r>
              <w:rPr>
                <w:sz w:val="18"/>
              </w:rPr>
              <w:t>oben, links</w:t>
              <w:br/>
              <w:t>x 19.3–23.8 %</w:t>
              <w:br/>
              <w:t>y 30.8–32.2 %</w:t>
            </w:r>
          </w:p>
        </w:tc>
      </w:tr>
      <w:tr>
        <w:trPr>
          <w:cantSplit/>
        </w:trPr>
        <w:tc>
          <w:tcPr>
            <w:tcW w:type="dxa" w:w="3288"/>
          </w:tcPr>
          <w:p>
            <w:pPr>
              <w:spacing w:after="40"/>
            </w:pPr>
            <w:r>
              <w:rPr>
                <w:sz w:val="18"/>
              </w:rPr>
              <w:t>Open Import Logs</w:t>
            </w:r>
          </w:p>
        </w:tc>
        <w:tc>
          <w:tcPr>
            <w:tcW w:type="dxa" w:w="3005"/>
          </w:tcPr>
          <w:p>
            <w:pPr>
              <w:spacing w:after="40"/>
            </w:pPr>
            <w:r>
              <w:rPr>
                <w:sz w:val="18"/>
              </w:rPr>
              <w:t>x 1734–1844</w:t>
              <w:br/>
              <w:t>y 279–292</w:t>
            </w:r>
          </w:p>
        </w:tc>
        <w:tc>
          <w:tcPr>
            <w:tcW w:type="dxa" w:w="3402"/>
          </w:tcPr>
          <w:p>
            <w:pPr>
              <w:spacing w:after="40"/>
            </w:pPr>
            <w:r>
              <w:rPr>
                <w:sz w:val="18"/>
              </w:rPr>
              <w:t>oben, rechts</w:t>
              <w:br/>
              <w:t>x 90.7–96.5 %</w:t>
              <w:br/>
              <w:t>y 30.8–32.2 %</w:t>
            </w:r>
          </w:p>
        </w:tc>
      </w:tr>
      <w:tr>
        <w:trPr>
          <w:cantSplit/>
        </w:trPr>
        <w:tc>
          <w:tcPr>
            <w:tcW w:type="dxa" w:w="3288"/>
          </w:tcPr>
          <w:p>
            <w:pPr>
              <w:spacing w:after="40"/>
            </w:pPr>
            <w:r>
              <w:rPr>
                <w:sz w:val="18"/>
              </w:rPr>
              <w:t>Data Integration</w:t>
            </w:r>
          </w:p>
        </w:tc>
        <w:tc>
          <w:tcPr>
            <w:tcW w:type="dxa" w:w="3005"/>
          </w:tcPr>
          <w:p>
            <w:pPr>
              <w:spacing w:after="40"/>
            </w:pPr>
            <w:r>
              <w:rPr>
                <w:sz w:val="18"/>
              </w:rPr>
              <w:t>x 45–142</w:t>
              <w:br/>
              <w:t>y 286–299</w:t>
            </w:r>
          </w:p>
        </w:tc>
        <w:tc>
          <w:tcPr>
            <w:tcW w:type="dxa" w:w="3402"/>
          </w:tcPr>
          <w:p>
            <w:pPr>
              <w:spacing w:after="40"/>
            </w:pPr>
            <w:r>
              <w:rPr>
                <w:sz w:val="18"/>
              </w:rPr>
              <w:t>oben, links</w:t>
              <w:br/>
              <w:t>x 2.4–7.5 %</w:t>
              <w:br/>
              <w:t>y 31.6–33.0 %</w:t>
            </w:r>
          </w:p>
        </w:tc>
      </w:tr>
      <w:tr>
        <w:trPr>
          <w:cantSplit/>
        </w:trPr>
        <w:tc>
          <w:tcPr>
            <w:tcW w:type="dxa" w:w="3288"/>
          </w:tcPr>
          <w:p>
            <w:pPr>
              <w:spacing w:after="40"/>
            </w:pPr>
            <w:r>
              <w:rPr>
                <w:sz w:val="18"/>
              </w:rPr>
              <w:t>SAP S/4HANA Cloud</w:t>
            </w:r>
          </w:p>
        </w:tc>
        <w:tc>
          <w:tcPr>
            <w:tcW w:type="dxa" w:w="3005"/>
          </w:tcPr>
          <w:p>
            <w:pPr>
              <w:spacing w:after="40"/>
            </w:pPr>
            <w:r>
              <w:rPr>
                <w:sz w:val="18"/>
              </w:rPr>
              <w:t>x 394–528</w:t>
              <w:br/>
              <w:t>y 339–349</w:t>
            </w:r>
          </w:p>
        </w:tc>
        <w:tc>
          <w:tcPr>
            <w:tcW w:type="dxa" w:w="3402"/>
          </w:tcPr>
          <w:p>
            <w:pPr>
              <w:spacing w:after="40"/>
            </w:pPr>
            <w:r>
              <w:rPr>
                <w:sz w:val="18"/>
              </w:rPr>
              <w:t>auf mittlerer Höhe, links</w:t>
              <w:br/>
              <w:t>x 20.6–27.6 %</w:t>
              <w:br/>
              <w:t>y 37.4–38.5 %</w:t>
            </w:r>
          </w:p>
        </w:tc>
      </w:tr>
      <w:tr>
        <w:trPr>
          <w:cantSplit/>
        </w:trPr>
        <w:tc>
          <w:tcPr>
            <w:tcW w:type="dxa" w:w="3288"/>
          </w:tcPr>
          <w:p>
            <w:pPr>
              <w:spacing w:after="40"/>
            </w:pPr>
            <w:r>
              <w:rPr>
                <w:sz w:val="18"/>
              </w:rPr>
              <w:t>SAP BW Bridge</w:t>
            </w:r>
          </w:p>
        </w:tc>
        <w:tc>
          <w:tcPr>
            <w:tcW w:type="dxa" w:w="3005"/>
          </w:tcPr>
          <w:p>
            <w:pPr>
              <w:spacing w:after="40"/>
            </w:pPr>
            <w:r>
              <w:rPr>
                <w:sz w:val="18"/>
              </w:rPr>
              <w:t>x 1258–1358</w:t>
              <w:br/>
              <w:t>y 339–352</w:t>
            </w:r>
          </w:p>
        </w:tc>
        <w:tc>
          <w:tcPr>
            <w:tcW w:type="dxa" w:w="3402"/>
          </w:tcPr>
          <w:p>
            <w:pPr>
              <w:spacing w:after="40"/>
            </w:pPr>
            <w:r>
              <w:rPr>
                <w:sz w:val="18"/>
              </w:rPr>
              <w:t>auf mittlerer Höhe, rechts</w:t>
              <w:br/>
              <w:t>x 65.8–71.1 %</w:t>
              <w:br/>
              <w:t>y 37.4–38.9 %</w:t>
            </w:r>
          </w:p>
        </w:tc>
      </w:tr>
      <w:tr>
        <w:trPr>
          <w:cantSplit/>
        </w:trPr>
        <w:tc>
          <w:tcPr>
            <w:tcW w:type="dxa" w:w="3288"/>
          </w:tcPr>
          <w:p>
            <w:pPr>
              <w:spacing w:after="40"/>
            </w:pPr>
            <w:r>
              <w:rPr>
                <w:sz w:val="18"/>
              </w:rPr>
              <w:t>SAP HANA</w:t>
            </w:r>
          </w:p>
        </w:tc>
        <w:tc>
          <w:tcPr>
            <w:tcW w:type="dxa" w:w="3005"/>
          </w:tcPr>
          <w:p>
            <w:pPr>
              <w:spacing w:after="40"/>
            </w:pPr>
            <w:r>
              <w:rPr>
                <w:sz w:val="18"/>
              </w:rPr>
              <w:t>x 1546–1616</w:t>
              <w:br/>
              <w:t>y 339–349</w:t>
            </w:r>
          </w:p>
        </w:tc>
        <w:tc>
          <w:tcPr>
            <w:tcW w:type="dxa" w:w="3402"/>
          </w:tcPr>
          <w:p>
            <w:pPr>
              <w:spacing w:after="40"/>
            </w:pPr>
            <w:r>
              <w:rPr>
                <w:sz w:val="18"/>
              </w:rPr>
              <w:t>auf mittlerer Höhe, rechts</w:t>
              <w:br/>
              <w:t>x 80.9–84.6 %</w:t>
              <w:br/>
              <w:t>y 37.4–38.5 %</w:t>
            </w:r>
          </w:p>
        </w:tc>
      </w:tr>
      <w:tr>
        <w:trPr>
          <w:cantSplit/>
        </w:trPr>
        <w:tc>
          <w:tcPr>
            <w:tcW w:type="dxa" w:w="3288"/>
          </w:tcPr>
          <w:p>
            <w:pPr>
              <w:spacing w:after="40"/>
            </w:pPr>
            <w:r>
              <w:rPr>
                <w:sz w:val="18"/>
              </w:rPr>
              <w:t>Search</w:t>
            </w:r>
          </w:p>
        </w:tc>
        <w:tc>
          <w:tcPr>
            <w:tcW w:type="dxa" w:w="3005"/>
          </w:tcPr>
          <w:p>
            <w:pPr>
              <w:spacing w:after="40"/>
            </w:pPr>
            <w:r>
              <w:rPr>
                <w:sz w:val="18"/>
              </w:rPr>
              <w:t>x 44–86</w:t>
              <w:br/>
              <w:t>y 374–384</w:t>
            </w:r>
          </w:p>
        </w:tc>
        <w:tc>
          <w:tcPr>
            <w:tcW w:type="dxa" w:w="3402"/>
          </w:tcPr>
          <w:p>
            <w:pPr>
              <w:spacing w:after="40"/>
            </w:pPr>
            <w:r>
              <w:rPr>
                <w:sz w:val="18"/>
              </w:rPr>
              <w:t>auf mittlerer Höhe, links</w:t>
              <w:br/>
              <w:t>x 2.3–4.5 %</w:t>
              <w:br/>
              <w:t>y 41.3–42.4 %</w:t>
            </w:r>
          </w:p>
        </w:tc>
      </w:tr>
      <w:tr>
        <w:trPr>
          <w:cantSplit/>
        </w:trPr>
        <w:tc>
          <w:tcPr>
            <w:tcW w:type="dxa" w:w="3288"/>
          </w:tcPr>
          <w:p>
            <w:pPr>
              <w:spacing w:after="40"/>
            </w:pPr>
            <w:r>
              <w:rPr>
                <w:sz w:val="18"/>
              </w:rPr>
              <w:t>Apps</w:t>
            </w:r>
          </w:p>
        </w:tc>
        <w:tc>
          <w:tcPr>
            <w:tcW w:type="dxa" w:w="3005"/>
          </w:tcPr>
          <w:p>
            <w:pPr>
              <w:spacing w:after="40"/>
            </w:pPr>
            <w:r>
              <w:rPr>
                <w:sz w:val="18"/>
              </w:rPr>
              <w:t>x 20–51</w:t>
              <w:br/>
              <w:t>y 456–469</w:t>
            </w:r>
          </w:p>
        </w:tc>
        <w:tc>
          <w:tcPr>
            <w:tcW w:type="dxa" w:w="3402"/>
          </w:tcPr>
          <w:p>
            <w:pPr>
              <w:spacing w:after="40"/>
            </w:pPr>
            <w:r>
              <w:rPr>
                <w:sz w:val="18"/>
              </w:rPr>
              <w:t>auf mittlerer Höhe, links</w:t>
              <w:br/>
              <w:t>x 1.0–2.7 %</w:t>
              <w:br/>
              <w:t>y 50.3–51.8 %</w:t>
            </w:r>
          </w:p>
        </w:tc>
      </w:tr>
      <w:tr>
        <w:trPr>
          <w:cantSplit/>
        </w:trPr>
        <w:tc>
          <w:tcPr>
            <w:tcW w:type="dxa" w:w="3288"/>
          </w:tcPr>
          <w:p>
            <w:pPr>
              <w:spacing w:after="40"/>
            </w:pPr>
            <w:r>
              <w:rPr>
                <w:sz w:val="18"/>
              </w:rPr>
              <w:t>Connections</w:t>
            </w:r>
          </w:p>
        </w:tc>
        <w:tc>
          <w:tcPr>
            <w:tcW w:type="dxa" w:w="3005"/>
          </w:tcPr>
          <w:p>
            <w:pPr>
              <w:spacing w:after="40"/>
            </w:pPr>
            <w:r>
              <w:rPr>
                <w:sz w:val="18"/>
              </w:rPr>
              <w:t>x 394–470</w:t>
              <w:br/>
              <w:t>y 457–467</w:t>
            </w:r>
          </w:p>
        </w:tc>
        <w:tc>
          <w:tcPr>
            <w:tcW w:type="dxa" w:w="3402"/>
          </w:tcPr>
          <w:p>
            <w:pPr>
              <w:spacing w:after="40"/>
            </w:pPr>
            <w:r>
              <w:rPr>
                <w:sz w:val="18"/>
              </w:rPr>
              <w:t>auf mittlerer Höhe, links</w:t>
              <w:br/>
              <w:t>x 20.6–24.6 %</w:t>
              <w:br/>
              <w:t>y 50.4–51.5 %</w:t>
            </w:r>
          </w:p>
        </w:tc>
      </w:tr>
      <w:tr>
        <w:trPr>
          <w:cantSplit/>
        </w:trPr>
        <w:tc>
          <w:tcPr>
            <w:tcW w:type="dxa" w:w="3288"/>
          </w:tcPr>
          <w:p>
            <w:pPr>
              <w:spacing w:after="40"/>
            </w:pPr>
            <w:r>
              <w:rPr>
                <w:sz w:val="18"/>
              </w:rPr>
              <w:t>Connections</w:t>
            </w:r>
          </w:p>
        </w:tc>
        <w:tc>
          <w:tcPr>
            <w:tcW w:type="dxa" w:w="3005"/>
          </w:tcPr>
          <w:p>
            <w:pPr>
              <w:spacing w:after="40"/>
            </w:pPr>
            <w:r>
              <w:rPr>
                <w:sz w:val="18"/>
              </w:rPr>
              <w:t>x 682–758</w:t>
              <w:br/>
              <w:t>y 457–467</w:t>
            </w:r>
          </w:p>
        </w:tc>
        <w:tc>
          <w:tcPr>
            <w:tcW w:type="dxa" w:w="3402"/>
          </w:tcPr>
          <w:p>
            <w:pPr>
              <w:spacing w:after="40"/>
            </w:pPr>
            <w:r>
              <w:rPr>
                <w:sz w:val="18"/>
              </w:rPr>
              <w:t>auf mittlerer Höhe, mittig</w:t>
              <w:br/>
              <w:t>x 35.7–39.6 %</w:t>
              <w:br/>
              <w:t>y 50.4–51.5 %</w:t>
            </w:r>
          </w:p>
        </w:tc>
      </w:tr>
      <w:tr>
        <w:trPr>
          <w:cantSplit/>
        </w:trPr>
        <w:tc>
          <w:tcPr>
            <w:tcW w:type="dxa" w:w="3288"/>
          </w:tcPr>
          <w:p>
            <w:pPr>
              <w:spacing w:after="40"/>
            </w:pPr>
            <w:r>
              <w:rPr>
                <w:sz w:val="18"/>
              </w:rPr>
              <w:t>Connections</w:t>
            </w:r>
          </w:p>
        </w:tc>
        <w:tc>
          <w:tcPr>
            <w:tcW w:type="dxa" w:w="3005"/>
          </w:tcPr>
          <w:p>
            <w:pPr>
              <w:spacing w:after="40"/>
            </w:pPr>
            <w:r>
              <w:rPr>
                <w:sz w:val="18"/>
              </w:rPr>
              <w:t>x 970–1046</w:t>
              <w:br/>
              <w:t>y 457–467</w:t>
            </w:r>
          </w:p>
        </w:tc>
        <w:tc>
          <w:tcPr>
            <w:tcW w:type="dxa" w:w="3402"/>
          </w:tcPr>
          <w:p>
            <w:pPr>
              <w:spacing w:after="40"/>
            </w:pPr>
            <w:r>
              <w:rPr>
                <w:sz w:val="18"/>
              </w:rPr>
              <w:t>auf mittlerer Höhe, mittig</w:t>
              <w:br/>
              <w:t>x 50.7–54.7 %</w:t>
              <w:br/>
              <w:t>y 50.4–51.5 %</w:t>
            </w:r>
          </w:p>
        </w:tc>
      </w:tr>
      <w:tr>
        <w:trPr>
          <w:cantSplit/>
        </w:trPr>
        <w:tc>
          <w:tcPr>
            <w:tcW w:type="dxa" w:w="3288"/>
          </w:tcPr>
          <w:p>
            <w:pPr>
              <w:spacing w:after="40"/>
            </w:pPr>
            <w:r>
              <w:rPr>
                <w:sz w:val="18"/>
              </w:rPr>
              <w:t>Not Enabled</w:t>
            </w:r>
          </w:p>
        </w:tc>
        <w:tc>
          <w:tcPr>
            <w:tcW w:type="dxa" w:w="3005"/>
          </w:tcPr>
          <w:p>
            <w:pPr>
              <w:spacing w:after="40"/>
            </w:pPr>
            <w:r>
              <w:rPr>
                <w:sz w:val="18"/>
              </w:rPr>
              <w:t>x 1258–1333</w:t>
              <w:br/>
              <w:t>y 457–467</w:t>
            </w:r>
          </w:p>
        </w:tc>
        <w:tc>
          <w:tcPr>
            <w:tcW w:type="dxa" w:w="3402"/>
          </w:tcPr>
          <w:p>
            <w:pPr>
              <w:spacing w:after="40"/>
            </w:pPr>
            <w:r>
              <w:rPr>
                <w:sz w:val="18"/>
              </w:rPr>
              <w:t>auf mittlerer Höhe, rechts</w:t>
              <w:br/>
              <w:t>x 65.8–69.8 %</w:t>
              <w:br/>
              <w:t>y 50.4–51.5 %</w:t>
            </w:r>
          </w:p>
        </w:tc>
      </w:tr>
      <w:tr>
        <w:trPr>
          <w:cantSplit/>
        </w:trPr>
        <w:tc>
          <w:tcPr>
            <w:tcW w:type="dxa" w:w="3288"/>
          </w:tcPr>
          <w:p>
            <w:pPr>
              <w:spacing w:after="40"/>
            </w:pPr>
            <w:r>
              <w:rPr>
                <w:sz w:val="18"/>
              </w:rPr>
              <w:t>Connections</w:t>
            </w:r>
          </w:p>
        </w:tc>
        <w:tc>
          <w:tcPr>
            <w:tcW w:type="dxa" w:w="3005"/>
          </w:tcPr>
          <w:p>
            <w:pPr>
              <w:spacing w:after="40"/>
            </w:pPr>
            <w:r>
              <w:rPr>
                <w:sz w:val="18"/>
              </w:rPr>
              <w:t>x 1546–1622</w:t>
              <w:br/>
              <w:t>y 457–467</w:t>
            </w:r>
          </w:p>
        </w:tc>
        <w:tc>
          <w:tcPr>
            <w:tcW w:type="dxa" w:w="3402"/>
          </w:tcPr>
          <w:p>
            <w:pPr>
              <w:spacing w:after="40"/>
            </w:pPr>
            <w:r>
              <w:rPr>
                <w:sz w:val="18"/>
              </w:rPr>
              <w:t>auf mittlerer Höhe, rechts</w:t>
              <w:br/>
              <w:t>x 80.9–84.9 %</w:t>
              <w:br/>
              <w:t>y 50.4–51.5 %</w:t>
            </w:r>
          </w:p>
        </w:tc>
      </w:tr>
      <w:tr>
        <w:trPr>
          <w:cantSplit/>
        </w:trPr>
        <w:tc>
          <w:tcPr>
            <w:tcW w:type="dxa" w:w="3288"/>
          </w:tcPr>
          <w:p>
            <w:pPr>
              <w:spacing w:after="40"/>
            </w:pPr>
            <w:r>
              <w:rPr>
                <w:sz w:val="18"/>
              </w:rPr>
              <w:t>Business Builder</w:t>
            </w:r>
          </w:p>
        </w:tc>
        <w:tc>
          <w:tcPr>
            <w:tcW w:type="dxa" w:w="3005"/>
          </w:tcPr>
          <w:p>
            <w:pPr>
              <w:spacing w:after="40"/>
            </w:pPr>
            <w:r>
              <w:rPr>
                <w:sz w:val="18"/>
              </w:rPr>
              <w:t>x 44–147</w:t>
              <w:br/>
              <w:t>y 528–538</w:t>
            </w:r>
          </w:p>
        </w:tc>
        <w:tc>
          <w:tcPr>
            <w:tcW w:type="dxa" w:w="3402"/>
          </w:tcPr>
          <w:p>
            <w:pPr>
              <w:spacing w:after="40"/>
            </w:pPr>
            <w:r>
              <w:rPr>
                <w:sz w:val="18"/>
              </w:rPr>
              <w:t>auf mittlerer Höhe, links</w:t>
              <w:br/>
              <w:t>x 2.3–7.7 %</w:t>
              <w:br/>
              <w:t>y 58.3–59.4 %</w:t>
            </w:r>
          </w:p>
        </w:tc>
      </w:tr>
      <w:tr>
        <w:trPr>
          <w:cantSplit/>
        </w:trPr>
        <w:tc>
          <w:tcPr>
            <w:tcW w:type="dxa" w:w="3288"/>
          </w:tcPr>
          <w:p>
            <w:pPr>
              <w:spacing w:after="40"/>
            </w:pPr>
            <w:r>
              <w:rPr>
                <w:sz w:val="18"/>
              </w:rPr>
              <w:t>Content Network</w:t>
            </w:r>
          </w:p>
        </w:tc>
        <w:tc>
          <w:tcPr>
            <w:tcW w:type="dxa" w:w="3005"/>
          </w:tcPr>
          <w:p>
            <w:pPr>
              <w:spacing w:after="40"/>
            </w:pPr>
            <w:r>
              <w:rPr>
                <w:sz w:val="18"/>
              </w:rPr>
              <w:t>x 368–480</w:t>
              <w:br/>
              <w:t>y 548–558</w:t>
            </w:r>
          </w:p>
        </w:tc>
        <w:tc>
          <w:tcPr>
            <w:tcW w:type="dxa" w:w="3402"/>
          </w:tcPr>
          <w:p>
            <w:pPr>
              <w:spacing w:after="40"/>
            </w:pPr>
            <w:r>
              <w:rPr>
                <w:sz w:val="18"/>
              </w:rPr>
              <w:t>auf mittlerer Höhe, links</w:t>
              <w:br/>
              <w:t>x 19.3–25.1 %</w:t>
              <w:br/>
              <w:t>y 60.5–61.6 %</w:t>
            </w:r>
          </w:p>
        </w:tc>
      </w:tr>
      <w:tr>
        <w:trPr>
          <w:cantSplit/>
        </w:trPr>
        <w:tc>
          <w:tcPr>
            <w:tcW w:type="dxa" w:w="3288"/>
          </w:tcPr>
          <w:p>
            <w:pPr>
              <w:spacing w:after="40"/>
            </w:pPr>
            <w:r>
              <w:rPr>
                <w:sz w:val="18"/>
              </w:rPr>
              <w:t>Data Builder</w:t>
            </w:r>
          </w:p>
        </w:tc>
        <w:tc>
          <w:tcPr>
            <w:tcW w:type="dxa" w:w="3005"/>
          </w:tcPr>
          <w:p>
            <w:pPr>
              <w:spacing w:after="40"/>
            </w:pPr>
            <w:r>
              <w:rPr>
                <w:sz w:val="18"/>
              </w:rPr>
              <w:t>x 44–121</w:t>
              <w:br/>
              <w:t>y 564–574</w:t>
            </w:r>
          </w:p>
        </w:tc>
        <w:tc>
          <w:tcPr>
            <w:tcW w:type="dxa" w:w="3402"/>
          </w:tcPr>
          <w:p>
            <w:pPr>
              <w:spacing w:after="40"/>
            </w:pPr>
            <w:r>
              <w:rPr>
                <w:sz w:val="18"/>
              </w:rPr>
              <w:t>auf mittlerer Höhe, links</w:t>
              <w:br/>
              <w:t>x 2.3–6.3 %</w:t>
              <w:br/>
              <w:t>y 62.3–63.4 %</w:t>
            </w:r>
          </w:p>
        </w:tc>
      </w:tr>
      <w:tr>
        <w:trPr>
          <w:cantSplit/>
        </w:trPr>
        <w:tc>
          <w:tcPr>
            <w:tcW w:type="dxa" w:w="3288"/>
          </w:tcPr>
          <w:p>
            <w:pPr>
              <w:spacing w:after="40"/>
            </w:pPr>
            <w:r>
              <w:rPr>
                <w:sz w:val="18"/>
              </w:rPr>
              <w:t>Connections</w:t>
            </w:r>
          </w:p>
        </w:tc>
        <w:tc>
          <w:tcPr>
            <w:tcW w:type="dxa" w:w="3005"/>
          </w:tcPr>
          <w:p>
            <w:pPr>
              <w:spacing w:after="40"/>
            </w:pPr>
            <w:r>
              <w:rPr>
                <w:sz w:val="18"/>
              </w:rPr>
              <w:t>x 44–120</w:t>
              <w:br/>
              <w:t>y 600–610</w:t>
            </w:r>
          </w:p>
        </w:tc>
        <w:tc>
          <w:tcPr>
            <w:tcW w:type="dxa" w:w="3402"/>
          </w:tcPr>
          <w:p>
            <w:pPr>
              <w:spacing w:after="40"/>
            </w:pPr>
            <w:r>
              <w:rPr>
                <w:sz w:val="18"/>
              </w:rPr>
              <w:t>auf mittlerer Höhe, links</w:t>
              <w:br/>
              <w:t>x 2.3–6.3 %</w:t>
              <w:br/>
              <w:t>y 66.2–67.3 %</w:t>
            </w:r>
          </w:p>
        </w:tc>
      </w:tr>
      <w:tr>
        <w:trPr>
          <w:cantSplit/>
        </w:trPr>
        <w:tc>
          <w:tcPr>
            <w:tcW w:type="dxa" w:w="3288"/>
          </w:tcPr>
          <w:p>
            <w:pPr>
              <w:spacing w:after="40"/>
            </w:pPr>
            <w:r>
              <w:rPr>
                <w:sz w:val="18"/>
              </w:rPr>
              <w:t>Samples</w:t>
            </w:r>
          </w:p>
        </w:tc>
        <w:tc>
          <w:tcPr>
            <w:tcW w:type="dxa" w:w="3005"/>
          </w:tcPr>
          <w:p>
            <w:pPr>
              <w:spacing w:after="40"/>
            </w:pPr>
            <w:r>
              <w:rPr>
                <w:sz w:val="18"/>
              </w:rPr>
              <w:t>x 538–593</w:t>
              <w:br/>
              <w:t>y 608–621</w:t>
            </w:r>
          </w:p>
        </w:tc>
        <w:tc>
          <w:tcPr>
            <w:tcW w:type="dxa" w:w="3402"/>
          </w:tcPr>
          <w:p>
            <w:pPr>
              <w:spacing w:after="40"/>
            </w:pPr>
            <w:r>
              <w:rPr>
                <w:sz w:val="18"/>
              </w:rPr>
              <w:t>unten, links</w:t>
              <w:br/>
              <w:t>x 28.1–31.0 %</w:t>
              <w:br/>
              <w:t>y 67.1–68.5 %</w:t>
            </w:r>
          </w:p>
        </w:tc>
      </w:tr>
      <w:tr>
        <w:trPr>
          <w:cantSplit/>
        </w:trPr>
        <w:tc>
          <w:tcPr>
            <w:tcW w:type="dxa" w:w="3288"/>
          </w:tcPr>
          <w:p>
            <w:pPr>
              <w:spacing w:after="40"/>
            </w:pPr>
            <w:r>
              <w:rPr>
                <w:sz w:val="18"/>
              </w:rPr>
              <w:t>Business Content</w:t>
            </w:r>
          </w:p>
        </w:tc>
        <w:tc>
          <w:tcPr>
            <w:tcW w:type="dxa" w:w="3005"/>
          </w:tcPr>
          <w:p>
            <w:pPr>
              <w:spacing w:after="40"/>
            </w:pPr>
            <w:r>
              <w:rPr>
                <w:sz w:val="18"/>
              </w:rPr>
              <w:t>x 922–1037</w:t>
              <w:br/>
              <w:t>y 608–618</w:t>
            </w:r>
          </w:p>
        </w:tc>
        <w:tc>
          <w:tcPr>
            <w:tcW w:type="dxa" w:w="3402"/>
          </w:tcPr>
          <w:p>
            <w:pPr>
              <w:spacing w:after="40"/>
            </w:pPr>
            <w:r>
              <w:rPr>
                <w:sz w:val="18"/>
              </w:rPr>
              <w:t>unten, mittig</w:t>
              <w:br/>
              <w:t>x 48.2–54.3 %</w:t>
              <w:br/>
              <w:t>y 67.1–68.2 %</w:t>
            </w:r>
          </w:p>
        </w:tc>
      </w:tr>
      <w:tr>
        <w:trPr>
          <w:cantSplit/>
        </w:trPr>
        <w:tc>
          <w:tcPr>
            <w:tcW w:type="dxa" w:w="3288"/>
          </w:tcPr>
          <w:p>
            <w:pPr>
              <w:spacing w:after="40"/>
            </w:pPr>
            <w:r>
              <w:rPr>
                <w:sz w:val="18"/>
              </w:rPr>
              <w:t>3rd Party Business Content</w:t>
            </w:r>
          </w:p>
        </w:tc>
        <w:tc>
          <w:tcPr>
            <w:tcW w:type="dxa" w:w="3005"/>
          </w:tcPr>
          <w:p>
            <w:pPr>
              <w:spacing w:after="40"/>
            </w:pPr>
            <w:r>
              <w:rPr>
                <w:sz w:val="18"/>
              </w:rPr>
              <w:t>x 1305–1485</w:t>
              <w:br/>
              <w:t>y 608–621</w:t>
            </w:r>
          </w:p>
        </w:tc>
        <w:tc>
          <w:tcPr>
            <w:tcW w:type="dxa" w:w="3402"/>
          </w:tcPr>
          <w:p>
            <w:pPr>
              <w:spacing w:after="40"/>
            </w:pPr>
            <w:r>
              <w:rPr>
                <w:sz w:val="18"/>
              </w:rPr>
              <w:t>unten, rechts</w:t>
              <w:br/>
              <w:t>x 68.3–77.7 %</w:t>
              <w:br/>
              <w:t>y 67.1–68.5 %</w:t>
            </w:r>
          </w:p>
        </w:tc>
      </w:tr>
      <w:tr>
        <w:trPr>
          <w:cantSplit/>
        </w:trPr>
        <w:tc>
          <w:tcPr>
            <w:tcW w:type="dxa" w:w="3288"/>
          </w:tcPr>
          <w:p>
            <w:pPr>
              <w:spacing w:after="40"/>
            </w:pPr>
            <w:r>
              <w:rPr>
                <w:sz w:val="18"/>
              </w:rPr>
              <w:t>Utilities</w:t>
            </w:r>
          </w:p>
        </w:tc>
        <w:tc>
          <w:tcPr>
            <w:tcW w:type="dxa" w:w="3005"/>
          </w:tcPr>
          <w:p>
            <w:pPr>
              <w:spacing w:after="40"/>
            </w:pPr>
            <w:r>
              <w:rPr>
                <w:sz w:val="18"/>
              </w:rPr>
              <w:t>x 21–65</w:t>
              <w:br/>
              <w:t>y 646–656</w:t>
            </w:r>
          </w:p>
        </w:tc>
        <w:tc>
          <w:tcPr>
            <w:tcW w:type="dxa" w:w="3402"/>
          </w:tcPr>
          <w:p>
            <w:pPr>
              <w:spacing w:after="40"/>
            </w:pPr>
            <w:r>
              <w:rPr>
                <w:sz w:val="18"/>
              </w:rPr>
              <w:t>unten, links</w:t>
              <w:br/>
              <w:t>x 1.1–3.4 %</w:t>
              <w:br/>
              <w:t>y 71.3–72.4 %</w:t>
            </w:r>
          </w:p>
        </w:tc>
      </w:tr>
      <w:tr>
        <w:trPr>
          <w:cantSplit/>
        </w:trPr>
        <w:tc>
          <w:tcPr>
            <w:tcW w:type="dxa" w:w="3288"/>
          </w:tcPr>
          <w:p>
            <w:pPr>
              <w:spacing w:after="40"/>
            </w:pPr>
            <w:r>
              <w:rPr>
                <w:sz w:val="18"/>
              </w:rPr>
              <w:t>Space Management</w:t>
            </w:r>
          </w:p>
        </w:tc>
        <w:tc>
          <w:tcPr>
            <w:tcW w:type="dxa" w:w="3005"/>
          </w:tcPr>
          <w:p>
            <w:pPr>
              <w:spacing w:after="40"/>
            </w:pPr>
            <w:r>
              <w:rPr>
                <w:sz w:val="18"/>
              </w:rPr>
              <w:t>x 44–167</w:t>
              <w:br/>
              <w:t>y 682–695</w:t>
            </w:r>
          </w:p>
        </w:tc>
        <w:tc>
          <w:tcPr>
            <w:tcW w:type="dxa" w:w="3402"/>
          </w:tcPr>
          <w:p>
            <w:pPr>
              <w:spacing w:after="40"/>
            </w:pPr>
            <w:r>
              <w:rPr>
                <w:sz w:val="18"/>
              </w:rPr>
              <w:t>unten, links</w:t>
              <w:br/>
              <w:t>x 2.3–8.7 %</w:t>
              <w:br/>
              <w:t>y 75.3–76.7 %</w:t>
            </w:r>
          </w:p>
        </w:tc>
      </w:tr>
      <w:tr>
        <w:trPr>
          <w:cantSplit/>
        </w:trPr>
        <w:tc>
          <w:tcPr>
            <w:tcW w:type="dxa" w:w="3288"/>
          </w:tcPr>
          <w:p>
            <w:pPr>
              <w:spacing w:after="40"/>
            </w:pPr>
            <w:r>
              <w:rPr>
                <w:sz w:val="18"/>
              </w:rPr>
              <w:t>from</w:t>
            </w:r>
          </w:p>
        </w:tc>
        <w:tc>
          <w:tcPr>
            <w:tcW w:type="dxa" w:w="3005"/>
          </w:tcPr>
          <w:p>
            <w:pPr>
              <w:spacing w:after="40"/>
            </w:pPr>
            <w:r>
              <w:rPr>
                <w:sz w:val="18"/>
              </w:rPr>
              <w:t>x 609–637</w:t>
              <w:br/>
              <w:t>y 699–709</w:t>
            </w:r>
          </w:p>
        </w:tc>
        <w:tc>
          <w:tcPr>
            <w:tcW w:type="dxa" w:w="3402"/>
          </w:tcPr>
          <w:p>
            <w:pPr>
              <w:spacing w:after="40"/>
            </w:pPr>
            <w:r>
              <w:rPr>
                <w:sz w:val="18"/>
              </w:rPr>
              <w:t>unten, links</w:t>
              <w:br/>
              <w:t>x 31.9–33.3 %</w:t>
              <w:br/>
              <w:t>y 77.2–78.3 %</w:t>
            </w:r>
          </w:p>
        </w:tc>
      </w:tr>
      <w:tr>
        <w:trPr>
          <w:cantSplit/>
        </w:trPr>
        <w:tc>
          <w:tcPr>
            <w:tcW w:type="dxa" w:w="3288"/>
          </w:tcPr>
          <w:p>
            <w:pPr>
              <w:spacing w:after="40"/>
            </w:pPr>
            <w:r>
              <w:rPr>
                <w:sz w:val="18"/>
              </w:rPr>
              <w:t>of</w:t>
            </w:r>
          </w:p>
        </w:tc>
        <w:tc>
          <w:tcPr>
            <w:tcW w:type="dxa" w:w="3005"/>
          </w:tcPr>
          <w:p>
            <w:pPr>
              <w:spacing w:after="40"/>
            </w:pPr>
            <w:r>
              <w:rPr>
                <w:sz w:val="18"/>
              </w:rPr>
              <w:t>x 716–728</w:t>
              <w:br/>
              <w:t>y 699–709</w:t>
            </w:r>
          </w:p>
        </w:tc>
        <w:tc>
          <w:tcPr>
            <w:tcW w:type="dxa" w:w="3402"/>
          </w:tcPr>
          <w:p>
            <w:pPr>
              <w:spacing w:after="40"/>
            </w:pPr>
            <w:r>
              <w:rPr>
                <w:sz w:val="18"/>
              </w:rPr>
              <w:t>unten, mittig</w:t>
              <w:br/>
              <w:t>x 37.5–38.1 %</w:t>
              <w:br/>
              <w:t>y 77.2–78.3 %</w:t>
            </w:r>
          </w:p>
        </w:tc>
      </w:tr>
      <w:tr>
        <w:trPr>
          <w:cantSplit/>
        </w:trPr>
        <w:tc>
          <w:tcPr>
            <w:tcW w:type="dxa" w:w="3288"/>
          </w:tcPr>
          <w:p>
            <w:pPr>
              <w:spacing w:after="40"/>
            </w:pPr>
            <w:r>
              <w:rPr>
                <w:sz w:val="18"/>
              </w:rPr>
              <w:t>of</w:t>
            </w:r>
          </w:p>
        </w:tc>
        <w:tc>
          <w:tcPr>
            <w:tcW w:type="dxa" w:w="3005"/>
          </w:tcPr>
          <w:p>
            <w:pPr>
              <w:spacing w:after="40"/>
            </w:pPr>
            <w:r>
              <w:rPr>
                <w:sz w:val="18"/>
              </w:rPr>
              <w:t>x 1087–1099</w:t>
              <w:br/>
              <w:t>y 699–709</w:t>
            </w:r>
          </w:p>
        </w:tc>
        <w:tc>
          <w:tcPr>
            <w:tcW w:type="dxa" w:w="3402"/>
          </w:tcPr>
          <w:p>
            <w:pPr>
              <w:spacing w:after="40"/>
            </w:pPr>
            <w:r>
              <w:rPr>
                <w:sz w:val="18"/>
              </w:rPr>
              <w:t>unten, mittig</w:t>
              <w:br/>
              <w:t>x 56.9–57.5 %</w:t>
              <w:br/>
              <w:t>y 77.2–78.3 %</w:t>
            </w:r>
          </w:p>
        </w:tc>
      </w:tr>
      <w:tr>
        <w:trPr>
          <w:cantSplit/>
        </w:trPr>
        <w:tc>
          <w:tcPr>
            <w:tcW w:type="dxa" w:w="3288"/>
          </w:tcPr>
          <w:p>
            <w:pPr>
              <w:spacing w:after="40"/>
            </w:pPr>
            <w:r>
              <w:rPr>
                <w:sz w:val="18"/>
              </w:rPr>
              <w:t>Business content.</w:t>
            </w:r>
          </w:p>
        </w:tc>
        <w:tc>
          <w:tcPr>
            <w:tcW w:type="dxa" w:w="3005"/>
          </w:tcPr>
          <w:p>
            <w:pPr>
              <w:spacing w:after="40"/>
            </w:pPr>
            <w:r>
              <w:rPr>
                <w:sz w:val="18"/>
              </w:rPr>
              <w:t>x 1104–1211</w:t>
              <w:br/>
              <w:t>y 699–709</w:t>
            </w:r>
          </w:p>
        </w:tc>
        <w:tc>
          <w:tcPr>
            <w:tcW w:type="dxa" w:w="3402"/>
          </w:tcPr>
          <w:p>
            <w:pPr>
              <w:spacing w:after="40"/>
            </w:pPr>
            <w:r>
              <w:rPr>
                <w:sz w:val="18"/>
              </w:rPr>
              <w:t>unten, mittig</w:t>
              <w:br/>
              <w:t>x 57.8–63.4 %</w:t>
              <w:br/>
              <w:t>y 77.2–78.3 %</w:t>
            </w:r>
          </w:p>
        </w:tc>
      </w:tr>
      <w:tr>
        <w:trPr>
          <w:cantSplit/>
        </w:trPr>
        <w:tc>
          <w:tcPr>
            <w:tcW w:type="dxa" w:w="3288"/>
          </w:tcPr>
          <w:p>
            <w:pPr>
              <w:spacing w:after="40"/>
            </w:pPr>
            <w:r>
              <w:rPr>
                <w:sz w:val="18"/>
              </w:rPr>
              <w:t>of</w:t>
            </w:r>
          </w:p>
        </w:tc>
        <w:tc>
          <w:tcPr>
            <w:tcW w:type="dxa" w:w="3005"/>
          </w:tcPr>
          <w:p>
            <w:pPr>
              <w:spacing w:after="40"/>
            </w:pPr>
            <w:r>
              <w:rPr>
                <w:sz w:val="18"/>
              </w:rPr>
              <w:t>x 1604–1616</w:t>
              <w:br/>
              <w:t>y 699–709</w:t>
            </w:r>
          </w:p>
        </w:tc>
        <w:tc>
          <w:tcPr>
            <w:tcW w:type="dxa" w:w="3402"/>
          </w:tcPr>
          <w:p>
            <w:pPr>
              <w:spacing w:after="40"/>
            </w:pPr>
            <w:r>
              <w:rPr>
                <w:sz w:val="18"/>
              </w:rPr>
              <w:t>unten, rechts</w:t>
              <w:br/>
              <w:t>x 83.9–84.6 %</w:t>
              <w:br/>
              <w:t>y 77.2–78.3 %</w:t>
            </w:r>
          </w:p>
        </w:tc>
      </w:tr>
      <w:tr>
        <w:trPr>
          <w:cantSplit/>
        </w:trPr>
        <w:tc>
          <w:tcPr>
            <w:tcW w:type="dxa" w:w="3288"/>
          </w:tcPr>
          <w:p>
            <w:pPr>
              <w:spacing w:after="40"/>
            </w:pPr>
            <w:r>
              <w:rPr>
                <w:sz w:val="18"/>
              </w:rPr>
              <w:t>Translation</w:t>
            </w:r>
          </w:p>
        </w:tc>
        <w:tc>
          <w:tcPr>
            <w:tcW w:type="dxa" w:w="3005"/>
          </w:tcPr>
          <w:p>
            <w:pPr>
              <w:spacing w:after="40"/>
            </w:pPr>
            <w:r>
              <w:rPr>
                <w:sz w:val="18"/>
              </w:rPr>
              <w:t>x 44–111</w:t>
              <w:br/>
              <w:t>y 718–728</w:t>
            </w:r>
          </w:p>
        </w:tc>
        <w:tc>
          <w:tcPr>
            <w:tcW w:type="dxa" w:w="3402"/>
          </w:tcPr>
          <w:p>
            <w:pPr>
              <w:spacing w:after="40"/>
            </w:pPr>
            <w:r>
              <w:rPr>
                <w:sz w:val="18"/>
              </w:rPr>
              <w:t>unten, links</w:t>
              <w:br/>
              <w:t>x 2.3–5.8 %</w:t>
              <w:br/>
              <w:t>y 79.2–80.4 %</w:t>
            </w:r>
          </w:p>
        </w:tc>
      </w:tr>
      <w:tr>
        <w:trPr>
          <w:cantSplit/>
        </w:trPr>
        <w:tc>
          <w:tcPr>
            <w:tcW w:type="dxa" w:w="3288"/>
          </w:tcPr>
          <w:p>
            <w:pPr>
              <w:spacing w:after="40"/>
            </w:pPr>
            <w:r>
              <w:rPr>
                <w:sz w:val="18"/>
              </w:rPr>
              <w:t>Transport</w:t>
            </w:r>
          </w:p>
        </w:tc>
        <w:tc>
          <w:tcPr>
            <w:tcW w:type="dxa" w:w="3005"/>
          </w:tcPr>
          <w:p>
            <w:pPr>
              <w:spacing w:after="40"/>
            </w:pPr>
            <w:r>
              <w:rPr>
                <w:sz w:val="18"/>
              </w:rPr>
              <w:t>x 44–102</w:t>
              <w:br/>
              <w:t>y 754–767</w:t>
            </w:r>
          </w:p>
        </w:tc>
        <w:tc>
          <w:tcPr>
            <w:tcW w:type="dxa" w:w="3402"/>
          </w:tcPr>
          <w:p>
            <w:pPr>
              <w:spacing w:after="40"/>
            </w:pPr>
            <w:r>
              <w:rPr>
                <w:sz w:val="18"/>
              </w:rPr>
              <w:t>unten, links</w:t>
              <w:br/>
              <w:t>x 2.3–5.3 %</w:t>
              <w:br/>
              <w:t>y 83.2–84.7 %</w:t>
            </w:r>
          </w:p>
        </w:tc>
      </w:tr>
      <w:tr>
        <w:trPr>
          <w:cantSplit/>
        </w:trPr>
        <w:tc>
          <w:tcPr>
            <w:tcW w:type="dxa" w:w="3288"/>
          </w:tcPr>
          <w:p>
            <w:pPr>
              <w:spacing w:after="40"/>
            </w:pPr>
            <w:r>
              <w:rPr>
                <w:sz w:val="18"/>
              </w:rPr>
              <w:t>Data Sharing Cockpit</w:t>
            </w:r>
          </w:p>
        </w:tc>
        <w:tc>
          <w:tcPr>
            <w:tcW w:type="dxa" w:w="3005"/>
          </w:tcPr>
          <w:p>
            <w:pPr>
              <w:spacing w:after="40"/>
            </w:pPr>
            <w:r>
              <w:rPr>
                <w:sz w:val="18"/>
              </w:rPr>
              <w:t>x 44–174</w:t>
              <w:br/>
              <w:t>y 790–803</w:t>
            </w:r>
          </w:p>
        </w:tc>
        <w:tc>
          <w:tcPr>
            <w:tcW w:type="dxa" w:w="3402"/>
          </w:tcPr>
          <w:p>
            <w:pPr>
              <w:spacing w:after="40"/>
            </w:pPr>
            <w:r>
              <w:rPr>
                <w:sz w:val="18"/>
              </w:rPr>
              <w:t>unten, links</w:t>
              <w:br/>
              <w:t>x 2.3–9.1 %</w:t>
              <w:br/>
              <w:t>y 87.2–88.6 %</w:t>
            </w:r>
          </w:p>
        </w:tc>
      </w:tr>
      <w:tr>
        <w:trPr>
          <w:cantSplit/>
        </w:trPr>
        <w:tc>
          <w:tcPr>
            <w:tcW w:type="dxa" w:w="3288"/>
          </w:tcPr>
          <w:p>
            <w:pPr>
              <w:spacing w:after="40"/>
            </w:pPr>
            <w:r>
              <w:rPr>
                <w:sz w:val="18"/>
              </w:rPr>
              <w:t>Security</w:t>
            </w:r>
          </w:p>
        </w:tc>
        <w:tc>
          <w:tcPr>
            <w:tcW w:type="dxa" w:w="3005"/>
          </w:tcPr>
          <w:p>
            <w:pPr>
              <w:spacing w:after="40"/>
            </w:pPr>
            <w:r>
              <w:rPr>
                <w:sz w:val="18"/>
              </w:rPr>
              <w:t>x 44–94</w:t>
              <w:br/>
              <w:t>y 837–850</w:t>
            </w:r>
          </w:p>
        </w:tc>
        <w:tc>
          <w:tcPr>
            <w:tcW w:type="dxa" w:w="3402"/>
          </w:tcPr>
          <w:p>
            <w:pPr>
              <w:spacing w:after="40"/>
            </w:pPr>
            <w:r>
              <w:rPr>
                <w:sz w:val="18"/>
              </w:rPr>
              <w:t>unten, links</w:t>
              <w:br/>
              <w:t>x 2.3–4.9 %</w:t>
              <w:br/>
              <w:t>y 92.4–93.8 %</w:t>
            </w:r>
          </w:p>
        </w:tc>
      </w:tr>
      <w:tr>
        <w:trPr>
          <w:cantSplit/>
        </w:trPr>
        <w:tc>
          <w:tcPr>
            <w:tcW w:type="dxa" w:w="3288"/>
          </w:tcPr>
          <w:p>
            <w:pPr>
              <w:spacing w:after="40"/>
            </w:pPr>
            <w:r>
              <w:rPr>
                <w:sz w:val="18"/>
              </w:rPr>
              <w:t>System</w:t>
            </w:r>
          </w:p>
        </w:tc>
        <w:tc>
          <w:tcPr>
            <w:tcW w:type="dxa" w:w="3005"/>
          </w:tcPr>
          <w:p>
            <w:pPr>
              <w:spacing w:after="40"/>
            </w:pPr>
            <w:r>
              <w:rPr>
                <w:sz w:val="18"/>
              </w:rPr>
              <w:t>x 44–89</w:t>
              <w:br/>
              <w:t>y 873–886</w:t>
            </w:r>
          </w:p>
        </w:tc>
        <w:tc>
          <w:tcPr>
            <w:tcW w:type="dxa" w:w="3402"/>
          </w:tcPr>
          <w:p>
            <w:pPr>
              <w:spacing w:after="40"/>
            </w:pPr>
            <w:r>
              <w:rPr>
                <w:sz w:val="18"/>
              </w:rPr>
              <w:t>unten, links</w:t>
              <w:br/>
              <w:t>x 2.3–4.7 %</w:t>
              <w:br/>
              <w:t>y 96.4–97.8 %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11: Space Management: Karten mit technischen Angaben</w:t>
      </w:r>
    </w:p>
    <w:p>
      <w:r>
        <w:t>Bildformat: 1915 × 914 Pixel. Die folgenden Positionen beziehen sich auf dieses vollständige Bild.</w:t>
      </w:r>
    </w:p>
    <w:p>
      <w:pPr>
        <w:pStyle w:val="Heading2"/>
      </w:pPr>
      <w:r>
        <w:t>1. Gesamtaufbau und sichtbarer Zustand</w:t>
      </w:r>
    </w:p>
    <w:p>
      <w:pPr>
        <w:pStyle w:val="Heading3"/>
      </w:pPr>
      <w:r>
        <w:t>Gesamtansicht</w:t>
      </w:r>
    </w:p>
    <w:p>
      <w:r>
        <w:t>Die Seite zeigt eine Space-Verwaltungsübersicht. Neben der globalen Navigation links steht eine zusätzliche schmale Seitenleiste. Rechts davon befindet sich ein mehrspaltiges Kartenraster.</w:t>
      </w:r>
    </w:p>
    <w:p>
      <w:pPr>
        <w:pStyle w:val="Heading3"/>
      </w:pPr>
      <w:r>
        <w:t>Zusätzliche Seitenleiste</w:t>
      </w:r>
    </w:p>
    <w:p>
      <w:r>
        <w:t>Im oberen Teil der inneren Seitenleiste steht ein Hinweis mit der Schaltfläche „Authorize“. Darunter folgen „Spaces“, „All Spaces“ und „Recycle Bin“. Weiter unten befindet sich ein Bereich „Elastic Compute Nodes“ mit „View Logs“ und einem leeren Datenzustand.</w:t>
      </w:r>
    </w:p>
    <w:p>
      <w:pPr>
        <w:pStyle w:val="Heading3"/>
      </w:pPr>
      <w:r>
        <w:t>Karten im Hauptbereich</w:t>
      </w:r>
    </w:p>
    <w:p>
      <w:r>
        <w:t>Die Karten enthalten Statusangaben wie Cold oder Healthy. Weitere sichtbare Beschriftungen sind Deployed On, Disk for Storage und Memory for Storage. Die Speicherzeilen zeigen Einheiten wie MB, KB und GB. Im unteren Bereich der Karten befinden sich kleine Symbole und die Aktion „Edit“.</w:t>
      </w:r>
    </w:p>
    <w:p>
      <w:pPr>
        <w:pStyle w:val="Heading3"/>
      </w:pPr>
      <w:r>
        <w:t>Suche und Layout</w:t>
      </w:r>
    </w:p>
    <w:p>
      <w:r>
        <w:t>Oberhalb des Rasters ist rechts ein Suchfeld sichtbar. Die Karten sind größer und informationsreicher als die einfachen Auswahlkarten in anderen Screenshots. Sie stehen in mehreren Spalten; weitere Karten folgen unterhalb des sichtbaren Ausschnitts. Ein Bearbeitungsdialog ist nicht geöffnet.</w:t>
      </w:r>
    </w:p>
    <w:p>
      <w:pPr>
        <w:pStyle w:val="Heading2"/>
      </w:pPr>
      <w:r>
        <w:t>2. Räumliche Beschreibung von oben nach unten</w:t>
      </w:r>
    </w:p>
    <w:p>
      <w:pPr>
        <w:pStyle w:val="Heading3"/>
      </w:pPr>
      <w:r>
        <w:t>Innere Seitenleiste</w:t>
      </w:r>
    </w:p>
    <w:p>
      <w:r>
        <w:rPr>
          <w:b/>
        </w:rPr>
        <w:t xml:space="preserve">Ungefähre Bildregion: </w:t>
      </w:r>
      <w:r>
        <w:t>x 14–33 %, y 10–100 %</w:t>
      </w:r>
    </w:p>
    <w:p>
      <w:r>
        <w:t>Ein mehrzeiliger Hinweis mit Authorize liegt oben. Darunter folgen Spaces, All Spaces und Recycle Bin. Elastic Compute Nodes befindet sich weiter unten; View Logs steht rechts im zugehörigen Abschnitt.</w:t>
      </w:r>
    </w:p>
    <w:p>
      <w:pPr>
        <w:pStyle w:val="Heading3"/>
      </w:pPr>
      <w:r>
        <w:t>Kartenbereich</w:t>
      </w:r>
    </w:p>
    <w:p>
      <w:r>
        <w:rPr>
          <w:b/>
        </w:rPr>
        <w:t xml:space="preserve">Ungefähre Bildregion: </w:t>
      </w:r>
      <w:r>
        <w:t>x 35–98 %, y 10–100 %</w:t>
      </w:r>
    </w:p>
    <w:p>
      <w:r>
        <w:t>Spaces steht links über dem Raster, die Suche rechts. Drei größere Karten stehen nebeneinander. Innerhalb jeder Karte folgen Titelbereich, Status, Deployed On, Disk for Storage, Memory for Storage und eine untere Symbolzeile. Edit liegt unten rechts in jeder Karte. Eine weitere Kartenreihe beginnt darunter.</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Space Management</w:t>
            </w:r>
          </w:p>
        </w:tc>
        <w:tc>
          <w:tcPr>
            <w:tcW w:type="dxa" w:w="3005"/>
          </w:tcPr>
          <w:p>
            <w:pPr>
              <w:spacing w:after="40"/>
            </w:pPr>
            <w:r>
              <w:rPr>
                <w:sz w:val="18"/>
              </w:rPr>
              <w:t>x 224–354</w:t>
              <w:br/>
              <w:t>y 43–83</w:t>
            </w:r>
          </w:p>
        </w:tc>
        <w:tc>
          <w:tcPr>
            <w:tcW w:type="dxa" w:w="3402"/>
          </w:tcPr>
          <w:p>
            <w:pPr>
              <w:spacing w:after="40"/>
            </w:pPr>
            <w:r>
              <w:rPr>
                <w:sz w:val="18"/>
              </w:rPr>
              <w:t>oben, links</w:t>
              <w:br/>
              <w:t>x 11.7–18.5 %</w:t>
              <w:br/>
              <w:t>y 4.7–9.1 %</w:t>
            </w:r>
          </w:p>
        </w:tc>
      </w:tr>
      <w:tr>
        <w:trPr>
          <w:cantSplit/>
        </w:trPr>
        <w:tc>
          <w:tcPr>
            <w:tcW w:type="dxa" w:w="3288"/>
          </w:tcPr>
          <w:p>
            <w:pPr>
              <w:spacing w:after="40"/>
            </w:pPr>
            <w:r>
              <w:rPr>
                <w:sz w:val="18"/>
              </w:rPr>
              <w:t>Spaces</w:t>
            </w:r>
          </w:p>
        </w:tc>
        <w:tc>
          <w:tcPr>
            <w:tcW w:type="dxa" w:w="3005"/>
          </w:tcPr>
          <w:p>
            <w:pPr>
              <w:spacing w:after="40"/>
            </w:pPr>
            <w:r>
              <w:rPr>
                <w:sz w:val="18"/>
              </w:rPr>
              <w:t>x 681–764</w:t>
              <w:br/>
              <w:t>y 95–117</w:t>
            </w:r>
          </w:p>
        </w:tc>
        <w:tc>
          <w:tcPr>
            <w:tcW w:type="dxa" w:w="3402"/>
          </w:tcPr>
          <w:p>
            <w:pPr>
              <w:spacing w:after="40"/>
            </w:pPr>
            <w:r>
              <w:rPr>
                <w:sz w:val="18"/>
              </w:rPr>
              <w:t>oben, mittig</w:t>
              <w:br/>
              <w:t>x 35.6–39.9 %</w:t>
              <w:br/>
              <w:t>y 10.4–12.8 %</w:t>
            </w:r>
          </w:p>
        </w:tc>
      </w:tr>
      <w:tr>
        <w:trPr>
          <w:cantSplit/>
        </w:trPr>
        <w:tc>
          <w:tcPr>
            <w:tcW w:type="dxa" w:w="3288"/>
          </w:tcPr>
          <w:p>
            <w:pPr>
              <w:spacing w:after="40"/>
            </w:pPr>
            <w:r>
              <w:rPr>
                <w:sz w:val="18"/>
              </w:rPr>
              <w:t>System and Spaces</w:t>
            </w:r>
          </w:p>
        </w:tc>
        <w:tc>
          <w:tcPr>
            <w:tcW w:type="dxa" w:w="3005"/>
          </w:tcPr>
          <w:p>
            <w:pPr>
              <w:spacing w:after="40"/>
            </w:pPr>
            <w:r>
              <w:rPr>
                <w:sz w:val="18"/>
              </w:rPr>
              <w:t>x 50–170</w:t>
              <w:br/>
              <w:t>y 109–122</w:t>
            </w:r>
          </w:p>
        </w:tc>
        <w:tc>
          <w:tcPr>
            <w:tcW w:type="dxa" w:w="3402"/>
          </w:tcPr>
          <w:p>
            <w:pPr>
              <w:spacing w:after="40"/>
            </w:pPr>
            <w:r>
              <w:rPr>
                <w:sz w:val="18"/>
              </w:rPr>
              <w:t>oben, links</w:t>
              <w:br/>
              <w:t>x 2.6–8.9 %</w:t>
              <w:br/>
              <w:t>y 11.9–13.3 %</w:t>
            </w:r>
          </w:p>
        </w:tc>
      </w:tr>
      <w:tr>
        <w:trPr>
          <w:cantSplit/>
        </w:trPr>
        <w:tc>
          <w:tcPr>
            <w:tcW w:type="dxa" w:w="3288"/>
          </w:tcPr>
          <w:p>
            <w:pPr>
              <w:spacing w:after="40"/>
            </w:pPr>
            <w:r>
              <w:rPr>
                <w:sz w:val="18"/>
              </w:rPr>
              <w:t>Authorize</w:t>
            </w:r>
          </w:p>
        </w:tc>
        <w:tc>
          <w:tcPr>
            <w:tcW w:type="dxa" w:w="3005"/>
          </w:tcPr>
          <w:p>
            <w:pPr>
              <w:spacing w:after="40"/>
            </w:pPr>
            <w:r>
              <w:rPr>
                <w:sz w:val="18"/>
              </w:rPr>
              <w:t>x 314–372</w:t>
              <w:br/>
              <w:t>y 106–116</w:t>
            </w:r>
          </w:p>
        </w:tc>
        <w:tc>
          <w:tcPr>
            <w:tcW w:type="dxa" w:w="3402"/>
          </w:tcPr>
          <w:p>
            <w:pPr>
              <w:spacing w:after="40"/>
            </w:pPr>
            <w:r>
              <w:rPr>
                <w:sz w:val="18"/>
              </w:rPr>
              <w:t>oben, links</w:t>
              <w:br/>
              <w:t>x 16.4–19.4 %</w:t>
              <w:br/>
              <w:t>y 11.6–12.7 %</w:t>
            </w:r>
          </w:p>
        </w:tc>
      </w:tr>
      <w:tr>
        <w:trPr>
          <w:cantSplit/>
        </w:trPr>
        <w:tc>
          <w:tcPr>
            <w:tcW w:type="dxa" w:w="3288"/>
          </w:tcPr>
          <w:p>
            <w:pPr>
              <w:spacing w:after="40"/>
            </w:pPr>
            <w:r>
              <w:rPr>
                <w:sz w:val="18"/>
              </w:rPr>
              <w:t>run</w:t>
            </w:r>
          </w:p>
        </w:tc>
        <w:tc>
          <w:tcPr>
            <w:tcW w:type="dxa" w:w="3005"/>
          </w:tcPr>
          <w:p>
            <w:pPr>
              <w:spacing w:after="40"/>
            </w:pPr>
            <w:r>
              <w:rPr>
                <w:sz w:val="18"/>
              </w:rPr>
              <w:t>x 411–430</w:t>
              <w:br/>
              <w:t>y 109–116</w:t>
            </w:r>
          </w:p>
        </w:tc>
        <w:tc>
          <w:tcPr>
            <w:tcW w:type="dxa" w:w="3402"/>
          </w:tcPr>
          <w:p>
            <w:pPr>
              <w:spacing w:after="40"/>
            </w:pPr>
            <w:r>
              <w:rPr>
                <w:sz w:val="18"/>
              </w:rPr>
              <w:t>oben, links</w:t>
              <w:br/>
              <w:t>x 21.5–22.5 %</w:t>
              <w:br/>
              <w:t>y 11.9–12.7 %</w:t>
            </w:r>
          </w:p>
        </w:tc>
      </w:tr>
      <w:tr>
        <w:trPr>
          <w:cantSplit/>
        </w:trPr>
        <w:tc>
          <w:tcPr>
            <w:tcW w:type="dxa" w:w="3288"/>
          </w:tcPr>
          <w:p>
            <w:pPr>
              <w:spacing w:after="40"/>
            </w:pPr>
            <w:r>
              <w:rPr>
                <w:sz w:val="18"/>
              </w:rPr>
              <w:t>task chains</w:t>
            </w:r>
          </w:p>
        </w:tc>
        <w:tc>
          <w:tcPr>
            <w:tcW w:type="dxa" w:w="3005"/>
          </w:tcPr>
          <w:p>
            <w:pPr>
              <w:spacing w:after="40"/>
            </w:pPr>
            <w:r>
              <w:rPr>
                <w:sz w:val="18"/>
              </w:rPr>
              <w:t>x 434–503</w:t>
              <w:br/>
              <w:t>y 106–116</w:t>
            </w:r>
          </w:p>
        </w:tc>
        <w:tc>
          <w:tcPr>
            <w:tcW w:type="dxa" w:w="3402"/>
          </w:tcPr>
          <w:p>
            <w:pPr>
              <w:spacing w:after="40"/>
            </w:pPr>
            <w:r>
              <w:rPr>
                <w:sz w:val="18"/>
              </w:rPr>
              <w:t>oben, links</w:t>
              <w:br/>
              <w:t>x 22.7–26.3 %</w:t>
              <w:br/>
              <w:t>y 11.6–12.7 %</w:t>
            </w:r>
          </w:p>
        </w:tc>
      </w:tr>
      <w:tr>
        <w:trPr>
          <w:cantSplit/>
        </w:trPr>
        <w:tc>
          <w:tcPr>
            <w:tcW w:type="dxa" w:w="3288"/>
          </w:tcPr>
          <w:p>
            <w:pPr>
              <w:spacing w:after="40"/>
            </w:pPr>
            <w:r>
              <w:rPr>
                <w:sz w:val="18"/>
              </w:rPr>
              <w:t>tasks</w:t>
            </w:r>
          </w:p>
        </w:tc>
        <w:tc>
          <w:tcPr>
            <w:tcW w:type="dxa" w:w="3005"/>
          </w:tcPr>
          <w:p>
            <w:pPr>
              <w:spacing w:after="40"/>
            </w:pPr>
            <w:r>
              <w:rPr>
                <w:sz w:val="18"/>
              </w:rPr>
              <w:t>x 372–404</w:t>
              <w:br/>
              <w:t>y 122–132</w:t>
            </w:r>
          </w:p>
        </w:tc>
        <w:tc>
          <w:tcPr>
            <w:tcW w:type="dxa" w:w="3402"/>
          </w:tcPr>
          <w:p>
            <w:pPr>
              <w:spacing w:after="40"/>
            </w:pPr>
            <w:r>
              <w:rPr>
                <w:sz w:val="18"/>
              </w:rPr>
              <w:t>oben, links</w:t>
              <w:br/>
              <w:t>x 19.4–21.1 %</w:t>
              <w:br/>
              <w:t>y 13.3–14.4 %</w:t>
            </w:r>
          </w:p>
        </w:tc>
      </w:tr>
      <w:tr>
        <w:trPr>
          <w:cantSplit/>
        </w:trPr>
        <w:tc>
          <w:tcPr>
            <w:tcW w:type="dxa" w:w="3288"/>
          </w:tcPr>
          <w:p>
            <w:pPr>
              <w:spacing w:after="40"/>
            </w:pPr>
            <w:r>
              <w:rPr>
                <w:sz w:val="18"/>
              </w:rPr>
              <w:t>Capacities</w:t>
            </w:r>
          </w:p>
        </w:tc>
        <w:tc>
          <w:tcPr>
            <w:tcW w:type="dxa" w:w="3005"/>
          </w:tcPr>
          <w:p>
            <w:pPr>
              <w:spacing w:after="40"/>
            </w:pPr>
            <w:r>
              <w:rPr>
                <w:sz w:val="18"/>
              </w:rPr>
              <w:t>x 49–113</w:t>
              <w:br/>
              <w:t>y 145–158</w:t>
            </w:r>
          </w:p>
        </w:tc>
        <w:tc>
          <w:tcPr>
            <w:tcW w:type="dxa" w:w="3402"/>
          </w:tcPr>
          <w:p>
            <w:pPr>
              <w:spacing w:after="40"/>
            </w:pPr>
            <w:r>
              <w:rPr>
                <w:sz w:val="18"/>
              </w:rPr>
              <w:t>oben, links</w:t>
              <w:br/>
              <w:t>x 2.6–5.9 %</w:t>
              <w:br/>
              <w:t>y 15.9–17.3 %</w:t>
            </w:r>
          </w:p>
        </w:tc>
      </w:tr>
      <w:tr>
        <w:trPr>
          <w:cantSplit/>
        </w:trPr>
        <w:tc>
          <w:tcPr>
            <w:tcW w:type="dxa" w:w="3288"/>
          </w:tcPr>
          <w:p>
            <w:pPr>
              <w:spacing w:after="40"/>
            </w:pPr>
            <w:r>
              <w:rPr>
                <w:sz w:val="18"/>
              </w:rPr>
              <w:t>Authorize</w:t>
            </w:r>
          </w:p>
        </w:tc>
        <w:tc>
          <w:tcPr>
            <w:tcW w:type="dxa" w:w="3005"/>
          </w:tcPr>
          <w:p>
            <w:pPr>
              <w:spacing w:after="40"/>
            </w:pPr>
            <w:r>
              <w:rPr>
                <w:sz w:val="18"/>
              </w:rPr>
              <w:t>x 390–448</w:t>
              <w:br/>
              <w:t>y 138–148</w:t>
            </w:r>
          </w:p>
        </w:tc>
        <w:tc>
          <w:tcPr>
            <w:tcW w:type="dxa" w:w="3402"/>
          </w:tcPr>
          <w:p>
            <w:pPr>
              <w:spacing w:after="40"/>
            </w:pPr>
            <w:r>
              <w:rPr>
                <w:sz w:val="18"/>
              </w:rPr>
              <w:t>oben, links</w:t>
              <w:br/>
              <w:t>x 20.4–23.4 %</w:t>
              <w:br/>
              <w:t>y 15.1–16.2 %</w:t>
            </w:r>
          </w:p>
        </w:tc>
      </w:tr>
      <w:tr>
        <w:trPr>
          <w:cantSplit/>
        </w:trPr>
        <w:tc>
          <w:tcPr>
            <w:tcW w:type="dxa" w:w="3288"/>
          </w:tcPr>
          <w:p>
            <w:pPr>
              <w:spacing w:after="40"/>
            </w:pPr>
            <w:r>
              <w:rPr>
                <w:sz w:val="18"/>
              </w:rPr>
              <w:t>Search</w:t>
            </w:r>
          </w:p>
        </w:tc>
        <w:tc>
          <w:tcPr>
            <w:tcW w:type="dxa" w:w="3005"/>
          </w:tcPr>
          <w:p>
            <w:pPr>
              <w:spacing w:after="40"/>
            </w:pPr>
            <w:r>
              <w:rPr>
                <w:sz w:val="18"/>
              </w:rPr>
              <w:t>x 1664–1705</w:t>
              <w:br/>
              <w:t>y 145–155</w:t>
            </w:r>
          </w:p>
        </w:tc>
        <w:tc>
          <w:tcPr>
            <w:tcW w:type="dxa" w:w="3402"/>
          </w:tcPr>
          <w:p>
            <w:pPr>
              <w:spacing w:after="40"/>
            </w:pPr>
            <w:r>
              <w:rPr>
                <w:sz w:val="18"/>
              </w:rPr>
              <w:t>oben, rechts</w:t>
              <w:br/>
              <w:t>x 86.9–89.0 %</w:t>
              <w:br/>
              <w:t>y 15.9–17.0 %</w:t>
            </w:r>
          </w:p>
        </w:tc>
      </w:tr>
      <w:tr>
        <w:trPr>
          <w:cantSplit/>
        </w:trPr>
        <w:tc>
          <w:tcPr>
            <w:tcW w:type="dxa" w:w="3288"/>
          </w:tcPr>
          <w:p>
            <w:pPr>
              <w:spacing w:after="40"/>
            </w:pPr>
            <w:r>
              <w:rPr>
                <w:sz w:val="18"/>
              </w:rPr>
              <w:t>Task Logs</w:t>
            </w:r>
          </w:p>
        </w:tc>
        <w:tc>
          <w:tcPr>
            <w:tcW w:type="dxa" w:w="3005"/>
          </w:tcPr>
          <w:p>
            <w:pPr>
              <w:spacing w:after="40"/>
            </w:pPr>
            <w:r>
              <w:rPr>
                <w:sz w:val="18"/>
              </w:rPr>
              <w:t>x 49–110</w:t>
              <w:br/>
              <w:t>y 181–194</w:t>
            </w:r>
          </w:p>
        </w:tc>
        <w:tc>
          <w:tcPr>
            <w:tcW w:type="dxa" w:w="3402"/>
          </w:tcPr>
          <w:p>
            <w:pPr>
              <w:spacing w:after="40"/>
            </w:pPr>
            <w:r>
              <w:rPr>
                <w:sz w:val="18"/>
              </w:rPr>
              <w:t>oben, links</w:t>
              <w:br/>
              <w:t>x 2.6–5.7 %</w:t>
              <w:br/>
              <w:t>y 19.8–21.2 %</w:t>
            </w:r>
          </w:p>
        </w:tc>
      </w:tr>
      <w:tr>
        <w:trPr>
          <w:cantSplit/>
        </w:trPr>
        <w:tc>
          <w:tcPr>
            <w:tcW w:type="dxa" w:w="3288"/>
          </w:tcPr>
          <w:p>
            <w:pPr>
              <w:spacing w:after="40"/>
            </w:pPr>
            <w:r>
              <w:rPr>
                <w:sz w:val="18"/>
              </w:rPr>
              <w:t>Spaces</w:t>
            </w:r>
          </w:p>
        </w:tc>
        <w:tc>
          <w:tcPr>
            <w:tcW w:type="dxa" w:w="3005"/>
          </w:tcPr>
          <w:p>
            <w:pPr>
              <w:spacing w:after="40"/>
            </w:pPr>
            <w:r>
              <w:rPr>
                <w:sz w:val="18"/>
              </w:rPr>
              <w:t>x 282–328</w:t>
              <w:br/>
              <w:t>y 192–205</w:t>
            </w:r>
          </w:p>
        </w:tc>
        <w:tc>
          <w:tcPr>
            <w:tcW w:type="dxa" w:w="3402"/>
          </w:tcPr>
          <w:p>
            <w:pPr>
              <w:spacing w:after="40"/>
            </w:pPr>
            <w:r>
              <w:rPr>
                <w:sz w:val="18"/>
              </w:rPr>
              <w:t>oben, links</w:t>
              <w:br/>
              <w:t>x 14.7–17.1 %</w:t>
              <w:br/>
              <w:t>y 21.0–22.4 %</w:t>
            </w:r>
          </w:p>
        </w:tc>
      </w:tr>
      <w:tr>
        <w:trPr>
          <w:cantSplit/>
        </w:trPr>
        <w:tc>
          <w:tcPr>
            <w:tcW w:type="dxa" w:w="3288"/>
          </w:tcPr>
          <w:p>
            <w:pPr>
              <w:spacing w:after="40"/>
            </w:pPr>
            <w:r>
              <w:rPr>
                <w:sz w:val="18"/>
              </w:rPr>
              <w:t>Expensive Statement Logs</w:t>
            </w:r>
          </w:p>
        </w:tc>
        <w:tc>
          <w:tcPr>
            <w:tcW w:type="dxa" w:w="3005"/>
          </w:tcPr>
          <w:p>
            <w:pPr>
              <w:spacing w:after="40"/>
            </w:pPr>
            <w:r>
              <w:rPr>
                <w:sz w:val="18"/>
              </w:rPr>
              <w:t>x 50–212</w:t>
              <w:br/>
              <w:t>y 217–230</w:t>
            </w:r>
          </w:p>
        </w:tc>
        <w:tc>
          <w:tcPr>
            <w:tcW w:type="dxa" w:w="3402"/>
          </w:tcPr>
          <w:p>
            <w:pPr>
              <w:spacing w:after="40"/>
            </w:pPr>
            <w:r>
              <w:rPr>
                <w:sz w:val="18"/>
              </w:rPr>
              <w:t>oben, links</w:t>
              <w:br/>
              <w:t>x 2.6–11.1 %</w:t>
              <w:br/>
              <w:t>y 23.7–25.2 %</w:t>
            </w:r>
          </w:p>
        </w:tc>
      </w:tr>
      <w:tr>
        <w:trPr>
          <w:cantSplit/>
        </w:trPr>
        <w:tc>
          <w:tcPr>
            <w:tcW w:type="dxa" w:w="3288"/>
          </w:tcPr>
          <w:p>
            <w:pPr>
              <w:spacing w:after="40"/>
            </w:pPr>
            <w:r>
              <w:rPr>
                <w:sz w:val="18"/>
              </w:rPr>
              <w:t>All Spaces</w:t>
            </w:r>
          </w:p>
        </w:tc>
        <w:tc>
          <w:tcPr>
            <w:tcW w:type="dxa" w:w="3005"/>
          </w:tcPr>
          <w:p>
            <w:pPr>
              <w:spacing w:after="40"/>
            </w:pPr>
            <w:r>
              <w:rPr>
                <w:sz w:val="18"/>
              </w:rPr>
              <w:t>x 281–346</w:t>
              <w:br/>
              <w:t>y 231–244</w:t>
            </w:r>
          </w:p>
        </w:tc>
        <w:tc>
          <w:tcPr>
            <w:tcW w:type="dxa" w:w="3402"/>
          </w:tcPr>
          <w:p>
            <w:pPr>
              <w:spacing w:after="40"/>
            </w:pPr>
            <w:r>
              <w:rPr>
                <w:sz w:val="18"/>
              </w:rPr>
              <w:t>oben, links</w:t>
              <w:br/>
              <w:t>x 14.7–18.1 %</w:t>
              <w:br/>
              <w:t>y 25.3–26.7 %</w:t>
            </w:r>
          </w:p>
        </w:tc>
      </w:tr>
      <w:tr>
        <w:trPr>
          <w:cantSplit/>
        </w:trPr>
        <w:tc>
          <w:tcPr>
            <w:tcW w:type="dxa" w:w="3288"/>
          </w:tcPr>
          <w:p>
            <w:pPr>
              <w:spacing w:after="40"/>
            </w:pPr>
            <w:r>
              <w:rPr>
                <w:sz w:val="18"/>
              </w:rPr>
              <w:t>Elastic Compute Nodes</w:t>
            </w:r>
          </w:p>
        </w:tc>
        <w:tc>
          <w:tcPr>
            <w:tcW w:type="dxa" w:w="3005"/>
          </w:tcPr>
          <w:p>
            <w:pPr>
              <w:spacing w:after="40"/>
            </w:pPr>
            <w:r>
              <w:rPr>
                <w:sz w:val="18"/>
              </w:rPr>
              <w:t>x 50–193</w:t>
              <w:br/>
              <w:t>y 253–266</w:t>
            </w:r>
          </w:p>
        </w:tc>
        <w:tc>
          <w:tcPr>
            <w:tcW w:type="dxa" w:w="3402"/>
          </w:tcPr>
          <w:p>
            <w:pPr>
              <w:spacing w:after="40"/>
            </w:pPr>
            <w:r>
              <w:rPr>
                <w:sz w:val="18"/>
              </w:rPr>
              <w:t>oben, links</w:t>
              <w:br/>
              <w:t>x 2.6–10.1 %</w:t>
              <w:br/>
              <w:t>y 27.7–29.1 %</w:t>
            </w:r>
          </w:p>
        </w:tc>
      </w:tr>
      <w:tr>
        <w:trPr>
          <w:cantSplit/>
        </w:trPr>
        <w:tc>
          <w:tcPr>
            <w:tcW w:type="dxa" w:w="3288"/>
          </w:tcPr>
          <w:p>
            <w:pPr>
              <w:spacing w:after="40"/>
            </w:pPr>
            <w:r>
              <w:rPr>
                <w:sz w:val="18"/>
              </w:rPr>
              <w:t>Recycle Bin</w:t>
            </w:r>
          </w:p>
        </w:tc>
        <w:tc>
          <w:tcPr>
            <w:tcW w:type="dxa" w:w="3005"/>
          </w:tcPr>
          <w:p>
            <w:pPr>
              <w:spacing w:after="40"/>
            </w:pPr>
            <w:r>
              <w:rPr>
                <w:sz w:val="18"/>
              </w:rPr>
              <w:t>x 282–353</w:t>
              <w:br/>
              <w:t>y 264–277</w:t>
            </w:r>
          </w:p>
        </w:tc>
        <w:tc>
          <w:tcPr>
            <w:tcW w:type="dxa" w:w="3402"/>
          </w:tcPr>
          <w:p>
            <w:pPr>
              <w:spacing w:after="40"/>
            </w:pPr>
            <w:r>
              <w:rPr>
                <w:sz w:val="18"/>
              </w:rPr>
              <w:t>oben, links</w:t>
              <w:br/>
              <w:t>x 14.7–18.4 %</w:t>
              <w:br/>
              <w:t>y 28.9–30.3 %</w:t>
            </w:r>
          </w:p>
        </w:tc>
      </w:tr>
      <w:tr>
        <w:trPr>
          <w:cantSplit/>
        </w:trPr>
        <w:tc>
          <w:tcPr>
            <w:tcW w:type="dxa" w:w="3288"/>
          </w:tcPr>
          <w:p>
            <w:pPr>
              <w:spacing w:after="40"/>
            </w:pPr>
            <w:r>
              <w:rPr>
                <w:sz w:val="18"/>
              </w:rPr>
              <w:t>Data Integration</w:t>
            </w:r>
          </w:p>
        </w:tc>
        <w:tc>
          <w:tcPr>
            <w:tcW w:type="dxa" w:w="3005"/>
          </w:tcPr>
          <w:p>
            <w:pPr>
              <w:spacing w:after="40"/>
            </w:pPr>
            <w:r>
              <w:rPr>
                <w:sz w:val="18"/>
              </w:rPr>
              <w:t>x 50–148</w:t>
              <w:br/>
              <w:t>y 289–302</w:t>
            </w:r>
          </w:p>
        </w:tc>
        <w:tc>
          <w:tcPr>
            <w:tcW w:type="dxa" w:w="3402"/>
          </w:tcPr>
          <w:p>
            <w:pPr>
              <w:spacing w:after="40"/>
            </w:pPr>
            <w:r>
              <w:rPr>
                <w:sz w:val="18"/>
              </w:rPr>
              <w:t>oben, links</w:t>
              <w:br/>
              <w:t>x 2.6–7.7 %</w:t>
              <w:br/>
              <w:t>y 31.6–33.0 %</w:t>
            </w:r>
          </w:p>
        </w:tc>
      </w:tr>
      <w:tr>
        <w:trPr>
          <w:cantSplit/>
        </w:trPr>
        <w:tc>
          <w:tcPr>
            <w:tcW w:type="dxa" w:w="3288"/>
          </w:tcPr>
          <w:p>
            <w:pPr>
              <w:spacing w:after="40"/>
            </w:pPr>
            <w:r>
              <w:rPr>
                <w:sz w:val="18"/>
              </w:rPr>
              <w:t>Deployed On</w:t>
            </w:r>
          </w:p>
        </w:tc>
        <w:tc>
          <w:tcPr>
            <w:tcW w:type="dxa" w:w="3005"/>
          </w:tcPr>
          <w:p>
            <w:pPr>
              <w:spacing w:after="40"/>
            </w:pPr>
            <w:r>
              <w:rPr>
                <w:sz w:val="18"/>
              </w:rPr>
              <w:t>x 682–761</w:t>
              <w:br/>
              <w:t>y 302–315</w:t>
            </w:r>
          </w:p>
        </w:tc>
        <w:tc>
          <w:tcPr>
            <w:tcW w:type="dxa" w:w="3402"/>
          </w:tcPr>
          <w:p>
            <w:pPr>
              <w:spacing w:after="40"/>
            </w:pPr>
            <w:r>
              <w:rPr>
                <w:sz w:val="18"/>
              </w:rPr>
              <w:t>auf mittlerer Höhe, mittig</w:t>
              <w:br/>
              <w:t>x 35.6–39.7 %</w:t>
              <w:br/>
              <w:t>y 33.0–34.5 %</w:t>
            </w:r>
          </w:p>
        </w:tc>
      </w:tr>
      <w:tr>
        <w:trPr>
          <w:cantSplit/>
        </w:trPr>
        <w:tc>
          <w:tcPr>
            <w:tcW w:type="dxa" w:w="3288"/>
          </w:tcPr>
          <w:p>
            <w:pPr>
              <w:spacing w:after="40"/>
            </w:pPr>
            <w:r>
              <w:rPr>
                <w:sz w:val="18"/>
              </w:rPr>
              <w:t>Deployed On</w:t>
            </w:r>
          </w:p>
        </w:tc>
        <w:tc>
          <w:tcPr>
            <w:tcW w:type="dxa" w:w="3005"/>
          </w:tcPr>
          <w:p>
            <w:pPr>
              <w:spacing w:after="40"/>
            </w:pPr>
            <w:r>
              <w:rPr>
                <w:sz w:val="18"/>
              </w:rPr>
              <w:t>x 1018–1097</w:t>
              <w:br/>
              <w:t>y 302–315</w:t>
            </w:r>
          </w:p>
        </w:tc>
        <w:tc>
          <w:tcPr>
            <w:tcW w:type="dxa" w:w="3402"/>
          </w:tcPr>
          <w:p>
            <w:pPr>
              <w:spacing w:after="40"/>
            </w:pPr>
            <w:r>
              <w:rPr>
                <w:sz w:val="18"/>
              </w:rPr>
              <w:t>auf mittlerer Höhe, mittig</w:t>
              <w:br/>
              <w:t>x 53.2–57.3 %</w:t>
              <w:br/>
              <w:t>y 33.0–34.5 %</w:t>
            </w:r>
          </w:p>
        </w:tc>
      </w:tr>
      <w:tr>
        <w:trPr>
          <w:cantSplit/>
        </w:trPr>
        <w:tc>
          <w:tcPr>
            <w:tcW w:type="dxa" w:w="3288"/>
          </w:tcPr>
          <w:p>
            <w:pPr>
              <w:spacing w:after="40"/>
            </w:pPr>
            <w:r>
              <w:rPr>
                <w:sz w:val="18"/>
              </w:rPr>
              <w:t>Deployed On</w:t>
            </w:r>
          </w:p>
        </w:tc>
        <w:tc>
          <w:tcPr>
            <w:tcW w:type="dxa" w:w="3005"/>
          </w:tcPr>
          <w:p>
            <w:pPr>
              <w:spacing w:after="40"/>
            </w:pPr>
            <w:r>
              <w:rPr>
                <w:sz w:val="18"/>
              </w:rPr>
              <w:t>x 1354–1433</w:t>
              <w:br/>
              <w:t>y 302–315</w:t>
            </w:r>
          </w:p>
        </w:tc>
        <w:tc>
          <w:tcPr>
            <w:tcW w:type="dxa" w:w="3402"/>
          </w:tcPr>
          <w:p>
            <w:pPr>
              <w:spacing w:after="40"/>
            </w:pPr>
            <w:r>
              <w:rPr>
                <w:sz w:val="18"/>
              </w:rPr>
              <w:t>auf mittlerer Höhe, rechts</w:t>
              <w:br/>
              <w:t>x 70.7–74.8 %</w:t>
              <w:br/>
              <w:t>y 33.0–34.5 %</w:t>
            </w:r>
          </w:p>
        </w:tc>
      </w:tr>
      <w:tr>
        <w:trPr>
          <w:cantSplit/>
        </w:trPr>
        <w:tc>
          <w:tcPr>
            <w:tcW w:type="dxa" w:w="3288"/>
          </w:tcPr>
          <w:p>
            <w:pPr>
              <w:spacing w:after="40"/>
            </w:pPr>
            <w:r>
              <w:rPr>
                <w:sz w:val="18"/>
              </w:rPr>
              <w:t>Elastic Compute Nodes</w:t>
            </w:r>
          </w:p>
        </w:tc>
        <w:tc>
          <w:tcPr>
            <w:tcW w:type="dxa" w:w="3005"/>
          </w:tcPr>
          <w:p>
            <w:pPr>
              <w:spacing w:after="40"/>
            </w:pPr>
            <w:r>
              <w:rPr>
                <w:sz w:val="18"/>
              </w:rPr>
              <w:t>x 282–435</w:t>
              <w:br/>
              <w:t>y 323–336</w:t>
            </w:r>
          </w:p>
        </w:tc>
        <w:tc>
          <w:tcPr>
            <w:tcW w:type="dxa" w:w="3402"/>
          </w:tcPr>
          <w:p>
            <w:pPr>
              <w:spacing w:after="40"/>
            </w:pPr>
            <w:r>
              <w:rPr>
                <w:sz w:val="18"/>
              </w:rPr>
              <w:t>auf mittlerer Höhe, links</w:t>
              <w:br/>
              <w:t>x 14.7–22.7 %</w:t>
              <w:br/>
              <w:t>y 35.3–36.8 %</w:t>
            </w:r>
          </w:p>
        </w:tc>
      </w:tr>
      <w:tr>
        <w:trPr>
          <w:cantSplit/>
        </w:trPr>
        <w:tc>
          <w:tcPr>
            <w:tcW w:type="dxa" w:w="3288"/>
          </w:tcPr>
          <w:p>
            <w:pPr>
              <w:spacing w:after="40"/>
            </w:pPr>
            <w:r>
              <w:rPr>
                <w:sz w:val="18"/>
              </w:rPr>
              <w:t>Disk for Storage:</w:t>
            </w:r>
          </w:p>
        </w:tc>
        <w:tc>
          <w:tcPr>
            <w:tcW w:type="dxa" w:w="3005"/>
          </w:tcPr>
          <w:p>
            <w:pPr>
              <w:spacing w:after="40"/>
            </w:pPr>
            <w:r>
              <w:rPr>
                <w:sz w:val="18"/>
              </w:rPr>
              <w:t>x 682–782</w:t>
              <w:br/>
              <w:t>y 337–350</w:t>
            </w:r>
          </w:p>
        </w:tc>
        <w:tc>
          <w:tcPr>
            <w:tcW w:type="dxa" w:w="3402"/>
          </w:tcPr>
          <w:p>
            <w:pPr>
              <w:spacing w:after="40"/>
            </w:pPr>
            <w:r>
              <w:rPr>
                <w:sz w:val="18"/>
              </w:rPr>
              <w:t>auf mittlerer Höhe, mittig</w:t>
              <w:br/>
              <w:t>x 35.6–40.8 %</w:t>
              <w:br/>
              <w:t>y 36.9–38.3 %</w:t>
            </w:r>
          </w:p>
        </w:tc>
      </w:tr>
      <w:tr>
        <w:trPr>
          <w:cantSplit/>
        </w:trPr>
        <w:tc>
          <w:tcPr>
            <w:tcW w:type="dxa" w:w="3288"/>
          </w:tcPr>
          <w:p>
            <w:pPr>
              <w:spacing w:after="40"/>
            </w:pPr>
            <w:r>
              <w:rPr>
                <w:sz w:val="18"/>
              </w:rPr>
              <w:t>Disk for Storage:</w:t>
            </w:r>
          </w:p>
        </w:tc>
        <w:tc>
          <w:tcPr>
            <w:tcW w:type="dxa" w:w="3005"/>
          </w:tcPr>
          <w:p>
            <w:pPr>
              <w:spacing w:after="40"/>
            </w:pPr>
            <w:r>
              <w:rPr>
                <w:sz w:val="18"/>
              </w:rPr>
              <w:t>x 1018–1118</w:t>
              <w:br/>
              <w:t>y 337–350</w:t>
            </w:r>
          </w:p>
        </w:tc>
        <w:tc>
          <w:tcPr>
            <w:tcW w:type="dxa" w:w="3402"/>
          </w:tcPr>
          <w:p>
            <w:pPr>
              <w:spacing w:after="40"/>
            </w:pPr>
            <w:r>
              <w:rPr>
                <w:sz w:val="18"/>
              </w:rPr>
              <w:t>auf mittlerer Höhe, mittig</w:t>
              <w:br/>
              <w:t>x 53.2–58.4 %</w:t>
              <w:br/>
              <w:t>y 36.9–38.3 %</w:t>
            </w:r>
          </w:p>
        </w:tc>
      </w:tr>
      <w:tr>
        <w:trPr>
          <w:cantSplit/>
        </w:trPr>
        <w:tc>
          <w:tcPr>
            <w:tcW w:type="dxa" w:w="3288"/>
          </w:tcPr>
          <w:p>
            <w:pPr>
              <w:spacing w:after="40"/>
            </w:pPr>
            <w:r>
              <w:rPr>
                <w:sz w:val="18"/>
              </w:rPr>
              <w:t>Disk for Storage:</w:t>
            </w:r>
          </w:p>
        </w:tc>
        <w:tc>
          <w:tcPr>
            <w:tcW w:type="dxa" w:w="3005"/>
          </w:tcPr>
          <w:p>
            <w:pPr>
              <w:spacing w:after="40"/>
            </w:pPr>
            <w:r>
              <w:rPr>
                <w:sz w:val="18"/>
              </w:rPr>
              <w:t>x 1354–1454</w:t>
              <w:br/>
              <w:t>y 337–350</w:t>
            </w:r>
          </w:p>
        </w:tc>
        <w:tc>
          <w:tcPr>
            <w:tcW w:type="dxa" w:w="3402"/>
          </w:tcPr>
          <w:p>
            <w:pPr>
              <w:spacing w:after="40"/>
            </w:pPr>
            <w:r>
              <w:rPr>
                <w:sz w:val="18"/>
              </w:rPr>
              <w:t>auf mittlerer Höhe, rechts</w:t>
              <w:br/>
              <w:t>x 70.7–75.9 %</w:t>
              <w:br/>
              <w:t>y 36.9–38.3 %</w:t>
            </w:r>
          </w:p>
        </w:tc>
      </w:tr>
      <w:tr>
        <w:trPr>
          <w:cantSplit/>
        </w:trPr>
        <w:tc>
          <w:tcPr>
            <w:tcW w:type="dxa" w:w="3288"/>
          </w:tcPr>
          <w:p>
            <w:pPr>
              <w:spacing w:after="40"/>
            </w:pPr>
            <w:r>
              <w:rPr>
                <w:sz w:val="18"/>
              </w:rPr>
              <w:t>View Logs</w:t>
            </w:r>
          </w:p>
        </w:tc>
        <w:tc>
          <w:tcPr>
            <w:tcW w:type="dxa" w:w="3005"/>
          </w:tcPr>
          <w:p>
            <w:pPr>
              <w:spacing w:after="40"/>
            </w:pPr>
            <w:r>
              <w:rPr>
                <w:sz w:val="18"/>
              </w:rPr>
              <w:t>x 515–577</w:t>
              <w:br/>
              <w:t>y 343–356</w:t>
            </w:r>
          </w:p>
        </w:tc>
        <w:tc>
          <w:tcPr>
            <w:tcW w:type="dxa" w:w="3402"/>
          </w:tcPr>
          <w:p>
            <w:pPr>
              <w:spacing w:after="40"/>
            </w:pPr>
            <w:r>
              <w:rPr>
                <w:sz w:val="18"/>
              </w:rPr>
              <w:t>auf mittlerer Höhe, links</w:t>
              <w:br/>
              <w:t>x 26.9–30.1 %</w:t>
              <w:br/>
              <w:t>y 37.5–38.9 %</w:t>
            </w:r>
          </w:p>
        </w:tc>
      </w:tr>
      <w:tr>
        <w:trPr>
          <w:cantSplit/>
        </w:trPr>
        <w:tc>
          <w:tcPr>
            <w:tcW w:type="dxa" w:w="3288"/>
          </w:tcPr>
          <w:p>
            <w:pPr>
              <w:spacing w:after="40"/>
            </w:pPr>
            <w:r>
              <w:rPr>
                <w:sz w:val="18"/>
              </w:rPr>
              <w:t>of</w:t>
            </w:r>
          </w:p>
        </w:tc>
        <w:tc>
          <w:tcPr>
            <w:tcW w:type="dxa" w:w="3005"/>
          </w:tcPr>
          <w:p>
            <w:pPr>
              <w:spacing w:after="40"/>
            </w:pPr>
            <w:r>
              <w:rPr>
                <w:sz w:val="18"/>
              </w:rPr>
              <w:t>x 738–750</w:t>
              <w:br/>
              <w:t>y 364–374</w:t>
            </w:r>
          </w:p>
        </w:tc>
        <w:tc>
          <w:tcPr>
            <w:tcW w:type="dxa" w:w="3402"/>
          </w:tcPr>
          <w:p>
            <w:pPr>
              <w:spacing w:after="40"/>
            </w:pPr>
            <w:r>
              <w:rPr>
                <w:sz w:val="18"/>
              </w:rPr>
              <w:t>auf mittlerer Höhe, mittig</w:t>
              <w:br/>
              <w:t>x 38.6–39.2 %</w:t>
              <w:br/>
              <w:t>y 39.8–40.9 %</w:t>
            </w:r>
          </w:p>
        </w:tc>
      </w:tr>
      <w:tr>
        <w:trPr>
          <w:cantSplit/>
        </w:trPr>
        <w:tc>
          <w:tcPr>
            <w:tcW w:type="dxa" w:w="3288"/>
          </w:tcPr>
          <w:p>
            <w:pPr>
              <w:spacing w:after="40"/>
            </w:pPr>
            <w:r>
              <w:rPr>
                <w:sz w:val="18"/>
              </w:rPr>
              <w:t>of</w:t>
            </w:r>
          </w:p>
        </w:tc>
        <w:tc>
          <w:tcPr>
            <w:tcW w:type="dxa" w:w="3005"/>
          </w:tcPr>
          <w:p>
            <w:pPr>
              <w:spacing w:after="40"/>
            </w:pPr>
            <w:r>
              <w:rPr>
                <w:sz w:val="18"/>
              </w:rPr>
              <w:t>x 1074–1086</w:t>
              <w:br/>
              <w:t>y 364–374</w:t>
            </w:r>
          </w:p>
        </w:tc>
        <w:tc>
          <w:tcPr>
            <w:tcW w:type="dxa" w:w="3402"/>
          </w:tcPr>
          <w:p>
            <w:pPr>
              <w:spacing w:after="40"/>
            </w:pPr>
            <w:r>
              <w:rPr>
                <w:sz w:val="18"/>
              </w:rPr>
              <w:t>auf mittlerer Höhe, mittig</w:t>
              <w:br/>
              <w:t>x 56.1–56.7 %</w:t>
              <w:br/>
              <w:t>y 39.8–40.9 %</w:t>
            </w:r>
          </w:p>
        </w:tc>
      </w:tr>
      <w:tr>
        <w:trPr>
          <w:cantSplit/>
        </w:trPr>
        <w:tc>
          <w:tcPr>
            <w:tcW w:type="dxa" w:w="3288"/>
          </w:tcPr>
          <w:p>
            <w:pPr>
              <w:spacing w:after="40"/>
            </w:pPr>
            <w:r>
              <w:rPr>
                <w:sz w:val="18"/>
              </w:rPr>
              <w:t>of</w:t>
            </w:r>
          </w:p>
        </w:tc>
        <w:tc>
          <w:tcPr>
            <w:tcW w:type="dxa" w:w="3005"/>
          </w:tcPr>
          <w:p>
            <w:pPr>
              <w:spacing w:after="40"/>
            </w:pPr>
            <w:r>
              <w:rPr>
                <w:sz w:val="18"/>
              </w:rPr>
              <w:t>x 1418–1430</w:t>
              <w:br/>
              <w:t>y 364–374</w:t>
            </w:r>
          </w:p>
        </w:tc>
        <w:tc>
          <w:tcPr>
            <w:tcW w:type="dxa" w:w="3402"/>
          </w:tcPr>
          <w:p>
            <w:pPr>
              <w:spacing w:after="40"/>
            </w:pPr>
            <w:r>
              <w:rPr>
                <w:sz w:val="18"/>
              </w:rPr>
              <w:t>auf mittlerer Höhe, rechts</w:t>
              <w:br/>
              <w:t>x 74.0–74.6 %</w:t>
              <w:br/>
              <w:t>y 39.8–40.9 %</w:t>
            </w:r>
          </w:p>
        </w:tc>
      </w:tr>
      <w:tr>
        <w:trPr>
          <w:cantSplit/>
        </w:trPr>
        <w:tc>
          <w:tcPr>
            <w:tcW w:type="dxa" w:w="3288"/>
          </w:tcPr>
          <w:p>
            <w:pPr>
              <w:spacing w:after="40"/>
            </w:pPr>
            <w:r>
              <w:rPr>
                <w:sz w:val="18"/>
              </w:rPr>
              <w:t>Search</w:t>
            </w:r>
          </w:p>
        </w:tc>
        <w:tc>
          <w:tcPr>
            <w:tcW w:type="dxa" w:w="3005"/>
          </w:tcPr>
          <w:p>
            <w:pPr>
              <w:spacing w:after="40"/>
            </w:pPr>
            <w:r>
              <w:rPr>
                <w:sz w:val="18"/>
              </w:rPr>
              <w:t>x 50–92</w:t>
              <w:br/>
              <w:t>y 377–387</w:t>
            </w:r>
          </w:p>
        </w:tc>
        <w:tc>
          <w:tcPr>
            <w:tcW w:type="dxa" w:w="3402"/>
          </w:tcPr>
          <w:p>
            <w:pPr>
              <w:spacing w:after="40"/>
            </w:pPr>
            <w:r>
              <w:rPr>
                <w:sz w:val="18"/>
              </w:rPr>
              <w:t>auf mittlerer Höhe, links</w:t>
              <w:br/>
              <w:t>x 2.6–4.8 %</w:t>
              <w:br/>
              <w:t>y 41.2–42.3 %</w:t>
            </w:r>
          </w:p>
        </w:tc>
      </w:tr>
      <w:tr>
        <w:trPr>
          <w:cantSplit/>
        </w:trPr>
        <w:tc>
          <w:tcPr>
            <w:tcW w:type="dxa" w:w="3288"/>
          </w:tcPr>
          <w:p>
            <w:pPr>
              <w:spacing w:after="40"/>
            </w:pPr>
            <w:r>
              <w:rPr>
                <w:sz w:val="18"/>
              </w:rPr>
              <w:t>No data</w:t>
            </w:r>
          </w:p>
        </w:tc>
        <w:tc>
          <w:tcPr>
            <w:tcW w:type="dxa" w:w="3005"/>
          </w:tcPr>
          <w:p>
            <w:pPr>
              <w:spacing w:after="40"/>
            </w:pPr>
            <w:r>
              <w:rPr>
                <w:sz w:val="18"/>
              </w:rPr>
              <w:t>x 417–464</w:t>
              <w:br/>
              <w:t>y 380–390</w:t>
            </w:r>
          </w:p>
        </w:tc>
        <w:tc>
          <w:tcPr>
            <w:tcW w:type="dxa" w:w="3402"/>
          </w:tcPr>
          <w:p>
            <w:pPr>
              <w:spacing w:after="40"/>
            </w:pPr>
            <w:r>
              <w:rPr>
                <w:sz w:val="18"/>
              </w:rPr>
              <w:t>auf mittlerer Höhe, links</w:t>
              <w:br/>
              <w:t>x 21.8–24.3 %</w:t>
              <w:br/>
              <w:t>y 41.6–42.7 %</w:t>
            </w:r>
          </w:p>
        </w:tc>
      </w:tr>
      <w:tr>
        <w:trPr>
          <w:cantSplit/>
        </w:trPr>
        <w:tc>
          <w:tcPr>
            <w:tcW w:type="dxa" w:w="3288"/>
          </w:tcPr>
          <w:p>
            <w:pPr>
              <w:spacing w:after="40"/>
            </w:pPr>
            <w:r>
              <w:rPr>
                <w:sz w:val="18"/>
              </w:rPr>
              <w:t>Memory for Storage:</w:t>
            </w:r>
          </w:p>
        </w:tc>
        <w:tc>
          <w:tcPr>
            <w:tcW w:type="dxa" w:w="3005"/>
          </w:tcPr>
          <w:p>
            <w:pPr>
              <w:spacing w:after="40"/>
            </w:pPr>
            <w:r>
              <w:rPr>
                <w:sz w:val="18"/>
              </w:rPr>
              <w:t>x 682–806</w:t>
              <w:br/>
              <w:t>y 418–431</w:t>
            </w:r>
          </w:p>
        </w:tc>
        <w:tc>
          <w:tcPr>
            <w:tcW w:type="dxa" w:w="3402"/>
          </w:tcPr>
          <w:p>
            <w:pPr>
              <w:spacing w:after="40"/>
            </w:pPr>
            <w:r>
              <w:rPr>
                <w:sz w:val="18"/>
              </w:rPr>
              <w:t>auf mittlerer Höhe, mittig</w:t>
              <w:br/>
              <w:t>x 35.6–42.1 %</w:t>
              <w:br/>
              <w:t>y 45.7–47.2 %</w:t>
            </w:r>
          </w:p>
        </w:tc>
      </w:tr>
      <w:tr>
        <w:trPr>
          <w:cantSplit/>
        </w:trPr>
        <w:tc>
          <w:tcPr>
            <w:tcW w:type="dxa" w:w="3288"/>
          </w:tcPr>
          <w:p>
            <w:pPr>
              <w:spacing w:after="40"/>
            </w:pPr>
            <w:r>
              <w:rPr>
                <w:sz w:val="18"/>
              </w:rPr>
              <w:t>Memory for Storage:</w:t>
            </w:r>
          </w:p>
        </w:tc>
        <w:tc>
          <w:tcPr>
            <w:tcW w:type="dxa" w:w="3005"/>
          </w:tcPr>
          <w:p>
            <w:pPr>
              <w:spacing w:after="40"/>
            </w:pPr>
            <w:r>
              <w:rPr>
                <w:sz w:val="18"/>
              </w:rPr>
              <w:t>x 1018–1142</w:t>
              <w:br/>
              <w:t>y 418–431</w:t>
            </w:r>
          </w:p>
        </w:tc>
        <w:tc>
          <w:tcPr>
            <w:tcW w:type="dxa" w:w="3402"/>
          </w:tcPr>
          <w:p>
            <w:pPr>
              <w:spacing w:after="40"/>
            </w:pPr>
            <w:r>
              <w:rPr>
                <w:sz w:val="18"/>
              </w:rPr>
              <w:t>auf mittlerer Höhe, mittig</w:t>
              <w:br/>
              <w:t>x 53.2–59.6 %</w:t>
              <w:br/>
              <w:t>y 45.7–47.2 %</w:t>
            </w:r>
          </w:p>
        </w:tc>
      </w:tr>
      <w:tr>
        <w:trPr>
          <w:cantSplit/>
        </w:trPr>
        <w:tc>
          <w:tcPr>
            <w:tcW w:type="dxa" w:w="3288"/>
          </w:tcPr>
          <w:p>
            <w:pPr>
              <w:spacing w:after="40"/>
            </w:pPr>
            <w:r>
              <w:rPr>
                <w:sz w:val="18"/>
              </w:rPr>
              <w:t>Memory for Storage:</w:t>
            </w:r>
          </w:p>
        </w:tc>
        <w:tc>
          <w:tcPr>
            <w:tcW w:type="dxa" w:w="3005"/>
          </w:tcPr>
          <w:p>
            <w:pPr>
              <w:spacing w:after="40"/>
            </w:pPr>
            <w:r>
              <w:rPr>
                <w:sz w:val="18"/>
              </w:rPr>
              <w:t>x 1354–1478</w:t>
              <w:br/>
              <w:t>y 418–431</w:t>
            </w:r>
          </w:p>
        </w:tc>
        <w:tc>
          <w:tcPr>
            <w:tcW w:type="dxa" w:w="3402"/>
          </w:tcPr>
          <w:p>
            <w:pPr>
              <w:spacing w:after="40"/>
            </w:pPr>
            <w:r>
              <w:rPr>
                <w:sz w:val="18"/>
              </w:rPr>
              <w:t>auf mittlerer Höhe, rechts</w:t>
              <w:br/>
              <w:t>x 70.7–77.2 %</w:t>
              <w:br/>
              <w:t>y 45.7–47.2 %</w:t>
            </w:r>
          </w:p>
        </w:tc>
      </w:tr>
      <w:tr>
        <w:trPr>
          <w:cantSplit/>
        </w:trPr>
        <w:tc>
          <w:tcPr>
            <w:tcW w:type="dxa" w:w="3288"/>
          </w:tcPr>
          <w:p>
            <w:pPr>
              <w:spacing w:after="40"/>
            </w:pPr>
            <w:r>
              <w:rPr>
                <w:sz w:val="18"/>
              </w:rPr>
              <w:t>of</w:t>
            </w:r>
          </w:p>
        </w:tc>
        <w:tc>
          <w:tcPr>
            <w:tcW w:type="dxa" w:w="3005"/>
          </w:tcPr>
          <w:p>
            <w:pPr>
              <w:spacing w:after="40"/>
            </w:pPr>
            <w:r>
              <w:rPr>
                <w:sz w:val="18"/>
              </w:rPr>
              <w:t>x 738–750</w:t>
              <w:br/>
              <w:t>y 445–455</w:t>
            </w:r>
          </w:p>
        </w:tc>
        <w:tc>
          <w:tcPr>
            <w:tcW w:type="dxa" w:w="3402"/>
          </w:tcPr>
          <w:p>
            <w:pPr>
              <w:spacing w:after="40"/>
            </w:pPr>
            <w:r>
              <w:rPr>
                <w:sz w:val="18"/>
              </w:rPr>
              <w:t>auf mittlerer Höhe, mittig</w:t>
              <w:br/>
              <w:t>x 38.6–39.2 %</w:t>
              <w:br/>
              <w:t>y 48.7–49.8 %</w:t>
            </w:r>
          </w:p>
        </w:tc>
      </w:tr>
      <w:tr>
        <w:trPr>
          <w:cantSplit/>
        </w:trPr>
        <w:tc>
          <w:tcPr>
            <w:tcW w:type="dxa" w:w="3288"/>
          </w:tcPr>
          <w:p>
            <w:pPr>
              <w:spacing w:after="40"/>
            </w:pPr>
            <w:r>
              <w:rPr>
                <w:sz w:val="18"/>
              </w:rPr>
              <w:t>of</w:t>
            </w:r>
          </w:p>
        </w:tc>
        <w:tc>
          <w:tcPr>
            <w:tcW w:type="dxa" w:w="3005"/>
          </w:tcPr>
          <w:p>
            <w:pPr>
              <w:spacing w:after="40"/>
            </w:pPr>
            <w:r>
              <w:rPr>
                <w:sz w:val="18"/>
              </w:rPr>
              <w:t>x 1087–1098</w:t>
              <w:br/>
              <w:t>y 445–455</w:t>
            </w:r>
          </w:p>
        </w:tc>
        <w:tc>
          <w:tcPr>
            <w:tcW w:type="dxa" w:w="3402"/>
          </w:tcPr>
          <w:p>
            <w:pPr>
              <w:spacing w:after="40"/>
            </w:pPr>
            <w:r>
              <w:rPr>
                <w:sz w:val="18"/>
              </w:rPr>
              <w:t>auf mittlerer Höhe, mittig</w:t>
              <w:br/>
              <w:t>x 56.8–57.4 %</w:t>
              <w:br/>
              <w:t>y 48.7–49.8 %</w:t>
            </w:r>
          </w:p>
        </w:tc>
      </w:tr>
      <w:tr>
        <w:trPr>
          <w:cantSplit/>
        </w:trPr>
        <w:tc>
          <w:tcPr>
            <w:tcW w:type="dxa" w:w="3288"/>
          </w:tcPr>
          <w:p>
            <w:pPr>
              <w:spacing w:after="40"/>
            </w:pPr>
            <w:r>
              <w:rPr>
                <w:sz w:val="18"/>
              </w:rPr>
              <w:t>of</w:t>
            </w:r>
          </w:p>
        </w:tc>
        <w:tc>
          <w:tcPr>
            <w:tcW w:type="dxa" w:w="3005"/>
          </w:tcPr>
          <w:p>
            <w:pPr>
              <w:spacing w:after="40"/>
            </w:pPr>
            <w:r>
              <w:rPr>
                <w:sz w:val="18"/>
              </w:rPr>
              <w:t>x 1410–1422</w:t>
              <w:br/>
              <w:t>y 445–455</w:t>
            </w:r>
          </w:p>
        </w:tc>
        <w:tc>
          <w:tcPr>
            <w:tcW w:type="dxa" w:w="3402"/>
          </w:tcPr>
          <w:p>
            <w:pPr>
              <w:spacing w:after="40"/>
            </w:pPr>
            <w:r>
              <w:rPr>
                <w:sz w:val="18"/>
              </w:rPr>
              <w:t>auf mittlerer Höhe, rechts</w:t>
              <w:br/>
              <w:t>x 73.7–74.3 %</w:t>
              <w:br/>
              <w:t>y 48.7–49.8 %</w:t>
            </w:r>
          </w:p>
        </w:tc>
      </w:tr>
      <w:tr>
        <w:trPr>
          <w:cantSplit/>
        </w:trPr>
        <w:tc>
          <w:tcPr>
            <w:tcW w:type="dxa" w:w="3288"/>
          </w:tcPr>
          <w:p>
            <w:pPr>
              <w:spacing w:after="40"/>
            </w:pPr>
            <w:r>
              <w:rPr>
                <w:sz w:val="18"/>
              </w:rPr>
              <w:t>Apps</w:t>
            </w:r>
          </w:p>
        </w:tc>
        <w:tc>
          <w:tcPr>
            <w:tcW w:type="dxa" w:w="3005"/>
          </w:tcPr>
          <w:p>
            <w:pPr>
              <w:spacing w:after="40"/>
            </w:pPr>
            <w:r>
              <w:rPr>
                <w:sz w:val="18"/>
              </w:rPr>
              <w:t>x 25–56</w:t>
              <w:br/>
              <w:t>y 459–472</w:t>
            </w:r>
          </w:p>
        </w:tc>
        <w:tc>
          <w:tcPr>
            <w:tcW w:type="dxa" w:w="3402"/>
          </w:tcPr>
          <w:p>
            <w:pPr>
              <w:spacing w:after="40"/>
            </w:pPr>
            <w:r>
              <w:rPr>
                <w:sz w:val="18"/>
              </w:rPr>
              <w:t>auf mittlerer Höhe, links</w:t>
              <w:br/>
              <w:t>x 1.3–2.9 %</w:t>
              <w:br/>
              <w:t>y 50.2–51.6 %</w:t>
            </w:r>
          </w:p>
        </w:tc>
      </w:tr>
      <w:tr>
        <w:trPr>
          <w:cantSplit/>
        </w:trPr>
        <w:tc>
          <w:tcPr>
            <w:tcW w:type="dxa" w:w="3288"/>
          </w:tcPr>
          <w:p>
            <w:pPr>
              <w:spacing w:after="40"/>
            </w:pPr>
            <w:r>
              <w:rPr>
                <w:sz w:val="18"/>
              </w:rPr>
              <w:t>Semantic Onboarding</w:t>
            </w:r>
          </w:p>
        </w:tc>
        <w:tc>
          <w:tcPr>
            <w:tcW w:type="dxa" w:w="3005"/>
          </w:tcPr>
          <w:p>
            <w:pPr>
              <w:spacing w:after="40"/>
            </w:pPr>
            <w:r>
              <w:rPr>
                <w:sz w:val="18"/>
              </w:rPr>
              <w:t>x 50–183</w:t>
              <w:br/>
              <w:t>y 495–508</w:t>
            </w:r>
          </w:p>
        </w:tc>
        <w:tc>
          <w:tcPr>
            <w:tcW w:type="dxa" w:w="3402"/>
          </w:tcPr>
          <w:p>
            <w:pPr>
              <w:spacing w:after="40"/>
            </w:pPr>
            <w:r>
              <w:rPr>
                <w:sz w:val="18"/>
              </w:rPr>
              <w:t>auf mittlerer Höhe, links</w:t>
              <w:br/>
              <w:t>x 2.6–9.6 %</w:t>
              <w:br/>
              <w:t>y 54.2–55.6 %</w:t>
            </w:r>
          </w:p>
        </w:tc>
      </w:tr>
      <w:tr>
        <w:trPr>
          <w:cantSplit/>
        </w:trPr>
        <w:tc>
          <w:tcPr>
            <w:tcW w:type="dxa" w:w="3288"/>
          </w:tcPr>
          <w:p>
            <w:pPr>
              <w:spacing w:after="40"/>
            </w:pPr>
            <w:r>
              <w:rPr>
                <w:sz w:val="18"/>
              </w:rPr>
              <w:t>Business Builder</w:t>
            </w:r>
          </w:p>
        </w:tc>
        <w:tc>
          <w:tcPr>
            <w:tcW w:type="dxa" w:w="3005"/>
          </w:tcPr>
          <w:p>
            <w:pPr>
              <w:spacing w:after="40"/>
            </w:pPr>
            <w:r>
              <w:rPr>
                <w:sz w:val="18"/>
              </w:rPr>
              <w:t>x 50–152</w:t>
              <w:br/>
              <w:t>y 531–541</w:t>
            </w:r>
          </w:p>
        </w:tc>
        <w:tc>
          <w:tcPr>
            <w:tcW w:type="dxa" w:w="3402"/>
          </w:tcPr>
          <w:p>
            <w:pPr>
              <w:spacing w:after="40"/>
            </w:pPr>
            <w:r>
              <w:rPr>
                <w:sz w:val="18"/>
              </w:rPr>
              <w:t>auf mittlerer Höhe, links</w:t>
              <w:br/>
              <w:t>x 2.6–7.9 %</w:t>
              <w:br/>
              <w:t>y 58.1–59.2 %</w:t>
            </w:r>
          </w:p>
        </w:tc>
      </w:tr>
      <w:tr>
        <w:trPr>
          <w:cantSplit/>
        </w:trPr>
        <w:tc>
          <w:tcPr>
            <w:tcW w:type="dxa" w:w="3288"/>
          </w:tcPr>
          <w:p>
            <w:pPr>
              <w:spacing w:after="40"/>
            </w:pPr>
            <w:r>
              <w:rPr>
                <w:sz w:val="18"/>
              </w:rPr>
              <w:t>Edit</w:t>
            </w:r>
          </w:p>
        </w:tc>
        <w:tc>
          <w:tcPr>
            <w:tcW w:type="dxa" w:w="3005"/>
          </w:tcPr>
          <w:p>
            <w:pPr>
              <w:spacing w:after="40"/>
            </w:pPr>
            <w:r>
              <w:rPr>
                <w:sz w:val="18"/>
              </w:rPr>
              <w:t>x 936–959</w:t>
              <w:br/>
              <w:t>y 546–556</w:t>
            </w:r>
          </w:p>
        </w:tc>
        <w:tc>
          <w:tcPr>
            <w:tcW w:type="dxa" w:w="3402"/>
          </w:tcPr>
          <w:p>
            <w:pPr>
              <w:spacing w:after="40"/>
            </w:pPr>
            <w:r>
              <w:rPr>
                <w:sz w:val="18"/>
              </w:rPr>
              <w:t>auf mittlerer Höhe, mittig</w:t>
              <w:br/>
              <w:t>x 48.9–50.1 %</w:t>
              <w:br/>
              <w:t>y 59.7–60.8 %</w:t>
            </w:r>
          </w:p>
        </w:tc>
      </w:tr>
      <w:tr>
        <w:trPr>
          <w:cantSplit/>
        </w:trPr>
        <w:tc>
          <w:tcPr>
            <w:tcW w:type="dxa" w:w="3288"/>
          </w:tcPr>
          <w:p>
            <w:pPr>
              <w:spacing w:after="40"/>
            </w:pPr>
            <w:r>
              <w:rPr>
                <w:sz w:val="18"/>
              </w:rPr>
              <w:t>Edit</w:t>
            </w:r>
          </w:p>
        </w:tc>
        <w:tc>
          <w:tcPr>
            <w:tcW w:type="dxa" w:w="3005"/>
          </w:tcPr>
          <w:p>
            <w:pPr>
              <w:spacing w:after="40"/>
            </w:pPr>
            <w:r>
              <w:rPr>
                <w:sz w:val="18"/>
              </w:rPr>
              <w:t>x 1272–1295</w:t>
              <w:br/>
              <w:t>y 546–556</w:t>
            </w:r>
          </w:p>
        </w:tc>
        <w:tc>
          <w:tcPr>
            <w:tcW w:type="dxa" w:w="3402"/>
          </w:tcPr>
          <w:p>
            <w:pPr>
              <w:spacing w:after="40"/>
            </w:pPr>
            <w:r>
              <w:rPr>
                <w:sz w:val="18"/>
              </w:rPr>
              <w:t>auf mittlerer Höhe, rechts</w:t>
              <w:br/>
              <w:t>x 66.4–67.6 %</w:t>
              <w:br/>
              <w:t>y 59.7–60.8 %</w:t>
            </w:r>
          </w:p>
        </w:tc>
      </w:tr>
      <w:tr>
        <w:trPr>
          <w:cantSplit/>
        </w:trPr>
        <w:tc>
          <w:tcPr>
            <w:tcW w:type="dxa" w:w="3288"/>
          </w:tcPr>
          <w:p>
            <w:pPr>
              <w:spacing w:after="40"/>
            </w:pPr>
            <w:r>
              <w:rPr>
                <w:sz w:val="18"/>
              </w:rPr>
              <w:t>Edit</w:t>
            </w:r>
          </w:p>
        </w:tc>
        <w:tc>
          <w:tcPr>
            <w:tcW w:type="dxa" w:w="3005"/>
          </w:tcPr>
          <w:p>
            <w:pPr>
              <w:spacing w:after="40"/>
            </w:pPr>
            <w:r>
              <w:rPr>
                <w:sz w:val="18"/>
              </w:rPr>
              <w:t>x 1608–1631</w:t>
              <w:br/>
              <w:t>y 546–556</w:t>
            </w:r>
          </w:p>
        </w:tc>
        <w:tc>
          <w:tcPr>
            <w:tcW w:type="dxa" w:w="3402"/>
          </w:tcPr>
          <w:p>
            <w:pPr>
              <w:spacing w:after="40"/>
            </w:pPr>
            <w:r>
              <w:rPr>
                <w:sz w:val="18"/>
              </w:rPr>
              <w:t>auf mittlerer Höhe, rechts</w:t>
              <w:br/>
              <w:t>x 84.0–85.2 %</w:t>
              <w:br/>
              <w:t>y 59.7–60.8 %</w:t>
            </w:r>
          </w:p>
        </w:tc>
      </w:tr>
      <w:tr>
        <w:trPr>
          <w:cantSplit/>
        </w:trPr>
        <w:tc>
          <w:tcPr>
            <w:tcW w:type="dxa" w:w="3288"/>
          </w:tcPr>
          <w:p>
            <w:pPr>
              <w:spacing w:after="40"/>
            </w:pPr>
            <w:r>
              <w:rPr>
                <w:sz w:val="18"/>
              </w:rPr>
              <w:t>Data Builder</w:t>
            </w:r>
          </w:p>
        </w:tc>
        <w:tc>
          <w:tcPr>
            <w:tcW w:type="dxa" w:w="3005"/>
          </w:tcPr>
          <w:p>
            <w:pPr>
              <w:spacing w:after="40"/>
            </w:pPr>
            <w:r>
              <w:rPr>
                <w:sz w:val="18"/>
              </w:rPr>
              <w:t>x 50–126</w:t>
              <w:br/>
              <w:t>y 567–577</w:t>
            </w:r>
          </w:p>
        </w:tc>
        <w:tc>
          <w:tcPr>
            <w:tcW w:type="dxa" w:w="3402"/>
          </w:tcPr>
          <w:p>
            <w:pPr>
              <w:spacing w:after="40"/>
            </w:pPr>
            <w:r>
              <w:rPr>
                <w:sz w:val="18"/>
              </w:rPr>
              <w:t>auf mittlerer Höhe, links</w:t>
              <w:br/>
              <w:t>x 2.6–6.6 %</w:t>
              <w:br/>
              <w:t>y 62.0–63.1 %</w:t>
            </w:r>
          </w:p>
        </w:tc>
      </w:tr>
      <w:tr>
        <w:trPr>
          <w:cantSplit/>
        </w:trPr>
        <w:tc>
          <w:tcPr>
            <w:tcW w:type="dxa" w:w="3288"/>
          </w:tcPr>
          <w:p>
            <w:pPr>
              <w:spacing w:after="40"/>
            </w:pPr>
            <w:r>
              <w:rPr>
                <w:sz w:val="18"/>
              </w:rPr>
              <w:t>Connections</w:t>
            </w:r>
          </w:p>
        </w:tc>
        <w:tc>
          <w:tcPr>
            <w:tcW w:type="dxa" w:w="3005"/>
          </w:tcPr>
          <w:p>
            <w:pPr>
              <w:spacing w:after="40"/>
            </w:pPr>
            <w:r>
              <w:rPr>
                <w:sz w:val="18"/>
              </w:rPr>
              <w:t>x 49–126</w:t>
              <w:br/>
              <w:t>y 603–613</w:t>
            </w:r>
          </w:p>
        </w:tc>
        <w:tc>
          <w:tcPr>
            <w:tcW w:type="dxa" w:w="3402"/>
          </w:tcPr>
          <w:p>
            <w:pPr>
              <w:spacing w:after="40"/>
            </w:pPr>
            <w:r>
              <w:rPr>
                <w:sz w:val="18"/>
              </w:rPr>
              <w:t>auf mittlerer Höhe, links</w:t>
              <w:br/>
              <w:t>x 2.6–6.6 %</w:t>
              <w:br/>
              <w:t>y 66.0–67.1 %</w:t>
            </w:r>
          </w:p>
        </w:tc>
      </w:tr>
      <w:tr>
        <w:trPr>
          <w:cantSplit/>
        </w:trPr>
        <w:tc>
          <w:tcPr>
            <w:tcW w:type="dxa" w:w="3288"/>
          </w:tcPr>
          <w:p>
            <w:pPr>
              <w:spacing w:after="40"/>
            </w:pPr>
            <w:r>
              <w:rPr>
                <w:sz w:val="18"/>
              </w:rPr>
              <w:t>Utilities</w:t>
            </w:r>
          </w:p>
        </w:tc>
        <w:tc>
          <w:tcPr>
            <w:tcW w:type="dxa" w:w="3005"/>
          </w:tcPr>
          <w:p>
            <w:pPr>
              <w:spacing w:after="40"/>
            </w:pPr>
            <w:r>
              <w:rPr>
                <w:sz w:val="18"/>
              </w:rPr>
              <w:t>x 26–70</w:t>
              <w:br/>
              <w:t>y 649–659</w:t>
            </w:r>
          </w:p>
        </w:tc>
        <w:tc>
          <w:tcPr>
            <w:tcW w:type="dxa" w:w="3402"/>
          </w:tcPr>
          <w:p>
            <w:pPr>
              <w:spacing w:after="40"/>
            </w:pPr>
            <w:r>
              <w:rPr>
                <w:sz w:val="18"/>
              </w:rPr>
              <w:t>unten, links</w:t>
              <w:br/>
              <w:t>x 1.4–3.7 %</w:t>
              <w:br/>
              <w:t>y 71.0–72.1 %</w:t>
            </w:r>
          </w:p>
        </w:tc>
      </w:tr>
      <w:tr>
        <w:trPr>
          <w:cantSplit/>
        </w:trPr>
        <w:tc>
          <w:tcPr>
            <w:tcW w:type="dxa" w:w="3288"/>
          </w:tcPr>
          <w:p>
            <w:pPr>
              <w:spacing w:after="40"/>
            </w:pPr>
            <w:r>
              <w:rPr>
                <w:sz w:val="18"/>
              </w:rPr>
              <w:t>Space Management</w:t>
            </w:r>
          </w:p>
        </w:tc>
        <w:tc>
          <w:tcPr>
            <w:tcW w:type="dxa" w:w="3005"/>
          </w:tcPr>
          <w:p>
            <w:pPr>
              <w:spacing w:after="40"/>
            </w:pPr>
            <w:r>
              <w:rPr>
                <w:sz w:val="18"/>
              </w:rPr>
              <w:t>x 50–172</w:t>
              <w:br/>
              <w:t>y 685–698</w:t>
            </w:r>
          </w:p>
        </w:tc>
        <w:tc>
          <w:tcPr>
            <w:tcW w:type="dxa" w:w="3402"/>
          </w:tcPr>
          <w:p>
            <w:pPr>
              <w:spacing w:after="40"/>
            </w:pPr>
            <w:r>
              <w:rPr>
                <w:sz w:val="18"/>
              </w:rPr>
              <w:t>unten, links</w:t>
              <w:br/>
              <w:t>x 2.6–9.0 %</w:t>
              <w:br/>
              <w:t>y 74.9–76.4 %</w:t>
            </w:r>
          </w:p>
        </w:tc>
      </w:tr>
      <w:tr>
        <w:trPr>
          <w:cantSplit/>
        </w:trPr>
        <w:tc>
          <w:tcPr>
            <w:tcW w:type="dxa" w:w="3288"/>
          </w:tcPr>
          <w:p>
            <w:pPr>
              <w:spacing w:after="40"/>
            </w:pPr>
            <w:r>
              <w:rPr>
                <w:sz w:val="18"/>
              </w:rPr>
              <w:t>Deployed On</w:t>
            </w:r>
          </w:p>
        </w:tc>
        <w:tc>
          <w:tcPr>
            <w:tcW w:type="dxa" w:w="3005"/>
          </w:tcPr>
          <w:p>
            <w:pPr>
              <w:spacing w:after="40"/>
            </w:pPr>
            <w:r>
              <w:rPr>
                <w:sz w:val="18"/>
              </w:rPr>
              <w:t>x 682–761</w:t>
              <w:br/>
              <w:t>y 708–721</w:t>
            </w:r>
          </w:p>
        </w:tc>
        <w:tc>
          <w:tcPr>
            <w:tcW w:type="dxa" w:w="3402"/>
          </w:tcPr>
          <w:p>
            <w:pPr>
              <w:spacing w:after="40"/>
            </w:pPr>
            <w:r>
              <w:rPr>
                <w:sz w:val="18"/>
              </w:rPr>
              <w:t>unten, mittig</w:t>
              <w:br/>
              <w:t>x 35.6–39.7 %</w:t>
              <w:br/>
              <w:t>y 77.5–78.9 %</w:t>
            </w:r>
          </w:p>
        </w:tc>
      </w:tr>
      <w:tr>
        <w:trPr>
          <w:cantSplit/>
        </w:trPr>
        <w:tc>
          <w:tcPr>
            <w:tcW w:type="dxa" w:w="3288"/>
          </w:tcPr>
          <w:p>
            <w:pPr>
              <w:spacing w:after="40"/>
            </w:pPr>
            <w:r>
              <w:rPr>
                <w:sz w:val="18"/>
              </w:rPr>
              <w:t>Deployed On</w:t>
            </w:r>
          </w:p>
        </w:tc>
        <w:tc>
          <w:tcPr>
            <w:tcW w:type="dxa" w:w="3005"/>
          </w:tcPr>
          <w:p>
            <w:pPr>
              <w:spacing w:after="40"/>
            </w:pPr>
            <w:r>
              <w:rPr>
                <w:sz w:val="18"/>
              </w:rPr>
              <w:t>x 1018–1097</w:t>
              <w:br/>
              <w:t>y 708–721</w:t>
            </w:r>
          </w:p>
        </w:tc>
        <w:tc>
          <w:tcPr>
            <w:tcW w:type="dxa" w:w="3402"/>
          </w:tcPr>
          <w:p>
            <w:pPr>
              <w:spacing w:after="40"/>
            </w:pPr>
            <w:r>
              <w:rPr>
                <w:sz w:val="18"/>
              </w:rPr>
              <w:t>unten, mittig</w:t>
              <w:br/>
              <w:t>x 53.2–57.3 %</w:t>
              <w:br/>
              <w:t>y 77.5–78.9 %</w:t>
            </w:r>
          </w:p>
        </w:tc>
      </w:tr>
      <w:tr>
        <w:trPr>
          <w:cantSplit/>
        </w:trPr>
        <w:tc>
          <w:tcPr>
            <w:tcW w:type="dxa" w:w="3288"/>
          </w:tcPr>
          <w:p>
            <w:pPr>
              <w:spacing w:after="40"/>
            </w:pPr>
            <w:r>
              <w:rPr>
                <w:sz w:val="18"/>
              </w:rPr>
              <w:t>Deployed On</w:t>
            </w:r>
          </w:p>
        </w:tc>
        <w:tc>
          <w:tcPr>
            <w:tcW w:type="dxa" w:w="3005"/>
          </w:tcPr>
          <w:p>
            <w:pPr>
              <w:spacing w:after="40"/>
            </w:pPr>
            <w:r>
              <w:rPr>
                <w:sz w:val="18"/>
              </w:rPr>
              <w:t>x 1354–1433</w:t>
              <w:br/>
              <w:t>y 708–721</w:t>
            </w:r>
          </w:p>
        </w:tc>
        <w:tc>
          <w:tcPr>
            <w:tcW w:type="dxa" w:w="3402"/>
          </w:tcPr>
          <w:p>
            <w:pPr>
              <w:spacing w:after="40"/>
            </w:pPr>
            <w:r>
              <w:rPr>
                <w:sz w:val="18"/>
              </w:rPr>
              <w:t>unten, rechts</w:t>
              <w:br/>
              <w:t>x 70.7–74.8 %</w:t>
              <w:br/>
              <w:t>y 77.5–78.9 %</w:t>
            </w:r>
          </w:p>
        </w:tc>
      </w:tr>
      <w:tr>
        <w:trPr>
          <w:cantSplit/>
        </w:trPr>
        <w:tc>
          <w:tcPr>
            <w:tcW w:type="dxa" w:w="3288"/>
          </w:tcPr>
          <w:p>
            <w:pPr>
              <w:spacing w:after="40"/>
            </w:pPr>
            <w:r>
              <w:rPr>
                <w:sz w:val="18"/>
              </w:rPr>
              <w:t>Translation</w:t>
            </w:r>
          </w:p>
        </w:tc>
        <w:tc>
          <w:tcPr>
            <w:tcW w:type="dxa" w:w="3005"/>
          </w:tcPr>
          <w:p>
            <w:pPr>
              <w:spacing w:after="40"/>
            </w:pPr>
            <w:r>
              <w:rPr>
                <w:sz w:val="18"/>
              </w:rPr>
              <w:t>x 49–116</w:t>
              <w:br/>
              <w:t>y 721–731</w:t>
            </w:r>
          </w:p>
        </w:tc>
        <w:tc>
          <w:tcPr>
            <w:tcW w:type="dxa" w:w="3402"/>
          </w:tcPr>
          <w:p>
            <w:pPr>
              <w:spacing w:after="40"/>
            </w:pPr>
            <w:r>
              <w:rPr>
                <w:sz w:val="18"/>
              </w:rPr>
              <w:t>unten, links</w:t>
              <w:br/>
              <w:t>x 2.6–6.1 %</w:t>
              <w:br/>
              <w:t>y 78.9–80.0 %</w:t>
            </w:r>
          </w:p>
        </w:tc>
      </w:tr>
      <w:tr>
        <w:trPr>
          <w:cantSplit/>
        </w:trPr>
        <w:tc>
          <w:tcPr>
            <w:tcW w:type="dxa" w:w="3288"/>
          </w:tcPr>
          <w:p>
            <w:pPr>
              <w:spacing w:after="40"/>
            </w:pPr>
            <w:r>
              <w:rPr>
                <w:sz w:val="18"/>
              </w:rPr>
              <w:t>Disk for Storage:</w:t>
            </w:r>
          </w:p>
        </w:tc>
        <w:tc>
          <w:tcPr>
            <w:tcW w:type="dxa" w:w="3005"/>
          </w:tcPr>
          <w:p>
            <w:pPr>
              <w:spacing w:after="40"/>
            </w:pPr>
            <w:r>
              <w:rPr>
                <w:sz w:val="18"/>
              </w:rPr>
              <w:t>x 682–782</w:t>
              <w:br/>
              <w:t>y 743–756</w:t>
            </w:r>
          </w:p>
        </w:tc>
        <w:tc>
          <w:tcPr>
            <w:tcW w:type="dxa" w:w="3402"/>
          </w:tcPr>
          <w:p>
            <w:pPr>
              <w:spacing w:after="40"/>
            </w:pPr>
            <w:r>
              <w:rPr>
                <w:sz w:val="18"/>
              </w:rPr>
              <w:t>unten, mittig</w:t>
              <w:br/>
              <w:t>x 35.6–40.8 %</w:t>
              <w:br/>
              <w:t>y 81.3–82.7 %</w:t>
            </w:r>
          </w:p>
        </w:tc>
      </w:tr>
      <w:tr>
        <w:trPr>
          <w:cantSplit/>
        </w:trPr>
        <w:tc>
          <w:tcPr>
            <w:tcW w:type="dxa" w:w="3288"/>
          </w:tcPr>
          <w:p>
            <w:pPr>
              <w:spacing w:after="40"/>
            </w:pPr>
            <w:r>
              <w:rPr>
                <w:sz w:val="18"/>
              </w:rPr>
              <w:t>Disk for Storage:</w:t>
            </w:r>
          </w:p>
        </w:tc>
        <w:tc>
          <w:tcPr>
            <w:tcW w:type="dxa" w:w="3005"/>
          </w:tcPr>
          <w:p>
            <w:pPr>
              <w:spacing w:after="40"/>
            </w:pPr>
            <w:r>
              <w:rPr>
                <w:sz w:val="18"/>
              </w:rPr>
              <w:t>x 1018–1118</w:t>
              <w:br/>
              <w:t>y 743–756</w:t>
            </w:r>
          </w:p>
        </w:tc>
        <w:tc>
          <w:tcPr>
            <w:tcW w:type="dxa" w:w="3402"/>
          </w:tcPr>
          <w:p>
            <w:pPr>
              <w:spacing w:after="40"/>
            </w:pPr>
            <w:r>
              <w:rPr>
                <w:sz w:val="18"/>
              </w:rPr>
              <w:t>unten, mittig</w:t>
              <w:br/>
              <w:t>x 53.2–58.4 %</w:t>
              <w:br/>
              <w:t>y 81.3–82.7 %</w:t>
            </w:r>
          </w:p>
        </w:tc>
      </w:tr>
      <w:tr>
        <w:trPr>
          <w:cantSplit/>
        </w:trPr>
        <w:tc>
          <w:tcPr>
            <w:tcW w:type="dxa" w:w="3288"/>
          </w:tcPr>
          <w:p>
            <w:pPr>
              <w:spacing w:after="40"/>
            </w:pPr>
            <w:r>
              <w:rPr>
                <w:sz w:val="18"/>
              </w:rPr>
              <w:t>Disk for Storage:</w:t>
            </w:r>
          </w:p>
        </w:tc>
        <w:tc>
          <w:tcPr>
            <w:tcW w:type="dxa" w:w="3005"/>
          </w:tcPr>
          <w:p>
            <w:pPr>
              <w:spacing w:after="40"/>
            </w:pPr>
            <w:r>
              <w:rPr>
                <w:sz w:val="18"/>
              </w:rPr>
              <w:t>x 1354–1454</w:t>
              <w:br/>
              <w:t>y 743–756</w:t>
            </w:r>
          </w:p>
        </w:tc>
        <w:tc>
          <w:tcPr>
            <w:tcW w:type="dxa" w:w="3402"/>
          </w:tcPr>
          <w:p>
            <w:pPr>
              <w:spacing w:after="40"/>
            </w:pPr>
            <w:r>
              <w:rPr>
                <w:sz w:val="18"/>
              </w:rPr>
              <w:t>unten, rechts</w:t>
              <w:br/>
              <w:t>x 70.7–75.9 %</w:t>
              <w:br/>
              <w:t>y 81.3–82.7 %</w:t>
            </w:r>
          </w:p>
        </w:tc>
      </w:tr>
      <w:tr>
        <w:trPr>
          <w:cantSplit/>
        </w:trPr>
        <w:tc>
          <w:tcPr>
            <w:tcW w:type="dxa" w:w="3288"/>
          </w:tcPr>
          <w:p>
            <w:pPr>
              <w:spacing w:after="40"/>
            </w:pPr>
            <w:r>
              <w:rPr>
                <w:sz w:val="18"/>
              </w:rPr>
              <w:t>Transport</w:t>
            </w:r>
          </w:p>
        </w:tc>
        <w:tc>
          <w:tcPr>
            <w:tcW w:type="dxa" w:w="3005"/>
          </w:tcPr>
          <w:p>
            <w:pPr>
              <w:spacing w:after="40"/>
            </w:pPr>
            <w:r>
              <w:rPr>
                <w:sz w:val="18"/>
              </w:rPr>
              <w:t>x 49–107</w:t>
              <w:br/>
              <w:t>y 757–770</w:t>
            </w:r>
          </w:p>
        </w:tc>
        <w:tc>
          <w:tcPr>
            <w:tcW w:type="dxa" w:w="3402"/>
          </w:tcPr>
          <w:p>
            <w:pPr>
              <w:spacing w:after="40"/>
            </w:pPr>
            <w:r>
              <w:rPr>
                <w:sz w:val="18"/>
              </w:rPr>
              <w:t>unten, links</w:t>
              <w:br/>
              <w:t>x 2.6–5.6 %</w:t>
              <w:br/>
              <w:t>y 82.8–84.2 %</w:t>
            </w:r>
          </w:p>
        </w:tc>
      </w:tr>
      <w:tr>
        <w:trPr>
          <w:cantSplit/>
        </w:trPr>
        <w:tc>
          <w:tcPr>
            <w:tcW w:type="dxa" w:w="3288"/>
          </w:tcPr>
          <w:p>
            <w:pPr>
              <w:spacing w:after="40"/>
            </w:pPr>
            <w:r>
              <w:rPr>
                <w:sz w:val="18"/>
              </w:rPr>
              <w:t>of</w:t>
            </w:r>
          </w:p>
        </w:tc>
        <w:tc>
          <w:tcPr>
            <w:tcW w:type="dxa" w:w="3005"/>
          </w:tcPr>
          <w:p>
            <w:pPr>
              <w:spacing w:after="40"/>
            </w:pPr>
            <w:r>
              <w:rPr>
                <w:sz w:val="18"/>
              </w:rPr>
              <w:t>x 1086–1098</w:t>
              <w:br/>
              <w:t>y 760–796</w:t>
            </w:r>
          </w:p>
        </w:tc>
        <w:tc>
          <w:tcPr>
            <w:tcW w:type="dxa" w:w="3402"/>
          </w:tcPr>
          <w:p>
            <w:pPr>
              <w:spacing w:after="40"/>
            </w:pPr>
            <w:r>
              <w:rPr>
                <w:sz w:val="18"/>
              </w:rPr>
              <w:t>unten, mittig</w:t>
              <w:br/>
              <w:t>x 56.7–57.3 %</w:t>
              <w:br/>
              <w:t>y 83.2–87.0 %</w:t>
            </w:r>
          </w:p>
        </w:tc>
      </w:tr>
      <w:tr>
        <w:trPr>
          <w:cantSplit/>
        </w:trPr>
        <w:tc>
          <w:tcPr>
            <w:tcW w:type="dxa" w:w="3288"/>
          </w:tcPr>
          <w:p>
            <w:pPr>
              <w:spacing w:after="40"/>
            </w:pPr>
            <w:r>
              <w:rPr>
                <w:sz w:val="18"/>
              </w:rPr>
              <w:t>of</w:t>
            </w:r>
          </w:p>
        </w:tc>
        <w:tc>
          <w:tcPr>
            <w:tcW w:type="dxa" w:w="3005"/>
          </w:tcPr>
          <w:p>
            <w:pPr>
              <w:spacing w:after="40"/>
            </w:pPr>
            <w:r>
              <w:rPr>
                <w:sz w:val="18"/>
              </w:rPr>
              <w:t>x 738–750</w:t>
              <w:br/>
              <w:t>y 770–780</w:t>
            </w:r>
          </w:p>
        </w:tc>
        <w:tc>
          <w:tcPr>
            <w:tcW w:type="dxa" w:w="3402"/>
          </w:tcPr>
          <w:p>
            <w:pPr>
              <w:spacing w:after="40"/>
            </w:pPr>
            <w:r>
              <w:rPr>
                <w:sz w:val="18"/>
              </w:rPr>
              <w:t>unten, mittig</w:t>
              <w:br/>
              <w:t>x 38.6–39.2 %</w:t>
              <w:br/>
              <w:t>y 84.2–85.3 %</w:t>
            </w:r>
          </w:p>
        </w:tc>
      </w:tr>
      <w:tr>
        <w:trPr>
          <w:cantSplit/>
        </w:trPr>
        <w:tc>
          <w:tcPr>
            <w:tcW w:type="dxa" w:w="3288"/>
          </w:tcPr>
          <w:p>
            <w:pPr>
              <w:spacing w:after="40"/>
            </w:pPr>
            <w:r>
              <w:rPr>
                <w:sz w:val="18"/>
              </w:rPr>
              <w:t>of</w:t>
            </w:r>
          </w:p>
        </w:tc>
        <w:tc>
          <w:tcPr>
            <w:tcW w:type="dxa" w:w="3005"/>
          </w:tcPr>
          <w:p>
            <w:pPr>
              <w:spacing w:after="40"/>
            </w:pPr>
            <w:r>
              <w:rPr>
                <w:sz w:val="18"/>
              </w:rPr>
              <w:t>x 1418–1430</w:t>
              <w:br/>
              <w:t>y 770–780</w:t>
            </w:r>
          </w:p>
        </w:tc>
        <w:tc>
          <w:tcPr>
            <w:tcW w:type="dxa" w:w="3402"/>
          </w:tcPr>
          <w:p>
            <w:pPr>
              <w:spacing w:after="40"/>
            </w:pPr>
            <w:r>
              <w:rPr>
                <w:sz w:val="18"/>
              </w:rPr>
              <w:t>unten, rechts</w:t>
              <w:br/>
              <w:t>x 74.0–74.6 %</w:t>
              <w:br/>
              <w:t>y 84.2–85.3 %</w:t>
            </w:r>
          </w:p>
        </w:tc>
      </w:tr>
      <w:tr>
        <w:trPr>
          <w:cantSplit/>
        </w:trPr>
        <w:tc>
          <w:tcPr>
            <w:tcW w:type="dxa" w:w="3288"/>
          </w:tcPr>
          <w:p>
            <w:pPr>
              <w:spacing w:after="40"/>
            </w:pPr>
            <w:r>
              <w:rPr>
                <w:sz w:val="18"/>
              </w:rPr>
              <w:t>Data Sharing Cockpit</w:t>
            </w:r>
          </w:p>
        </w:tc>
        <w:tc>
          <w:tcPr>
            <w:tcW w:type="dxa" w:w="3005"/>
          </w:tcPr>
          <w:p>
            <w:pPr>
              <w:spacing w:after="40"/>
            </w:pPr>
            <w:r>
              <w:rPr>
                <w:sz w:val="18"/>
              </w:rPr>
              <w:t>x 50–179</w:t>
              <w:br/>
              <w:t>y 793–806</w:t>
            </w:r>
          </w:p>
        </w:tc>
        <w:tc>
          <w:tcPr>
            <w:tcW w:type="dxa" w:w="3402"/>
          </w:tcPr>
          <w:p>
            <w:pPr>
              <w:spacing w:after="40"/>
            </w:pPr>
            <w:r>
              <w:rPr>
                <w:sz w:val="18"/>
              </w:rPr>
              <w:t>unten, links</w:t>
              <w:br/>
              <w:t>x 2.6–9.3 %</w:t>
              <w:br/>
              <w:t>y 86.8–88.2 %</w:t>
            </w:r>
          </w:p>
        </w:tc>
      </w:tr>
      <w:tr>
        <w:trPr>
          <w:cantSplit/>
        </w:trPr>
        <w:tc>
          <w:tcPr>
            <w:tcW w:type="dxa" w:w="3288"/>
          </w:tcPr>
          <w:p>
            <w:pPr>
              <w:spacing w:after="40"/>
            </w:pPr>
            <w:r>
              <w:rPr>
                <w:sz w:val="18"/>
              </w:rPr>
              <w:t>Memory for Storage:</w:t>
            </w:r>
          </w:p>
        </w:tc>
        <w:tc>
          <w:tcPr>
            <w:tcW w:type="dxa" w:w="3005"/>
          </w:tcPr>
          <w:p>
            <w:pPr>
              <w:spacing w:after="40"/>
            </w:pPr>
            <w:r>
              <w:rPr>
                <w:sz w:val="18"/>
              </w:rPr>
              <w:t>x 682–806</w:t>
              <w:br/>
              <w:t>y 824–837</w:t>
            </w:r>
          </w:p>
        </w:tc>
        <w:tc>
          <w:tcPr>
            <w:tcW w:type="dxa" w:w="3402"/>
          </w:tcPr>
          <w:p>
            <w:pPr>
              <w:spacing w:after="40"/>
            </w:pPr>
            <w:r>
              <w:rPr>
                <w:sz w:val="18"/>
              </w:rPr>
              <w:t>unten, mittig</w:t>
              <w:br/>
              <w:t>x 35.6–42.1 %</w:t>
              <w:br/>
              <w:t>y 90.2–91.6 %</w:t>
            </w:r>
          </w:p>
        </w:tc>
      </w:tr>
      <w:tr>
        <w:trPr>
          <w:cantSplit/>
        </w:trPr>
        <w:tc>
          <w:tcPr>
            <w:tcW w:type="dxa" w:w="3288"/>
          </w:tcPr>
          <w:p>
            <w:pPr>
              <w:spacing w:after="40"/>
            </w:pPr>
            <w:r>
              <w:rPr>
                <w:sz w:val="18"/>
              </w:rPr>
              <w:t>Memory for Storage:</w:t>
            </w:r>
          </w:p>
        </w:tc>
        <w:tc>
          <w:tcPr>
            <w:tcW w:type="dxa" w:w="3005"/>
          </w:tcPr>
          <w:p>
            <w:pPr>
              <w:spacing w:after="40"/>
            </w:pPr>
            <w:r>
              <w:rPr>
                <w:sz w:val="18"/>
              </w:rPr>
              <w:t>x 1018–1142</w:t>
              <w:br/>
              <w:t>y 824–837</w:t>
            </w:r>
          </w:p>
        </w:tc>
        <w:tc>
          <w:tcPr>
            <w:tcW w:type="dxa" w:w="3402"/>
          </w:tcPr>
          <w:p>
            <w:pPr>
              <w:spacing w:after="40"/>
            </w:pPr>
            <w:r>
              <w:rPr>
                <w:sz w:val="18"/>
              </w:rPr>
              <w:t>unten, mittig</w:t>
              <w:br/>
              <w:t>x 53.2–59.6 %</w:t>
              <w:br/>
              <w:t>y 90.2–91.6 %</w:t>
            </w:r>
          </w:p>
        </w:tc>
      </w:tr>
      <w:tr>
        <w:trPr>
          <w:cantSplit/>
        </w:trPr>
        <w:tc>
          <w:tcPr>
            <w:tcW w:type="dxa" w:w="3288"/>
          </w:tcPr>
          <w:p>
            <w:pPr>
              <w:spacing w:after="40"/>
            </w:pPr>
            <w:r>
              <w:rPr>
                <w:sz w:val="18"/>
              </w:rPr>
              <w:t>Memory for Storage:</w:t>
            </w:r>
          </w:p>
        </w:tc>
        <w:tc>
          <w:tcPr>
            <w:tcW w:type="dxa" w:w="3005"/>
          </w:tcPr>
          <w:p>
            <w:pPr>
              <w:spacing w:after="40"/>
            </w:pPr>
            <w:r>
              <w:rPr>
                <w:sz w:val="18"/>
              </w:rPr>
              <w:t>x 1354–1478</w:t>
              <w:br/>
              <w:t>y 824–837</w:t>
            </w:r>
          </w:p>
        </w:tc>
        <w:tc>
          <w:tcPr>
            <w:tcW w:type="dxa" w:w="3402"/>
          </w:tcPr>
          <w:p>
            <w:pPr>
              <w:spacing w:after="40"/>
            </w:pPr>
            <w:r>
              <w:rPr>
                <w:sz w:val="18"/>
              </w:rPr>
              <w:t>unten, rechts</w:t>
              <w:br/>
              <w:t>x 70.7–77.2 %</w:t>
              <w:br/>
              <w:t>y 90.2–91.6 %</w:t>
            </w:r>
          </w:p>
        </w:tc>
      </w:tr>
      <w:tr>
        <w:trPr>
          <w:cantSplit/>
        </w:trPr>
        <w:tc>
          <w:tcPr>
            <w:tcW w:type="dxa" w:w="3288"/>
          </w:tcPr>
          <w:p>
            <w:pPr>
              <w:spacing w:after="40"/>
            </w:pPr>
            <w:r>
              <w:rPr>
                <w:sz w:val="18"/>
              </w:rPr>
              <w:t>Security</w:t>
            </w:r>
          </w:p>
        </w:tc>
        <w:tc>
          <w:tcPr>
            <w:tcW w:type="dxa" w:w="3005"/>
          </w:tcPr>
          <w:p>
            <w:pPr>
              <w:spacing w:after="40"/>
            </w:pPr>
            <w:r>
              <w:rPr>
                <w:sz w:val="18"/>
              </w:rPr>
              <w:t>x 50–99</w:t>
              <w:br/>
              <w:t>y 840–853</w:t>
            </w:r>
          </w:p>
        </w:tc>
        <w:tc>
          <w:tcPr>
            <w:tcW w:type="dxa" w:w="3402"/>
          </w:tcPr>
          <w:p>
            <w:pPr>
              <w:spacing w:after="40"/>
            </w:pPr>
            <w:r>
              <w:rPr>
                <w:sz w:val="18"/>
              </w:rPr>
              <w:t>unten, links</w:t>
              <w:br/>
              <w:t>x 2.6–5.2 %</w:t>
              <w:br/>
              <w:t>y 91.9–93.3 %</w:t>
            </w:r>
          </w:p>
        </w:tc>
      </w:tr>
      <w:tr>
        <w:trPr>
          <w:cantSplit/>
        </w:trPr>
        <w:tc>
          <w:tcPr>
            <w:tcW w:type="dxa" w:w="3288"/>
          </w:tcPr>
          <w:p>
            <w:pPr>
              <w:spacing w:after="40"/>
            </w:pPr>
            <w:r>
              <w:rPr>
                <w:sz w:val="18"/>
              </w:rPr>
              <w:t>System</w:t>
            </w:r>
          </w:p>
        </w:tc>
        <w:tc>
          <w:tcPr>
            <w:tcW w:type="dxa" w:w="3005"/>
          </w:tcPr>
          <w:p>
            <w:pPr>
              <w:spacing w:after="40"/>
            </w:pPr>
            <w:r>
              <w:rPr>
                <w:sz w:val="18"/>
              </w:rPr>
              <w:t>x 50–94</w:t>
              <w:br/>
              <w:t>y 876–889</w:t>
            </w:r>
          </w:p>
        </w:tc>
        <w:tc>
          <w:tcPr>
            <w:tcW w:type="dxa" w:w="3402"/>
          </w:tcPr>
          <w:p>
            <w:pPr>
              <w:spacing w:after="40"/>
            </w:pPr>
            <w:r>
              <w:rPr>
                <w:sz w:val="18"/>
              </w:rPr>
              <w:t>unten, links</w:t>
              <w:br/>
              <w:t>x 2.6–4.9 %</w:t>
              <w:br/>
              <w:t>y 95.8–97.3 %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12: Connections: keine Space-Auswahl</w:t>
      </w:r>
    </w:p>
    <w:p>
      <w:r>
        <w:t>Bildformat: 1916 × 919 Pixel. Die folgenden Positionen beziehen sich auf dieses vollständige Bild.</w:t>
      </w:r>
    </w:p>
    <w:p>
      <w:pPr>
        <w:pStyle w:val="Heading2"/>
      </w:pPr>
      <w:r>
        <w:t>1. Gesamtaufbau und sichtbarer Zustand</w:t>
      </w:r>
    </w:p>
    <w:p>
      <w:pPr>
        <w:pStyle w:val="Heading3"/>
      </w:pPr>
      <w:r>
        <w:t>Gesamtansicht</w:t>
      </w:r>
    </w:p>
    <w:p>
      <w:r>
        <w:t>Der Screenshot zeigt eine zweigeteilte Connections-Ansicht. Links neben dem Hauptinhalt steht die globale Navigation. Der mittlere Bereich enthält einen Hinweis, während rechts eine Space-Auswahl als Kartenraster angezeigt wird.</w:t>
      </w:r>
    </w:p>
    <w:p>
      <w:pPr>
        <w:pStyle w:val="Heading3"/>
      </w:pPr>
      <w:r>
        <w:t>Mittlerer Hinweisbereich</w:t>
      </w:r>
    </w:p>
    <w:p>
      <w:r>
        <w:t>In der Mitte befindet sich eine größere Illustration. Darunter steht der Hinweis, dass noch kein Space ausgewählt wurde. Ein weiterer Absatz erklärt, dass Dateien in Spaces organisiert sind und ein Space ausgewählt werden soll. Zusätzlich ist ein Hinweis auf den Administrator sichtbar.</w:t>
      </w:r>
    </w:p>
    <w:p>
      <w:pPr>
        <w:pStyle w:val="Heading3"/>
      </w:pPr>
      <w:r>
        <w:t>Rechter Bereich</w:t>
      </w:r>
    </w:p>
    <w:p>
      <w:r>
        <w:t>Rechts stehen mehrere Karten in Reihen und Spalten. Jede Karte besitzt einen oberen Bezeichnungsbereich und darunter „Disk for Storage“. Einheiten wie MB und KB sind sichtbar. Die Karten setzen sich bis zum unteren Bildrand fort.</w:t>
      </w:r>
    </w:p>
    <w:p>
      <w:pPr>
        <w:pStyle w:val="Heading3"/>
      </w:pPr>
      <w:r>
        <w:t>Bedienelemente und Zustand</w:t>
      </w:r>
    </w:p>
    <w:p>
      <w:r>
        <w:t>Oberhalb der Karten steht ein Suchfeld. Der Hinweisbereich bleibt frei von einer Verbindungsliste oder Verbindungseigenschaften. Der Screenshot zeigt somit den sichtbaren Zustand vor der Auswahl einer Karte; ein Verbindungsdialog ist nicht geöffnet.</w:t>
      </w:r>
    </w:p>
    <w:p>
      <w:pPr>
        <w:pStyle w:val="Heading2"/>
      </w:pPr>
      <w:r>
        <w:t>2. Räumliche Beschreibung von oben nach unten</w:t>
      </w:r>
    </w:p>
    <w:p>
      <w:pPr>
        <w:pStyle w:val="Heading3"/>
      </w:pPr>
      <w:r>
        <w:t>Leerzustand links im Hauptbereich</w:t>
      </w:r>
    </w:p>
    <w:p>
      <w:r>
        <w:rPr>
          <w:b/>
        </w:rPr>
        <w:t xml:space="preserve">Ungefähre Bildregion: </w:t>
      </w:r>
      <w:r>
        <w:t>x 16–44 %, y 26–77 %</w:t>
      </w:r>
    </w:p>
    <w:p>
      <w:r>
        <w:t>Eine große Illustration steht oberhalb des Hinweises, dass noch kein Space ausgewählt wurde. Der Hinweistext ist unter der Illustration zentriert. Darunter folgen ein Erklärungstext und ein Administratorhinweis.</w:t>
      </w:r>
    </w:p>
    <w:p>
      <w:pPr>
        <w:pStyle w:val="Heading3"/>
      </w:pPr>
      <w:r>
        <w:t>Karten rechts</w:t>
      </w:r>
    </w:p>
    <w:p>
      <w:r>
        <w:rPr>
          <w:b/>
        </w:rPr>
        <w:t xml:space="preserve">Ungefähre Bildregion: </w:t>
      </w:r>
      <w:r>
        <w:t>x 47–98 %, y 10–100 %</w:t>
      </w:r>
    </w:p>
    <w:p>
      <w:r>
        <w:t>Das Suchfeld liegt oben rechts. Unterhalb stehen drei schmalere Karten pro Reihe. Disk for Storage steht innerhalb jeder Karte unter dem Titelbereich. Die Reihen setzen sich nach unten fort.</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Translation</w:t>
            </w:r>
          </w:p>
        </w:tc>
        <w:tc>
          <w:tcPr>
            <w:tcW w:type="dxa" w:w="3005"/>
          </w:tcPr>
          <w:p>
            <w:pPr>
              <w:spacing w:after="40"/>
            </w:pPr>
            <w:r>
              <w:rPr>
                <w:sz w:val="18"/>
              </w:rPr>
              <w:t>x 224–297</w:t>
              <w:br/>
              <w:t>y 55–65</w:t>
            </w:r>
          </w:p>
        </w:tc>
        <w:tc>
          <w:tcPr>
            <w:tcW w:type="dxa" w:w="3402"/>
          </w:tcPr>
          <w:p>
            <w:pPr>
              <w:spacing w:after="40"/>
            </w:pPr>
            <w:r>
              <w:rPr>
                <w:sz w:val="18"/>
              </w:rPr>
              <w:t>oben, links</w:t>
              <w:br/>
              <w:t>x 11.7–15.5 %</w:t>
              <w:br/>
              <w:t>y 6.0–7.1 %</w:t>
            </w:r>
          </w:p>
        </w:tc>
      </w:tr>
      <w:tr>
        <w:trPr>
          <w:cantSplit/>
        </w:trPr>
        <w:tc>
          <w:tcPr>
            <w:tcW w:type="dxa" w:w="3288"/>
          </w:tcPr>
          <w:p>
            <w:pPr>
              <w:spacing w:after="40"/>
            </w:pPr>
            <w:r>
              <w:rPr>
                <w:sz w:val="18"/>
              </w:rPr>
              <w:t>System and Spaces</w:t>
            </w:r>
          </w:p>
        </w:tc>
        <w:tc>
          <w:tcPr>
            <w:tcW w:type="dxa" w:w="3005"/>
          </w:tcPr>
          <w:p>
            <w:pPr>
              <w:spacing w:after="40"/>
            </w:pPr>
            <w:r>
              <w:rPr>
                <w:sz w:val="18"/>
              </w:rPr>
              <w:t>x 50–170</w:t>
              <w:br/>
              <w:t>y 116–129</w:t>
            </w:r>
          </w:p>
        </w:tc>
        <w:tc>
          <w:tcPr>
            <w:tcW w:type="dxa" w:w="3402"/>
          </w:tcPr>
          <w:p>
            <w:pPr>
              <w:spacing w:after="40"/>
            </w:pPr>
            <w:r>
              <w:rPr>
                <w:sz w:val="18"/>
              </w:rPr>
              <w:t>oben, links</w:t>
              <w:br/>
              <w:t>x 2.6–8.9 %</w:t>
              <w:br/>
              <w:t>y 12.6–14.0 %</w:t>
            </w:r>
          </w:p>
        </w:tc>
      </w:tr>
      <w:tr>
        <w:trPr>
          <w:cantSplit/>
        </w:trPr>
        <w:tc>
          <w:tcPr>
            <w:tcW w:type="dxa" w:w="3288"/>
          </w:tcPr>
          <w:p>
            <w:pPr>
              <w:spacing w:after="40"/>
            </w:pPr>
            <w:r>
              <w:rPr>
                <w:sz w:val="18"/>
              </w:rPr>
              <w:t>Translation</w:t>
            </w:r>
          </w:p>
        </w:tc>
        <w:tc>
          <w:tcPr>
            <w:tcW w:type="dxa" w:w="3005"/>
          </w:tcPr>
          <w:p>
            <w:pPr>
              <w:spacing w:after="40"/>
            </w:pPr>
            <w:r>
              <w:rPr>
                <w:sz w:val="18"/>
              </w:rPr>
              <w:t>x 497–632</w:t>
              <w:br/>
              <w:t>y 143–162</w:t>
            </w:r>
          </w:p>
        </w:tc>
        <w:tc>
          <w:tcPr>
            <w:tcW w:type="dxa" w:w="3402"/>
          </w:tcPr>
          <w:p>
            <w:pPr>
              <w:spacing w:after="40"/>
            </w:pPr>
            <w:r>
              <w:rPr>
                <w:sz w:val="18"/>
              </w:rPr>
              <w:t>oben, links</w:t>
              <w:br/>
              <w:t>x 25.9–33.0 %</w:t>
              <w:br/>
              <w:t>y 15.6–17.6 %</w:t>
            </w:r>
          </w:p>
        </w:tc>
      </w:tr>
      <w:tr>
        <w:trPr>
          <w:cantSplit/>
        </w:trPr>
        <w:tc>
          <w:tcPr>
            <w:tcW w:type="dxa" w:w="3288"/>
          </w:tcPr>
          <w:p>
            <w:pPr>
              <w:spacing w:after="40"/>
            </w:pPr>
            <w:r>
              <w:rPr>
                <w:sz w:val="18"/>
              </w:rPr>
              <w:t>Capacities</w:t>
            </w:r>
          </w:p>
        </w:tc>
        <w:tc>
          <w:tcPr>
            <w:tcW w:type="dxa" w:w="3005"/>
          </w:tcPr>
          <w:p>
            <w:pPr>
              <w:spacing w:after="40"/>
            </w:pPr>
            <w:r>
              <w:rPr>
                <w:sz w:val="18"/>
              </w:rPr>
              <w:t>x 49–113</w:t>
              <w:br/>
              <w:t>y 152–165</w:t>
            </w:r>
          </w:p>
        </w:tc>
        <w:tc>
          <w:tcPr>
            <w:tcW w:type="dxa" w:w="3402"/>
          </w:tcPr>
          <w:p>
            <w:pPr>
              <w:spacing w:after="40"/>
            </w:pPr>
            <w:r>
              <w:rPr>
                <w:sz w:val="18"/>
              </w:rPr>
              <w:t>oben, links</w:t>
              <w:br/>
              <w:t>x 2.6–5.9 %</w:t>
              <w:br/>
              <w:t>y 16.5–18.0 %</w:t>
            </w:r>
          </w:p>
        </w:tc>
      </w:tr>
      <w:tr>
        <w:trPr>
          <w:cantSplit/>
        </w:trPr>
        <w:tc>
          <w:tcPr>
            <w:tcW w:type="dxa" w:w="3288"/>
          </w:tcPr>
          <w:p>
            <w:pPr>
              <w:spacing w:after="40"/>
            </w:pPr>
            <w:r>
              <w:rPr>
                <w:sz w:val="18"/>
              </w:rPr>
              <w:t>translation</w:t>
            </w:r>
          </w:p>
        </w:tc>
        <w:tc>
          <w:tcPr>
            <w:tcW w:type="dxa" w:w="3005"/>
          </w:tcPr>
          <w:p>
            <w:pPr>
              <w:spacing w:after="40"/>
            </w:pPr>
            <w:r>
              <w:rPr>
                <w:sz w:val="18"/>
              </w:rPr>
              <w:t>x 362–425</w:t>
              <w:br/>
              <w:t>y 182–192</w:t>
            </w:r>
          </w:p>
        </w:tc>
        <w:tc>
          <w:tcPr>
            <w:tcW w:type="dxa" w:w="3402"/>
          </w:tcPr>
          <w:p>
            <w:pPr>
              <w:spacing w:after="40"/>
            </w:pPr>
            <w:r>
              <w:rPr>
                <w:sz w:val="18"/>
              </w:rPr>
              <w:t>oben, links</w:t>
              <w:br/>
              <w:t>x 18.9–22.2 %</w:t>
              <w:br/>
              <w:t>y 19.8–20.9 %</w:t>
            </w:r>
          </w:p>
        </w:tc>
      </w:tr>
      <w:tr>
        <w:trPr>
          <w:cantSplit/>
        </w:trPr>
        <w:tc>
          <w:tcPr>
            <w:tcW w:type="dxa" w:w="3288"/>
          </w:tcPr>
          <w:p>
            <w:pPr>
              <w:spacing w:after="40"/>
            </w:pPr>
            <w:r>
              <w:rPr>
                <w:sz w:val="18"/>
              </w:rPr>
              <w:t>Task Logs</w:t>
            </w:r>
          </w:p>
        </w:tc>
        <w:tc>
          <w:tcPr>
            <w:tcW w:type="dxa" w:w="3005"/>
          </w:tcPr>
          <w:p>
            <w:pPr>
              <w:spacing w:after="40"/>
            </w:pPr>
            <w:r>
              <w:rPr>
                <w:sz w:val="18"/>
              </w:rPr>
              <w:t>x 49–109</w:t>
              <w:br/>
              <w:t>y 188–201</w:t>
            </w:r>
          </w:p>
        </w:tc>
        <w:tc>
          <w:tcPr>
            <w:tcW w:type="dxa" w:w="3402"/>
          </w:tcPr>
          <w:p>
            <w:pPr>
              <w:spacing w:after="40"/>
            </w:pPr>
            <w:r>
              <w:rPr>
                <w:sz w:val="18"/>
              </w:rPr>
              <w:t>oben, links</w:t>
              <w:br/>
              <w:t>x 2.6–5.7 %</w:t>
              <w:br/>
              <w:t>y 20.5–21.9 %</w:t>
            </w:r>
          </w:p>
        </w:tc>
      </w:tr>
      <w:tr>
        <w:trPr>
          <w:cantSplit/>
        </w:trPr>
        <w:tc>
          <w:tcPr>
            <w:tcW w:type="dxa" w:w="3288"/>
          </w:tcPr>
          <w:p>
            <w:pPr>
              <w:spacing w:after="40"/>
            </w:pPr>
            <w:r>
              <w:rPr>
                <w:sz w:val="18"/>
              </w:rPr>
              <w:t>Expensive Statement Logs</w:t>
            </w:r>
          </w:p>
        </w:tc>
        <w:tc>
          <w:tcPr>
            <w:tcW w:type="dxa" w:w="3005"/>
          </w:tcPr>
          <w:p>
            <w:pPr>
              <w:spacing w:after="40"/>
            </w:pPr>
            <w:r>
              <w:rPr>
                <w:sz w:val="18"/>
              </w:rPr>
              <w:t>x 50–212</w:t>
              <w:br/>
              <w:t>y 224–237</w:t>
            </w:r>
          </w:p>
        </w:tc>
        <w:tc>
          <w:tcPr>
            <w:tcW w:type="dxa" w:w="3402"/>
          </w:tcPr>
          <w:p>
            <w:pPr>
              <w:spacing w:after="40"/>
            </w:pPr>
            <w:r>
              <w:rPr>
                <w:sz w:val="18"/>
              </w:rPr>
              <w:t>oben, links</w:t>
              <w:br/>
              <w:t>x 2.6–11.1 %</w:t>
              <w:br/>
              <w:t>y 24.4–25.8 %</w:t>
            </w:r>
          </w:p>
        </w:tc>
      </w:tr>
      <w:tr>
        <w:trPr>
          <w:cantSplit/>
        </w:trPr>
        <w:tc>
          <w:tcPr>
            <w:tcW w:type="dxa" w:w="3288"/>
          </w:tcPr>
          <w:p>
            <w:pPr>
              <w:spacing w:after="40"/>
            </w:pPr>
            <w:r>
              <w:rPr>
                <w:sz w:val="18"/>
              </w:rPr>
              <w:t>Elastic Compute Nodes</w:t>
            </w:r>
          </w:p>
        </w:tc>
        <w:tc>
          <w:tcPr>
            <w:tcW w:type="dxa" w:w="3005"/>
          </w:tcPr>
          <w:p>
            <w:pPr>
              <w:spacing w:after="40"/>
            </w:pPr>
            <w:r>
              <w:rPr>
                <w:sz w:val="18"/>
              </w:rPr>
              <w:t>x 50–193</w:t>
              <w:br/>
              <w:t>y 260–273</w:t>
            </w:r>
          </w:p>
        </w:tc>
        <w:tc>
          <w:tcPr>
            <w:tcW w:type="dxa" w:w="3402"/>
          </w:tcPr>
          <w:p>
            <w:pPr>
              <w:spacing w:after="40"/>
            </w:pPr>
            <w:r>
              <w:rPr>
                <w:sz w:val="18"/>
              </w:rPr>
              <w:t>oben, links</w:t>
              <w:br/>
              <w:t>x 2.6–10.1 %</w:t>
              <w:br/>
              <w:t>y 28.3–29.7 %</w:t>
            </w:r>
          </w:p>
        </w:tc>
      </w:tr>
      <w:tr>
        <w:trPr>
          <w:cantSplit/>
        </w:trPr>
        <w:tc>
          <w:tcPr>
            <w:tcW w:type="dxa" w:w="3288"/>
          </w:tcPr>
          <w:p>
            <w:pPr>
              <w:spacing w:after="40"/>
            </w:pPr>
            <w:r>
              <w:rPr>
                <w:sz w:val="18"/>
              </w:rPr>
              <w:t>Spaces</w:t>
            </w:r>
          </w:p>
        </w:tc>
        <w:tc>
          <w:tcPr>
            <w:tcW w:type="dxa" w:w="3005"/>
          </w:tcPr>
          <w:p>
            <w:pPr>
              <w:spacing w:after="40"/>
            </w:pPr>
            <w:r>
              <w:rPr>
                <w:sz w:val="18"/>
              </w:rPr>
              <w:t>x 884–947</w:t>
              <w:br/>
              <w:t>y 263–281</w:t>
            </w:r>
          </w:p>
        </w:tc>
        <w:tc>
          <w:tcPr>
            <w:tcW w:type="dxa" w:w="3402"/>
          </w:tcPr>
          <w:p>
            <w:pPr>
              <w:spacing w:after="40"/>
            </w:pPr>
            <w:r>
              <w:rPr>
                <w:sz w:val="18"/>
              </w:rPr>
              <w:t>oben, mittig</w:t>
              <w:br/>
              <w:t>x 46.1–49.4 %</w:t>
              <w:br/>
              <w:t>y 28.6–30.6 %</w:t>
            </w:r>
          </w:p>
        </w:tc>
      </w:tr>
      <w:tr>
        <w:trPr>
          <w:cantSplit/>
        </w:trPr>
        <w:tc>
          <w:tcPr>
            <w:tcW w:type="dxa" w:w="3288"/>
          </w:tcPr>
          <w:p>
            <w:pPr>
              <w:spacing w:after="40"/>
            </w:pPr>
            <w:r>
              <w:rPr>
                <w:sz w:val="18"/>
              </w:rPr>
              <w:t>Data Integration</w:t>
            </w:r>
          </w:p>
        </w:tc>
        <w:tc>
          <w:tcPr>
            <w:tcW w:type="dxa" w:w="3005"/>
          </w:tcPr>
          <w:p>
            <w:pPr>
              <w:spacing w:after="40"/>
            </w:pPr>
            <w:r>
              <w:rPr>
                <w:sz w:val="18"/>
              </w:rPr>
              <w:t>x 50–147</w:t>
              <w:br/>
              <w:t>y 296–309</w:t>
            </w:r>
          </w:p>
        </w:tc>
        <w:tc>
          <w:tcPr>
            <w:tcW w:type="dxa" w:w="3402"/>
          </w:tcPr>
          <w:p>
            <w:pPr>
              <w:spacing w:after="40"/>
            </w:pPr>
            <w:r>
              <w:rPr>
                <w:sz w:val="18"/>
              </w:rPr>
              <w:t>oben, links</w:t>
              <w:br/>
              <w:t>x 2.6–7.7 %</w:t>
              <w:br/>
              <w:t>y 32.2–33.6 %</w:t>
            </w:r>
          </w:p>
        </w:tc>
      </w:tr>
      <w:tr>
        <w:trPr>
          <w:cantSplit/>
        </w:trPr>
        <w:tc>
          <w:tcPr>
            <w:tcW w:type="dxa" w:w="3288"/>
          </w:tcPr>
          <w:p>
            <w:pPr>
              <w:spacing w:after="40"/>
            </w:pPr>
            <w:r>
              <w:rPr>
                <w:sz w:val="18"/>
              </w:rPr>
              <w:t>Disk for Storage:</w:t>
            </w:r>
          </w:p>
        </w:tc>
        <w:tc>
          <w:tcPr>
            <w:tcW w:type="dxa" w:w="3005"/>
          </w:tcPr>
          <w:p>
            <w:pPr>
              <w:spacing w:after="40"/>
            </w:pPr>
            <w:r>
              <w:rPr>
                <w:sz w:val="18"/>
              </w:rPr>
              <w:t>x 909–1009</w:t>
              <w:br/>
              <w:t>y 377–390</w:t>
            </w:r>
          </w:p>
        </w:tc>
        <w:tc>
          <w:tcPr>
            <w:tcW w:type="dxa" w:w="3402"/>
          </w:tcPr>
          <w:p>
            <w:pPr>
              <w:spacing w:after="40"/>
            </w:pPr>
            <w:r>
              <w:rPr>
                <w:sz w:val="18"/>
              </w:rPr>
              <w:t>auf mittlerer Höhe, mittig</w:t>
              <w:br/>
              <w:t>x 47.4–52.7 %</w:t>
              <w:br/>
              <w:t>y 41.0–42.4 %</w:t>
            </w:r>
          </w:p>
        </w:tc>
      </w:tr>
      <w:tr>
        <w:trPr>
          <w:cantSplit/>
        </w:trPr>
        <w:tc>
          <w:tcPr>
            <w:tcW w:type="dxa" w:w="3288"/>
          </w:tcPr>
          <w:p>
            <w:pPr>
              <w:spacing w:after="40"/>
            </w:pPr>
            <w:r>
              <w:rPr>
                <w:sz w:val="18"/>
              </w:rPr>
              <w:t>Disk for Storage:</w:t>
            </w:r>
          </w:p>
        </w:tc>
        <w:tc>
          <w:tcPr>
            <w:tcW w:type="dxa" w:w="3005"/>
          </w:tcPr>
          <w:p>
            <w:pPr>
              <w:spacing w:after="40"/>
            </w:pPr>
            <w:r>
              <w:rPr>
                <w:sz w:val="18"/>
              </w:rPr>
              <w:t>x 1225–1325</w:t>
              <w:br/>
              <w:t>y 377–390</w:t>
            </w:r>
          </w:p>
        </w:tc>
        <w:tc>
          <w:tcPr>
            <w:tcW w:type="dxa" w:w="3402"/>
          </w:tcPr>
          <w:p>
            <w:pPr>
              <w:spacing w:after="40"/>
            </w:pPr>
            <w:r>
              <w:rPr>
                <w:sz w:val="18"/>
              </w:rPr>
              <w:t>auf mittlerer Höhe, mittig</w:t>
              <w:br/>
              <w:t>x 63.9–69.2 %</w:t>
              <w:br/>
              <w:t>y 41.0–42.4 %</w:t>
            </w:r>
          </w:p>
        </w:tc>
      </w:tr>
      <w:tr>
        <w:trPr>
          <w:cantSplit/>
        </w:trPr>
        <w:tc>
          <w:tcPr>
            <w:tcW w:type="dxa" w:w="3288"/>
          </w:tcPr>
          <w:p>
            <w:pPr>
              <w:spacing w:after="40"/>
            </w:pPr>
            <w:r>
              <w:rPr>
                <w:sz w:val="18"/>
              </w:rPr>
              <w:t>Disk for Storage:</w:t>
            </w:r>
          </w:p>
        </w:tc>
        <w:tc>
          <w:tcPr>
            <w:tcW w:type="dxa" w:w="3005"/>
          </w:tcPr>
          <w:p>
            <w:pPr>
              <w:spacing w:after="40"/>
            </w:pPr>
            <w:r>
              <w:rPr>
                <w:sz w:val="18"/>
              </w:rPr>
              <w:t>x 1541–1641</w:t>
              <w:br/>
              <w:t>y 377–390</w:t>
            </w:r>
          </w:p>
        </w:tc>
        <w:tc>
          <w:tcPr>
            <w:tcW w:type="dxa" w:w="3402"/>
          </w:tcPr>
          <w:p>
            <w:pPr>
              <w:spacing w:after="40"/>
            </w:pPr>
            <w:r>
              <w:rPr>
                <w:sz w:val="18"/>
              </w:rPr>
              <w:t>auf mittlerer Höhe, rechts</w:t>
              <w:br/>
              <w:t>x 80.4–85.6 %</w:t>
              <w:br/>
              <w:t>y 41.0–42.4 %</w:t>
            </w:r>
          </w:p>
        </w:tc>
      </w:tr>
      <w:tr>
        <w:trPr>
          <w:cantSplit/>
        </w:trPr>
        <w:tc>
          <w:tcPr>
            <w:tcW w:type="dxa" w:w="3288"/>
          </w:tcPr>
          <w:p>
            <w:pPr>
              <w:spacing w:after="40"/>
            </w:pPr>
            <w:r>
              <w:rPr>
                <w:sz w:val="18"/>
              </w:rPr>
              <w:t>Search</w:t>
            </w:r>
          </w:p>
        </w:tc>
        <w:tc>
          <w:tcPr>
            <w:tcW w:type="dxa" w:w="3005"/>
          </w:tcPr>
          <w:p>
            <w:pPr>
              <w:spacing w:after="40"/>
            </w:pPr>
            <w:r>
              <w:rPr>
                <w:sz w:val="18"/>
              </w:rPr>
              <w:t>x 50–91</w:t>
              <w:br/>
              <w:t>y 384–394</w:t>
            </w:r>
          </w:p>
        </w:tc>
        <w:tc>
          <w:tcPr>
            <w:tcW w:type="dxa" w:w="3402"/>
          </w:tcPr>
          <w:p>
            <w:pPr>
              <w:spacing w:after="40"/>
            </w:pPr>
            <w:r>
              <w:rPr>
                <w:sz w:val="18"/>
              </w:rPr>
              <w:t>auf mittlerer Höhe, links</w:t>
              <w:br/>
              <w:t>x 2.6–4.7 %</w:t>
              <w:br/>
              <w:t>y 41.8–42.9 %</w:t>
            </w:r>
          </w:p>
        </w:tc>
      </w:tr>
      <w:tr>
        <w:trPr>
          <w:cantSplit/>
        </w:trPr>
        <w:tc>
          <w:tcPr>
            <w:tcW w:type="dxa" w:w="3288"/>
          </w:tcPr>
          <w:p>
            <w:pPr>
              <w:spacing w:after="40"/>
            </w:pPr>
            <w:r>
              <w:rPr>
                <w:sz w:val="18"/>
              </w:rPr>
              <w:t>of</w:t>
            </w:r>
          </w:p>
        </w:tc>
        <w:tc>
          <w:tcPr>
            <w:tcW w:type="dxa" w:w="3005"/>
          </w:tcPr>
          <w:p>
            <w:pPr>
              <w:spacing w:after="40"/>
            </w:pPr>
            <w:r>
              <w:rPr>
                <w:sz w:val="18"/>
              </w:rPr>
              <w:t>x 965–977</w:t>
              <w:br/>
              <w:t>y 405–415</w:t>
            </w:r>
          </w:p>
        </w:tc>
        <w:tc>
          <w:tcPr>
            <w:tcW w:type="dxa" w:w="3402"/>
          </w:tcPr>
          <w:p>
            <w:pPr>
              <w:spacing w:after="40"/>
            </w:pPr>
            <w:r>
              <w:rPr>
                <w:sz w:val="18"/>
              </w:rPr>
              <w:t>auf mittlerer Höhe, mittig</w:t>
              <w:br/>
              <w:t>x 50.4–51.0 %</w:t>
              <w:br/>
              <w:t>y 44.1–45.2 %</w:t>
            </w:r>
          </w:p>
        </w:tc>
      </w:tr>
      <w:tr>
        <w:trPr>
          <w:cantSplit/>
        </w:trPr>
        <w:tc>
          <w:tcPr>
            <w:tcW w:type="dxa" w:w="3288"/>
          </w:tcPr>
          <w:p>
            <w:pPr>
              <w:spacing w:after="40"/>
            </w:pPr>
            <w:r>
              <w:rPr>
                <w:sz w:val="18"/>
              </w:rPr>
              <w:t>of</w:t>
            </w:r>
          </w:p>
        </w:tc>
        <w:tc>
          <w:tcPr>
            <w:tcW w:type="dxa" w:w="3005"/>
          </w:tcPr>
          <w:p>
            <w:pPr>
              <w:spacing w:after="40"/>
            </w:pPr>
            <w:r>
              <w:rPr>
                <w:sz w:val="18"/>
              </w:rPr>
              <w:t>x 1289–1301</w:t>
              <w:br/>
              <w:t>y 405–415</w:t>
            </w:r>
          </w:p>
        </w:tc>
        <w:tc>
          <w:tcPr>
            <w:tcW w:type="dxa" w:w="3402"/>
          </w:tcPr>
          <w:p>
            <w:pPr>
              <w:spacing w:after="40"/>
            </w:pPr>
            <w:r>
              <w:rPr>
                <w:sz w:val="18"/>
              </w:rPr>
              <w:t>auf mittlerer Höhe, rechts</w:t>
              <w:br/>
              <w:t>x 67.3–67.9 %</w:t>
              <w:br/>
              <w:t>y 44.1–45.2 %</w:t>
            </w:r>
          </w:p>
        </w:tc>
      </w:tr>
      <w:tr>
        <w:trPr>
          <w:cantSplit/>
        </w:trPr>
        <w:tc>
          <w:tcPr>
            <w:tcW w:type="dxa" w:w="3288"/>
          </w:tcPr>
          <w:p>
            <w:pPr>
              <w:spacing w:after="40"/>
            </w:pPr>
            <w:r>
              <w:rPr>
                <w:sz w:val="18"/>
              </w:rPr>
              <w:t>of</w:t>
            </w:r>
          </w:p>
        </w:tc>
        <w:tc>
          <w:tcPr>
            <w:tcW w:type="dxa" w:w="3005"/>
          </w:tcPr>
          <w:p>
            <w:pPr>
              <w:spacing w:after="40"/>
            </w:pPr>
            <w:r>
              <w:rPr>
                <w:sz w:val="18"/>
              </w:rPr>
              <w:t>x 1597–1609</w:t>
              <w:br/>
              <w:t>y 405–415</w:t>
            </w:r>
          </w:p>
        </w:tc>
        <w:tc>
          <w:tcPr>
            <w:tcW w:type="dxa" w:w="3402"/>
          </w:tcPr>
          <w:p>
            <w:pPr>
              <w:spacing w:after="40"/>
            </w:pPr>
            <w:r>
              <w:rPr>
                <w:sz w:val="18"/>
              </w:rPr>
              <w:t>auf mittlerer Höhe, rechts</w:t>
              <w:br/>
              <w:t>x 83.4–84.0 %</w:t>
              <w:br/>
              <w:t>y 44.1–45.2 %</w:t>
            </w:r>
          </w:p>
        </w:tc>
      </w:tr>
      <w:tr>
        <w:trPr>
          <w:cantSplit/>
        </w:trPr>
        <w:tc>
          <w:tcPr>
            <w:tcW w:type="dxa" w:w="3288"/>
          </w:tcPr>
          <w:p>
            <w:pPr>
              <w:spacing w:after="40"/>
            </w:pPr>
            <w:r>
              <w:rPr>
                <w:sz w:val="18"/>
              </w:rPr>
              <w:t>Apps</w:t>
            </w:r>
          </w:p>
        </w:tc>
        <w:tc>
          <w:tcPr>
            <w:tcW w:type="dxa" w:w="3005"/>
          </w:tcPr>
          <w:p>
            <w:pPr>
              <w:spacing w:after="40"/>
            </w:pPr>
            <w:r>
              <w:rPr>
                <w:sz w:val="18"/>
              </w:rPr>
              <w:t>x 25–56</w:t>
              <w:br/>
              <w:t>y 466–479</w:t>
            </w:r>
          </w:p>
        </w:tc>
        <w:tc>
          <w:tcPr>
            <w:tcW w:type="dxa" w:w="3402"/>
          </w:tcPr>
          <w:p>
            <w:pPr>
              <w:spacing w:after="40"/>
            </w:pPr>
            <w:r>
              <w:rPr>
                <w:sz w:val="18"/>
              </w:rPr>
              <w:t>auf mittlerer Höhe, links</w:t>
              <w:br/>
              <w:t>x 1.3–2.9 %</w:t>
              <w:br/>
              <w:t>y 50.7–52.1 %</w:t>
            </w:r>
          </w:p>
        </w:tc>
      </w:tr>
      <w:tr>
        <w:trPr>
          <w:cantSplit/>
        </w:trPr>
        <w:tc>
          <w:tcPr>
            <w:tcW w:type="dxa" w:w="3288"/>
          </w:tcPr>
          <w:p>
            <w:pPr>
              <w:spacing w:after="40"/>
            </w:pPr>
            <w:r>
              <w:rPr>
                <w:sz w:val="18"/>
              </w:rPr>
              <w:t>Semantic Onboarding</w:t>
            </w:r>
          </w:p>
        </w:tc>
        <w:tc>
          <w:tcPr>
            <w:tcW w:type="dxa" w:w="3005"/>
          </w:tcPr>
          <w:p>
            <w:pPr>
              <w:spacing w:after="40"/>
            </w:pPr>
            <w:r>
              <w:rPr>
                <w:sz w:val="18"/>
              </w:rPr>
              <w:t>x 50–183</w:t>
              <w:br/>
              <w:t>y 502–515</w:t>
            </w:r>
          </w:p>
        </w:tc>
        <w:tc>
          <w:tcPr>
            <w:tcW w:type="dxa" w:w="3402"/>
          </w:tcPr>
          <w:p>
            <w:pPr>
              <w:spacing w:after="40"/>
            </w:pPr>
            <w:r>
              <w:rPr>
                <w:sz w:val="18"/>
              </w:rPr>
              <w:t>auf mittlerer Höhe, links</w:t>
              <w:br/>
              <w:t>x 2.6–9.6 %</w:t>
              <w:br/>
              <w:t>y 54.6–56.0 %</w:t>
            </w:r>
          </w:p>
        </w:tc>
      </w:tr>
      <w:tr>
        <w:trPr>
          <w:cantSplit/>
        </w:trPr>
        <w:tc>
          <w:tcPr>
            <w:tcW w:type="dxa" w:w="3288"/>
          </w:tcPr>
          <w:p>
            <w:pPr>
              <w:spacing w:after="40"/>
            </w:pPr>
            <w:r>
              <w:rPr>
                <w:sz w:val="18"/>
              </w:rPr>
              <w:t>Disk for Storage:</w:t>
            </w:r>
          </w:p>
        </w:tc>
        <w:tc>
          <w:tcPr>
            <w:tcW w:type="dxa" w:w="3005"/>
          </w:tcPr>
          <w:p>
            <w:pPr>
              <w:spacing w:after="40"/>
            </w:pPr>
            <w:r>
              <w:rPr>
                <w:sz w:val="18"/>
              </w:rPr>
              <w:t>x 909–1009</w:t>
              <w:br/>
              <w:t>y 523–536</w:t>
            </w:r>
          </w:p>
        </w:tc>
        <w:tc>
          <w:tcPr>
            <w:tcW w:type="dxa" w:w="3402"/>
          </w:tcPr>
          <w:p>
            <w:pPr>
              <w:spacing w:after="40"/>
            </w:pPr>
            <w:r>
              <w:rPr>
                <w:sz w:val="18"/>
              </w:rPr>
              <w:t>auf mittlerer Höhe, mittig</w:t>
              <w:br/>
              <w:t>x 47.4–52.7 %</w:t>
              <w:br/>
              <w:t>y 56.9–58.3 %</w:t>
            </w:r>
          </w:p>
        </w:tc>
      </w:tr>
      <w:tr>
        <w:trPr>
          <w:cantSplit/>
        </w:trPr>
        <w:tc>
          <w:tcPr>
            <w:tcW w:type="dxa" w:w="3288"/>
          </w:tcPr>
          <w:p>
            <w:pPr>
              <w:spacing w:after="40"/>
            </w:pPr>
            <w:r>
              <w:rPr>
                <w:sz w:val="18"/>
              </w:rPr>
              <w:t>Disk for Storage:</w:t>
            </w:r>
          </w:p>
        </w:tc>
        <w:tc>
          <w:tcPr>
            <w:tcW w:type="dxa" w:w="3005"/>
          </w:tcPr>
          <w:p>
            <w:pPr>
              <w:spacing w:after="40"/>
            </w:pPr>
            <w:r>
              <w:rPr>
                <w:sz w:val="18"/>
              </w:rPr>
              <w:t>x 1225–1325</w:t>
              <w:br/>
              <w:t>y 523–536</w:t>
            </w:r>
          </w:p>
        </w:tc>
        <w:tc>
          <w:tcPr>
            <w:tcW w:type="dxa" w:w="3402"/>
          </w:tcPr>
          <w:p>
            <w:pPr>
              <w:spacing w:after="40"/>
            </w:pPr>
            <w:r>
              <w:rPr>
                <w:sz w:val="18"/>
              </w:rPr>
              <w:t>auf mittlerer Höhe, mittig</w:t>
              <w:br/>
              <w:t>x 63.9–69.2 %</w:t>
              <w:br/>
              <w:t>y 56.9–58.3 %</w:t>
            </w:r>
          </w:p>
        </w:tc>
      </w:tr>
      <w:tr>
        <w:trPr>
          <w:cantSplit/>
        </w:trPr>
        <w:tc>
          <w:tcPr>
            <w:tcW w:type="dxa" w:w="3288"/>
          </w:tcPr>
          <w:p>
            <w:pPr>
              <w:spacing w:after="40"/>
            </w:pPr>
            <w:r>
              <w:rPr>
                <w:sz w:val="18"/>
              </w:rPr>
              <w:t>Disk for Storage:</w:t>
            </w:r>
          </w:p>
        </w:tc>
        <w:tc>
          <w:tcPr>
            <w:tcW w:type="dxa" w:w="3005"/>
          </w:tcPr>
          <w:p>
            <w:pPr>
              <w:spacing w:after="40"/>
            </w:pPr>
            <w:r>
              <w:rPr>
                <w:sz w:val="18"/>
              </w:rPr>
              <w:t>x 1541–1641</w:t>
              <w:br/>
              <w:t>y 523–536</w:t>
            </w:r>
          </w:p>
        </w:tc>
        <w:tc>
          <w:tcPr>
            <w:tcW w:type="dxa" w:w="3402"/>
          </w:tcPr>
          <w:p>
            <w:pPr>
              <w:spacing w:after="40"/>
            </w:pPr>
            <w:r>
              <w:rPr>
                <w:sz w:val="18"/>
              </w:rPr>
              <w:t>auf mittlerer Höhe, rechts</w:t>
              <w:br/>
              <w:t>x 80.4–85.6 %</w:t>
              <w:br/>
              <w:t>y 56.9–58.3 %</w:t>
            </w:r>
          </w:p>
        </w:tc>
      </w:tr>
      <w:tr>
        <w:trPr>
          <w:cantSplit/>
        </w:trPr>
        <w:tc>
          <w:tcPr>
            <w:tcW w:type="dxa" w:w="3288"/>
          </w:tcPr>
          <w:p>
            <w:pPr>
              <w:spacing w:after="40"/>
            </w:pPr>
            <w:r>
              <w:rPr>
                <w:sz w:val="18"/>
              </w:rPr>
              <w:t>Business Builder</w:t>
            </w:r>
          </w:p>
        </w:tc>
        <w:tc>
          <w:tcPr>
            <w:tcW w:type="dxa" w:w="3005"/>
          </w:tcPr>
          <w:p>
            <w:pPr>
              <w:spacing w:after="40"/>
            </w:pPr>
            <w:r>
              <w:rPr>
                <w:sz w:val="18"/>
              </w:rPr>
              <w:t>x 50–152</w:t>
              <w:br/>
              <w:t>y 538–548</w:t>
            </w:r>
          </w:p>
        </w:tc>
        <w:tc>
          <w:tcPr>
            <w:tcW w:type="dxa" w:w="3402"/>
          </w:tcPr>
          <w:p>
            <w:pPr>
              <w:spacing w:after="40"/>
            </w:pPr>
            <w:r>
              <w:rPr>
                <w:sz w:val="18"/>
              </w:rPr>
              <w:t>auf mittlerer Höhe, links</w:t>
              <w:br/>
              <w:t>x 2.6–7.9 %</w:t>
              <w:br/>
              <w:t>y 58.5–59.6 %</w:t>
            </w:r>
          </w:p>
        </w:tc>
      </w:tr>
      <w:tr>
        <w:trPr>
          <w:cantSplit/>
        </w:trPr>
        <w:tc>
          <w:tcPr>
            <w:tcW w:type="dxa" w:w="3288"/>
          </w:tcPr>
          <w:p>
            <w:pPr>
              <w:spacing w:after="40"/>
            </w:pPr>
            <w:r>
              <w:rPr>
                <w:sz w:val="18"/>
              </w:rPr>
              <w:t>of</w:t>
            </w:r>
          </w:p>
        </w:tc>
        <w:tc>
          <w:tcPr>
            <w:tcW w:type="dxa" w:w="3005"/>
          </w:tcPr>
          <w:p>
            <w:pPr>
              <w:spacing w:after="40"/>
            </w:pPr>
            <w:r>
              <w:rPr>
                <w:sz w:val="18"/>
              </w:rPr>
              <w:t>x 978–989</w:t>
              <w:br/>
              <w:t>y 551–561</w:t>
            </w:r>
          </w:p>
        </w:tc>
        <w:tc>
          <w:tcPr>
            <w:tcW w:type="dxa" w:w="3402"/>
          </w:tcPr>
          <w:p>
            <w:pPr>
              <w:spacing w:after="40"/>
            </w:pPr>
            <w:r>
              <w:rPr>
                <w:sz w:val="18"/>
              </w:rPr>
              <w:t>auf mittlerer Höhe, mittig</w:t>
              <w:br/>
              <w:t>x 51.0–51.6 %</w:t>
              <w:br/>
              <w:t>y 60.0–61.0 %</w:t>
            </w:r>
          </w:p>
        </w:tc>
      </w:tr>
      <w:tr>
        <w:trPr>
          <w:cantSplit/>
        </w:trPr>
        <w:tc>
          <w:tcPr>
            <w:tcW w:type="dxa" w:w="3288"/>
          </w:tcPr>
          <w:p>
            <w:pPr>
              <w:spacing w:after="40"/>
            </w:pPr>
            <w:r>
              <w:rPr>
                <w:sz w:val="18"/>
              </w:rPr>
              <w:t>of</w:t>
            </w:r>
          </w:p>
        </w:tc>
        <w:tc>
          <w:tcPr>
            <w:tcW w:type="dxa" w:w="3005"/>
          </w:tcPr>
          <w:p>
            <w:pPr>
              <w:spacing w:after="40"/>
            </w:pPr>
            <w:r>
              <w:rPr>
                <w:sz w:val="18"/>
              </w:rPr>
              <w:t>x 1289–1301</w:t>
              <w:br/>
              <w:t>y 551–561</w:t>
            </w:r>
          </w:p>
        </w:tc>
        <w:tc>
          <w:tcPr>
            <w:tcW w:type="dxa" w:w="3402"/>
          </w:tcPr>
          <w:p>
            <w:pPr>
              <w:spacing w:after="40"/>
            </w:pPr>
            <w:r>
              <w:rPr>
                <w:sz w:val="18"/>
              </w:rPr>
              <w:t>auf mittlerer Höhe, rechts</w:t>
              <w:br/>
              <w:t>x 67.3–67.9 %</w:t>
              <w:br/>
              <w:t>y 60.0–61.0 %</w:t>
            </w:r>
          </w:p>
        </w:tc>
      </w:tr>
      <w:tr>
        <w:trPr>
          <w:cantSplit/>
        </w:trPr>
        <w:tc>
          <w:tcPr>
            <w:tcW w:type="dxa" w:w="3288"/>
          </w:tcPr>
          <w:p>
            <w:pPr>
              <w:spacing w:after="40"/>
            </w:pPr>
            <w:r>
              <w:rPr>
                <w:sz w:val="18"/>
              </w:rPr>
              <w:t>of</w:t>
            </w:r>
          </w:p>
        </w:tc>
        <w:tc>
          <w:tcPr>
            <w:tcW w:type="dxa" w:w="3005"/>
          </w:tcPr>
          <w:p>
            <w:pPr>
              <w:spacing w:after="40"/>
            </w:pPr>
            <w:r>
              <w:rPr>
                <w:sz w:val="18"/>
              </w:rPr>
              <w:t>x 1605–1617</w:t>
              <w:br/>
              <w:t>y 551–561</w:t>
            </w:r>
          </w:p>
        </w:tc>
        <w:tc>
          <w:tcPr>
            <w:tcW w:type="dxa" w:w="3402"/>
          </w:tcPr>
          <w:p>
            <w:pPr>
              <w:spacing w:after="40"/>
            </w:pPr>
            <w:r>
              <w:rPr>
                <w:sz w:val="18"/>
              </w:rPr>
              <w:t>auf mittlerer Höhe, rechts</w:t>
              <w:br/>
              <w:t>x 83.8–84.4 %</w:t>
              <w:br/>
              <w:t>y 60.0–61.0 %</w:t>
            </w:r>
          </w:p>
        </w:tc>
      </w:tr>
      <w:tr>
        <w:trPr>
          <w:cantSplit/>
        </w:trPr>
        <w:tc>
          <w:tcPr>
            <w:tcW w:type="dxa" w:w="3288"/>
          </w:tcPr>
          <w:p>
            <w:pPr>
              <w:spacing w:after="40"/>
            </w:pPr>
            <w:r>
              <w:rPr>
                <w:sz w:val="18"/>
              </w:rPr>
              <w:t>Data Builder</w:t>
            </w:r>
          </w:p>
        </w:tc>
        <w:tc>
          <w:tcPr>
            <w:tcW w:type="dxa" w:w="3005"/>
          </w:tcPr>
          <w:p>
            <w:pPr>
              <w:spacing w:after="40"/>
            </w:pPr>
            <w:r>
              <w:rPr>
                <w:sz w:val="18"/>
              </w:rPr>
              <w:t>x 50–126</w:t>
              <w:br/>
              <w:t>y 574–584</w:t>
            </w:r>
          </w:p>
        </w:tc>
        <w:tc>
          <w:tcPr>
            <w:tcW w:type="dxa" w:w="3402"/>
          </w:tcPr>
          <w:p>
            <w:pPr>
              <w:spacing w:after="40"/>
            </w:pPr>
            <w:r>
              <w:rPr>
                <w:sz w:val="18"/>
              </w:rPr>
              <w:t>auf mittlerer Höhe, links</w:t>
              <w:br/>
              <w:t>x 2.6–6.6 %</w:t>
              <w:br/>
              <w:t>y 62.5–63.5 %</w:t>
            </w:r>
          </w:p>
        </w:tc>
      </w:tr>
      <w:tr>
        <w:trPr>
          <w:cantSplit/>
        </w:trPr>
        <w:tc>
          <w:tcPr>
            <w:tcW w:type="dxa" w:w="3288"/>
          </w:tcPr>
          <w:p>
            <w:pPr>
              <w:spacing w:after="40"/>
            </w:pPr>
            <w:r>
              <w:rPr>
                <w:sz w:val="18"/>
              </w:rPr>
              <w:t>Connections</w:t>
            </w:r>
          </w:p>
        </w:tc>
        <w:tc>
          <w:tcPr>
            <w:tcW w:type="dxa" w:w="3005"/>
          </w:tcPr>
          <w:p>
            <w:pPr>
              <w:spacing w:after="40"/>
            </w:pPr>
            <w:r>
              <w:rPr>
                <w:sz w:val="18"/>
              </w:rPr>
              <w:t>x 49–126</w:t>
              <w:br/>
              <w:t>y 610–620</w:t>
            </w:r>
          </w:p>
        </w:tc>
        <w:tc>
          <w:tcPr>
            <w:tcW w:type="dxa" w:w="3402"/>
          </w:tcPr>
          <w:p>
            <w:pPr>
              <w:spacing w:after="40"/>
            </w:pPr>
            <w:r>
              <w:rPr>
                <w:sz w:val="18"/>
              </w:rPr>
              <w:t>auf mittlerer Höhe, links</w:t>
              <w:br/>
              <w:t>x 2.6–6.6 %</w:t>
              <w:br/>
              <w:t>y 66.4–67.5 %</w:t>
            </w:r>
          </w:p>
        </w:tc>
      </w:tr>
      <w:tr>
        <w:trPr>
          <w:cantSplit/>
        </w:trPr>
        <w:tc>
          <w:tcPr>
            <w:tcW w:type="dxa" w:w="3288"/>
          </w:tcPr>
          <w:p>
            <w:pPr>
              <w:spacing w:after="40"/>
            </w:pPr>
            <w:r>
              <w:rPr>
                <w:sz w:val="18"/>
              </w:rPr>
              <w:t>space.</w:t>
            </w:r>
          </w:p>
        </w:tc>
        <w:tc>
          <w:tcPr>
            <w:tcW w:type="dxa" w:w="3005"/>
          </w:tcPr>
          <w:p>
            <w:pPr>
              <w:spacing w:after="40"/>
            </w:pPr>
            <w:r>
              <w:rPr>
                <w:sz w:val="18"/>
              </w:rPr>
              <w:t>x 711–777</w:t>
              <w:br/>
              <w:t>y 623–640</w:t>
            </w:r>
          </w:p>
        </w:tc>
        <w:tc>
          <w:tcPr>
            <w:tcW w:type="dxa" w:w="3402"/>
          </w:tcPr>
          <w:p>
            <w:pPr>
              <w:spacing w:after="40"/>
            </w:pPr>
            <w:r>
              <w:rPr>
                <w:sz w:val="18"/>
              </w:rPr>
              <w:t>unten, mittig</w:t>
              <w:br/>
              <w:t>x 37.1–40.6 %</w:t>
              <w:br/>
              <w:t>y 67.8–69.6 %</w:t>
            </w:r>
          </w:p>
        </w:tc>
      </w:tr>
      <w:tr>
        <w:trPr>
          <w:cantSplit/>
        </w:trPr>
        <w:tc>
          <w:tcPr>
            <w:tcW w:type="dxa" w:w="3288"/>
          </w:tcPr>
          <w:p>
            <w:pPr>
              <w:spacing w:after="40"/>
            </w:pPr>
            <w:r>
              <w:rPr>
                <w:sz w:val="18"/>
              </w:rPr>
              <w:t>Utilities</w:t>
            </w:r>
          </w:p>
        </w:tc>
        <w:tc>
          <w:tcPr>
            <w:tcW w:type="dxa" w:w="3005"/>
          </w:tcPr>
          <w:p>
            <w:pPr>
              <w:spacing w:after="40"/>
            </w:pPr>
            <w:r>
              <w:rPr>
                <w:sz w:val="18"/>
              </w:rPr>
              <w:t>x 26–70</w:t>
              <w:br/>
              <w:t>y 656–666</w:t>
            </w:r>
          </w:p>
        </w:tc>
        <w:tc>
          <w:tcPr>
            <w:tcW w:type="dxa" w:w="3402"/>
          </w:tcPr>
          <w:p>
            <w:pPr>
              <w:spacing w:after="40"/>
            </w:pPr>
            <w:r>
              <w:rPr>
                <w:sz w:val="18"/>
              </w:rPr>
              <w:t>unten, links</w:t>
              <w:br/>
              <w:t>x 1.4–3.7 %</w:t>
              <w:br/>
              <w:t>y 71.4–72.5 %</w:t>
            </w:r>
          </w:p>
        </w:tc>
      </w:tr>
      <w:tr>
        <w:trPr>
          <w:cantSplit/>
        </w:trPr>
        <w:tc>
          <w:tcPr>
            <w:tcW w:type="dxa" w:w="3288"/>
          </w:tcPr>
          <w:p>
            <w:pPr>
              <w:spacing w:after="40"/>
            </w:pPr>
            <w:r>
              <w:rPr>
                <w:sz w:val="18"/>
              </w:rPr>
              <w:t>Disk for Storage:</w:t>
            </w:r>
          </w:p>
        </w:tc>
        <w:tc>
          <w:tcPr>
            <w:tcW w:type="dxa" w:w="3005"/>
          </w:tcPr>
          <w:p>
            <w:pPr>
              <w:spacing w:after="40"/>
            </w:pPr>
            <w:r>
              <w:rPr>
                <w:sz w:val="18"/>
              </w:rPr>
              <w:t>x 909–1009</w:t>
              <w:br/>
              <w:t>y 669–682</w:t>
            </w:r>
          </w:p>
        </w:tc>
        <w:tc>
          <w:tcPr>
            <w:tcW w:type="dxa" w:w="3402"/>
          </w:tcPr>
          <w:p>
            <w:pPr>
              <w:spacing w:after="40"/>
            </w:pPr>
            <w:r>
              <w:rPr>
                <w:sz w:val="18"/>
              </w:rPr>
              <w:t>unten, mittig</w:t>
              <w:br/>
              <w:t>x 47.4–52.7 %</w:t>
              <w:br/>
              <w:t>y 72.8–74.2 %</w:t>
            </w:r>
          </w:p>
        </w:tc>
      </w:tr>
      <w:tr>
        <w:trPr>
          <w:cantSplit/>
        </w:trPr>
        <w:tc>
          <w:tcPr>
            <w:tcW w:type="dxa" w:w="3288"/>
          </w:tcPr>
          <w:p>
            <w:pPr>
              <w:spacing w:after="40"/>
            </w:pPr>
            <w:r>
              <w:rPr>
                <w:sz w:val="18"/>
              </w:rPr>
              <w:t>Disk for Storage:</w:t>
            </w:r>
          </w:p>
        </w:tc>
        <w:tc>
          <w:tcPr>
            <w:tcW w:type="dxa" w:w="3005"/>
          </w:tcPr>
          <w:p>
            <w:pPr>
              <w:spacing w:after="40"/>
            </w:pPr>
            <w:r>
              <w:rPr>
                <w:sz w:val="18"/>
              </w:rPr>
              <w:t>x 1225–1325</w:t>
              <w:br/>
              <w:t>y 669–682</w:t>
            </w:r>
          </w:p>
        </w:tc>
        <w:tc>
          <w:tcPr>
            <w:tcW w:type="dxa" w:w="3402"/>
          </w:tcPr>
          <w:p>
            <w:pPr>
              <w:spacing w:after="40"/>
            </w:pPr>
            <w:r>
              <w:rPr>
                <w:sz w:val="18"/>
              </w:rPr>
              <w:t>unten, mittig</w:t>
              <w:br/>
              <w:t>x 63.9–69.2 %</w:t>
              <w:br/>
              <w:t>y 72.8–74.2 %</w:t>
            </w:r>
          </w:p>
        </w:tc>
      </w:tr>
      <w:tr>
        <w:trPr>
          <w:cantSplit/>
        </w:trPr>
        <w:tc>
          <w:tcPr>
            <w:tcW w:type="dxa" w:w="3288"/>
          </w:tcPr>
          <w:p>
            <w:pPr>
              <w:spacing w:after="40"/>
            </w:pPr>
            <w:r>
              <w:rPr>
                <w:sz w:val="18"/>
              </w:rPr>
              <w:t>Disk for Storage:</w:t>
            </w:r>
          </w:p>
        </w:tc>
        <w:tc>
          <w:tcPr>
            <w:tcW w:type="dxa" w:w="3005"/>
          </w:tcPr>
          <w:p>
            <w:pPr>
              <w:spacing w:after="40"/>
            </w:pPr>
            <w:r>
              <w:rPr>
                <w:sz w:val="18"/>
              </w:rPr>
              <w:t>x 1541–1641</w:t>
              <w:br/>
              <w:t>y 669–682</w:t>
            </w:r>
          </w:p>
        </w:tc>
        <w:tc>
          <w:tcPr>
            <w:tcW w:type="dxa" w:w="3402"/>
          </w:tcPr>
          <w:p>
            <w:pPr>
              <w:spacing w:after="40"/>
            </w:pPr>
            <w:r>
              <w:rPr>
                <w:sz w:val="18"/>
              </w:rPr>
              <w:t>unten, rechts</w:t>
              <w:br/>
              <w:t>x 80.4–85.6 %</w:t>
              <w:br/>
              <w:t>y 72.8–74.2 %</w:t>
            </w:r>
          </w:p>
        </w:tc>
      </w:tr>
      <w:tr>
        <w:trPr>
          <w:cantSplit/>
        </w:trPr>
        <w:tc>
          <w:tcPr>
            <w:tcW w:type="dxa" w:w="3288"/>
          </w:tcPr>
          <w:p>
            <w:pPr>
              <w:spacing w:after="40"/>
            </w:pPr>
            <w:r>
              <w:rPr>
                <w:sz w:val="18"/>
              </w:rPr>
              <w:t>spaces.</w:t>
            </w:r>
          </w:p>
        </w:tc>
        <w:tc>
          <w:tcPr>
            <w:tcW w:type="dxa" w:w="3005"/>
          </w:tcPr>
          <w:p>
            <w:pPr>
              <w:spacing w:after="40"/>
            </w:pPr>
            <w:r>
              <w:rPr>
                <w:sz w:val="18"/>
              </w:rPr>
              <w:t>x 310–355</w:t>
              <w:br/>
              <w:t>y 683–693</w:t>
            </w:r>
          </w:p>
        </w:tc>
        <w:tc>
          <w:tcPr>
            <w:tcW w:type="dxa" w:w="3402"/>
          </w:tcPr>
          <w:p>
            <w:pPr>
              <w:spacing w:after="40"/>
            </w:pPr>
            <w:r>
              <w:rPr>
                <w:sz w:val="18"/>
              </w:rPr>
              <w:t>unten, links</w:t>
              <w:br/>
              <w:t>x 16.2–18.5 %</w:t>
              <w:br/>
              <w:t>y 74.3–75.4 %</w:t>
            </w:r>
          </w:p>
        </w:tc>
      </w:tr>
      <w:tr>
        <w:trPr>
          <w:cantSplit/>
        </w:trPr>
        <w:tc>
          <w:tcPr>
            <w:tcW w:type="dxa" w:w="3288"/>
          </w:tcPr>
          <w:p>
            <w:pPr>
              <w:spacing w:after="40"/>
            </w:pPr>
            <w:r>
              <w:rPr>
                <w:sz w:val="18"/>
              </w:rPr>
              <w:t>Select</w:t>
            </w:r>
          </w:p>
        </w:tc>
        <w:tc>
          <w:tcPr>
            <w:tcW w:type="dxa" w:w="3005"/>
          </w:tcPr>
          <w:p>
            <w:pPr>
              <w:spacing w:after="40"/>
            </w:pPr>
            <w:r>
              <w:rPr>
                <w:sz w:val="18"/>
              </w:rPr>
              <w:t>x 360–398</w:t>
              <w:br/>
              <w:t>y 680–690</w:t>
            </w:r>
          </w:p>
        </w:tc>
        <w:tc>
          <w:tcPr>
            <w:tcW w:type="dxa" w:w="3402"/>
          </w:tcPr>
          <w:p>
            <w:pPr>
              <w:spacing w:after="40"/>
            </w:pPr>
            <w:r>
              <w:rPr>
                <w:sz w:val="18"/>
              </w:rPr>
              <w:t>unten, links</w:t>
              <w:br/>
              <w:t>x 18.8–20.8 %</w:t>
              <w:br/>
              <w:t>y 74.0–75.1 %</w:t>
            </w:r>
          </w:p>
        </w:tc>
      </w:tr>
      <w:tr>
        <w:trPr>
          <w:cantSplit/>
        </w:trPr>
        <w:tc>
          <w:tcPr>
            <w:tcW w:type="dxa" w:w="3288"/>
          </w:tcPr>
          <w:p>
            <w:pPr>
              <w:spacing w:after="40"/>
            </w:pPr>
            <w:r>
              <w:rPr>
                <w:sz w:val="18"/>
              </w:rPr>
              <w:t>space</w:t>
            </w:r>
          </w:p>
        </w:tc>
        <w:tc>
          <w:tcPr>
            <w:tcW w:type="dxa" w:w="3005"/>
          </w:tcPr>
          <w:p>
            <w:pPr>
              <w:spacing w:after="40"/>
            </w:pPr>
            <w:r>
              <w:rPr>
                <w:sz w:val="18"/>
              </w:rPr>
              <w:t>x 414–450</w:t>
              <w:br/>
              <w:t>y 683–693</w:t>
            </w:r>
          </w:p>
        </w:tc>
        <w:tc>
          <w:tcPr>
            <w:tcW w:type="dxa" w:w="3402"/>
          </w:tcPr>
          <w:p>
            <w:pPr>
              <w:spacing w:after="40"/>
            </w:pPr>
            <w:r>
              <w:rPr>
                <w:sz w:val="18"/>
              </w:rPr>
              <w:t>unten, links</w:t>
              <w:br/>
              <w:t>x 21.6–23.5 %</w:t>
              <w:br/>
              <w:t>y 74.3–75.4 %</w:t>
            </w:r>
          </w:p>
        </w:tc>
      </w:tr>
      <w:tr>
        <w:trPr>
          <w:cantSplit/>
        </w:trPr>
        <w:tc>
          <w:tcPr>
            <w:tcW w:type="dxa" w:w="3288"/>
          </w:tcPr>
          <w:p>
            <w:pPr>
              <w:spacing w:after="40"/>
            </w:pPr>
            <w:r>
              <w:rPr>
                <w:sz w:val="18"/>
              </w:rPr>
              <w:t>spaces</w:t>
            </w:r>
          </w:p>
        </w:tc>
        <w:tc>
          <w:tcPr>
            <w:tcW w:type="dxa" w:w="3005"/>
          </w:tcPr>
          <w:p>
            <w:pPr>
              <w:spacing w:after="40"/>
            </w:pPr>
            <w:r>
              <w:rPr>
                <w:sz w:val="18"/>
              </w:rPr>
              <w:t>x 706–748</w:t>
              <w:br/>
              <w:t>y 683–693</w:t>
            </w:r>
          </w:p>
        </w:tc>
        <w:tc>
          <w:tcPr>
            <w:tcW w:type="dxa" w:w="3402"/>
          </w:tcPr>
          <w:p>
            <w:pPr>
              <w:spacing w:after="40"/>
            </w:pPr>
            <w:r>
              <w:rPr>
                <w:sz w:val="18"/>
              </w:rPr>
              <w:t>unten, mittig</w:t>
              <w:br/>
              <w:t>x 36.8–39.0 %</w:t>
              <w:br/>
              <w:t>y 74.3–75.4 %</w:t>
            </w:r>
          </w:p>
        </w:tc>
      </w:tr>
      <w:tr>
        <w:trPr>
          <w:cantSplit/>
        </w:trPr>
        <w:tc>
          <w:tcPr>
            <w:tcW w:type="dxa" w:w="3288"/>
          </w:tcPr>
          <w:p>
            <w:pPr>
              <w:spacing w:after="40"/>
            </w:pPr>
            <w:r>
              <w:rPr>
                <w:sz w:val="18"/>
              </w:rPr>
              <w:t>Space Management</w:t>
            </w:r>
          </w:p>
        </w:tc>
        <w:tc>
          <w:tcPr>
            <w:tcW w:type="dxa" w:w="3005"/>
          </w:tcPr>
          <w:p>
            <w:pPr>
              <w:spacing w:after="40"/>
            </w:pPr>
            <w:r>
              <w:rPr>
                <w:sz w:val="18"/>
              </w:rPr>
              <w:t>x 50–172</w:t>
              <w:br/>
              <w:t>y 692–705</w:t>
            </w:r>
          </w:p>
        </w:tc>
        <w:tc>
          <w:tcPr>
            <w:tcW w:type="dxa" w:w="3402"/>
          </w:tcPr>
          <w:p>
            <w:pPr>
              <w:spacing w:after="40"/>
            </w:pPr>
            <w:r>
              <w:rPr>
                <w:sz w:val="18"/>
              </w:rPr>
              <w:t>unten, links</w:t>
              <w:br/>
              <w:t>x 2.6–9.0 %</w:t>
              <w:br/>
              <w:t>y 75.3–76.7 %</w:t>
            </w:r>
          </w:p>
        </w:tc>
      </w:tr>
      <w:tr>
        <w:trPr>
          <w:cantSplit/>
        </w:trPr>
        <w:tc>
          <w:tcPr>
            <w:tcW w:type="dxa" w:w="3288"/>
          </w:tcPr>
          <w:p>
            <w:pPr>
              <w:spacing w:after="40"/>
            </w:pPr>
            <w:r>
              <w:rPr>
                <w:sz w:val="18"/>
              </w:rPr>
              <w:t>of</w:t>
            </w:r>
          </w:p>
        </w:tc>
        <w:tc>
          <w:tcPr>
            <w:tcW w:type="dxa" w:w="3005"/>
          </w:tcPr>
          <w:p>
            <w:pPr>
              <w:spacing w:after="40"/>
            </w:pPr>
            <w:r>
              <w:rPr>
                <w:sz w:val="18"/>
              </w:rPr>
              <w:t>x 973–985</w:t>
              <w:br/>
              <w:t>y 697–707</w:t>
            </w:r>
          </w:p>
        </w:tc>
        <w:tc>
          <w:tcPr>
            <w:tcW w:type="dxa" w:w="3402"/>
          </w:tcPr>
          <w:p>
            <w:pPr>
              <w:spacing w:after="40"/>
            </w:pPr>
            <w:r>
              <w:rPr>
                <w:sz w:val="18"/>
              </w:rPr>
              <w:t>unten, mittig</w:t>
              <w:br/>
              <w:t>x 50.8–51.4 %</w:t>
              <w:br/>
              <w:t>y 75.8–76.9 %</w:t>
            </w:r>
          </w:p>
        </w:tc>
      </w:tr>
      <w:tr>
        <w:trPr>
          <w:cantSplit/>
        </w:trPr>
        <w:tc>
          <w:tcPr>
            <w:tcW w:type="dxa" w:w="3288"/>
          </w:tcPr>
          <w:p>
            <w:pPr>
              <w:spacing w:after="40"/>
            </w:pPr>
            <w:r>
              <w:rPr>
                <w:sz w:val="18"/>
              </w:rPr>
              <w:t>of</w:t>
            </w:r>
          </w:p>
        </w:tc>
        <w:tc>
          <w:tcPr>
            <w:tcW w:type="dxa" w:w="3005"/>
          </w:tcPr>
          <w:p>
            <w:pPr>
              <w:spacing w:after="40"/>
            </w:pPr>
            <w:r>
              <w:rPr>
                <w:sz w:val="18"/>
              </w:rPr>
              <w:t>x 1294–1305</w:t>
              <w:br/>
              <w:t>y 697–707</w:t>
            </w:r>
          </w:p>
        </w:tc>
        <w:tc>
          <w:tcPr>
            <w:tcW w:type="dxa" w:w="3402"/>
          </w:tcPr>
          <w:p>
            <w:pPr>
              <w:spacing w:after="40"/>
            </w:pPr>
            <w:r>
              <w:rPr>
                <w:sz w:val="18"/>
              </w:rPr>
              <w:t>unten, rechts</w:t>
              <w:br/>
              <w:t>x 67.5–68.1 %</w:t>
              <w:br/>
              <w:t>y 75.8–76.9 %</w:t>
            </w:r>
          </w:p>
        </w:tc>
      </w:tr>
      <w:tr>
        <w:trPr>
          <w:cantSplit/>
        </w:trPr>
        <w:tc>
          <w:tcPr>
            <w:tcW w:type="dxa" w:w="3288"/>
          </w:tcPr>
          <w:p>
            <w:pPr>
              <w:spacing w:after="40"/>
            </w:pPr>
            <w:r>
              <w:rPr>
                <w:sz w:val="18"/>
              </w:rPr>
              <w:t>of</w:t>
            </w:r>
          </w:p>
        </w:tc>
        <w:tc>
          <w:tcPr>
            <w:tcW w:type="dxa" w:w="3005"/>
          </w:tcPr>
          <w:p>
            <w:pPr>
              <w:spacing w:after="40"/>
            </w:pPr>
            <w:r>
              <w:rPr>
                <w:sz w:val="18"/>
              </w:rPr>
              <w:t>x 1597–1609</w:t>
              <w:br/>
              <w:t>y 697–707</w:t>
            </w:r>
          </w:p>
        </w:tc>
        <w:tc>
          <w:tcPr>
            <w:tcW w:type="dxa" w:w="3402"/>
          </w:tcPr>
          <w:p>
            <w:pPr>
              <w:spacing w:after="40"/>
            </w:pPr>
            <w:r>
              <w:rPr>
                <w:sz w:val="18"/>
              </w:rPr>
              <w:t>unten, rechts</w:t>
              <w:br/>
              <w:t>x 83.4–84.0 %</w:t>
              <w:br/>
              <w:t>y 75.8–76.9 %</w:t>
            </w:r>
          </w:p>
        </w:tc>
      </w:tr>
      <w:tr>
        <w:trPr>
          <w:cantSplit/>
        </w:trPr>
        <w:tc>
          <w:tcPr>
            <w:tcW w:type="dxa" w:w="3288"/>
          </w:tcPr>
          <w:p>
            <w:pPr>
              <w:spacing w:after="40"/>
            </w:pPr>
            <w:r>
              <w:rPr>
                <w:sz w:val="18"/>
              </w:rPr>
              <w:t>Translation</w:t>
            </w:r>
          </w:p>
        </w:tc>
        <w:tc>
          <w:tcPr>
            <w:tcW w:type="dxa" w:w="3005"/>
          </w:tcPr>
          <w:p>
            <w:pPr>
              <w:spacing w:after="40"/>
            </w:pPr>
            <w:r>
              <w:rPr>
                <w:sz w:val="18"/>
              </w:rPr>
              <w:t>x 49–116</w:t>
              <w:br/>
              <w:t>y 728–738</w:t>
            </w:r>
          </w:p>
        </w:tc>
        <w:tc>
          <w:tcPr>
            <w:tcW w:type="dxa" w:w="3402"/>
          </w:tcPr>
          <w:p>
            <w:pPr>
              <w:spacing w:after="40"/>
            </w:pPr>
            <w:r>
              <w:rPr>
                <w:sz w:val="18"/>
              </w:rPr>
              <w:t>unten, links</w:t>
              <w:br/>
              <w:t>x 2.6–6.1 %</w:t>
              <w:br/>
              <w:t>y 79.2–80.3 %</w:t>
            </w:r>
          </w:p>
        </w:tc>
      </w:tr>
      <w:tr>
        <w:trPr>
          <w:cantSplit/>
        </w:trPr>
        <w:tc>
          <w:tcPr>
            <w:tcW w:type="dxa" w:w="3288"/>
          </w:tcPr>
          <w:p>
            <w:pPr>
              <w:spacing w:after="40"/>
            </w:pPr>
            <w:r>
              <w:rPr>
                <w:sz w:val="18"/>
              </w:rPr>
              <w:t>Transport</w:t>
            </w:r>
          </w:p>
        </w:tc>
        <w:tc>
          <w:tcPr>
            <w:tcW w:type="dxa" w:w="3005"/>
          </w:tcPr>
          <w:p>
            <w:pPr>
              <w:spacing w:after="40"/>
            </w:pPr>
            <w:r>
              <w:rPr>
                <w:sz w:val="18"/>
              </w:rPr>
              <w:t>x 49–107</w:t>
              <w:br/>
              <w:t>y 764–777</w:t>
            </w:r>
          </w:p>
        </w:tc>
        <w:tc>
          <w:tcPr>
            <w:tcW w:type="dxa" w:w="3402"/>
          </w:tcPr>
          <w:p>
            <w:pPr>
              <w:spacing w:after="40"/>
            </w:pPr>
            <w:r>
              <w:rPr>
                <w:sz w:val="18"/>
              </w:rPr>
              <w:t>unten, links</w:t>
              <w:br/>
              <w:t>x 2.6–5.6 %</w:t>
              <w:br/>
              <w:t>y 83.1–84.5 %</w:t>
            </w:r>
          </w:p>
        </w:tc>
      </w:tr>
      <w:tr>
        <w:trPr>
          <w:cantSplit/>
        </w:trPr>
        <w:tc>
          <w:tcPr>
            <w:tcW w:type="dxa" w:w="3288"/>
          </w:tcPr>
          <w:p>
            <w:pPr>
              <w:spacing w:after="40"/>
            </w:pPr>
            <w:r>
              <w:rPr>
                <w:sz w:val="18"/>
              </w:rPr>
              <w:t>Data Sharing Cockpit</w:t>
            </w:r>
          </w:p>
        </w:tc>
        <w:tc>
          <w:tcPr>
            <w:tcW w:type="dxa" w:w="3005"/>
          </w:tcPr>
          <w:p>
            <w:pPr>
              <w:spacing w:after="40"/>
            </w:pPr>
            <w:r>
              <w:rPr>
                <w:sz w:val="18"/>
              </w:rPr>
              <w:t>x 50–179</w:t>
              <w:br/>
              <w:t>y 800–813</w:t>
            </w:r>
          </w:p>
        </w:tc>
        <w:tc>
          <w:tcPr>
            <w:tcW w:type="dxa" w:w="3402"/>
          </w:tcPr>
          <w:p>
            <w:pPr>
              <w:spacing w:after="40"/>
            </w:pPr>
            <w:r>
              <w:rPr>
                <w:sz w:val="18"/>
              </w:rPr>
              <w:t>unten, links</w:t>
              <w:br/>
              <w:t>x 2.6–9.3 %</w:t>
              <w:br/>
              <w:t>y 87.1–88.5 %</w:t>
            </w:r>
          </w:p>
        </w:tc>
      </w:tr>
      <w:tr>
        <w:trPr>
          <w:cantSplit/>
        </w:trPr>
        <w:tc>
          <w:tcPr>
            <w:tcW w:type="dxa" w:w="3288"/>
          </w:tcPr>
          <w:p>
            <w:pPr>
              <w:spacing w:after="40"/>
            </w:pPr>
            <w:r>
              <w:rPr>
                <w:sz w:val="18"/>
              </w:rPr>
              <w:t>Disk for Storage:</w:t>
            </w:r>
          </w:p>
        </w:tc>
        <w:tc>
          <w:tcPr>
            <w:tcW w:type="dxa" w:w="3005"/>
          </w:tcPr>
          <w:p>
            <w:pPr>
              <w:spacing w:after="40"/>
            </w:pPr>
            <w:r>
              <w:rPr>
                <w:sz w:val="18"/>
              </w:rPr>
              <w:t>x 909–1009</w:t>
              <w:br/>
              <w:t>y 815–828</w:t>
            </w:r>
          </w:p>
        </w:tc>
        <w:tc>
          <w:tcPr>
            <w:tcW w:type="dxa" w:w="3402"/>
          </w:tcPr>
          <w:p>
            <w:pPr>
              <w:spacing w:after="40"/>
            </w:pPr>
            <w:r>
              <w:rPr>
                <w:sz w:val="18"/>
              </w:rPr>
              <w:t>unten, mittig</w:t>
              <w:br/>
              <w:t>x 47.4–52.7 %</w:t>
              <w:br/>
              <w:t>y 88.7–90.1 %</w:t>
            </w:r>
          </w:p>
        </w:tc>
      </w:tr>
      <w:tr>
        <w:trPr>
          <w:cantSplit/>
        </w:trPr>
        <w:tc>
          <w:tcPr>
            <w:tcW w:type="dxa" w:w="3288"/>
          </w:tcPr>
          <w:p>
            <w:pPr>
              <w:spacing w:after="40"/>
            </w:pPr>
            <w:r>
              <w:rPr>
                <w:sz w:val="18"/>
              </w:rPr>
              <w:t>Disk for Storage:</w:t>
            </w:r>
          </w:p>
        </w:tc>
        <w:tc>
          <w:tcPr>
            <w:tcW w:type="dxa" w:w="3005"/>
          </w:tcPr>
          <w:p>
            <w:pPr>
              <w:spacing w:after="40"/>
            </w:pPr>
            <w:r>
              <w:rPr>
                <w:sz w:val="18"/>
              </w:rPr>
              <w:t>x 1225–1325</w:t>
              <w:br/>
              <w:t>y 815–828</w:t>
            </w:r>
          </w:p>
        </w:tc>
        <w:tc>
          <w:tcPr>
            <w:tcW w:type="dxa" w:w="3402"/>
          </w:tcPr>
          <w:p>
            <w:pPr>
              <w:spacing w:after="40"/>
            </w:pPr>
            <w:r>
              <w:rPr>
                <w:sz w:val="18"/>
              </w:rPr>
              <w:t>unten, mittig</w:t>
              <w:br/>
              <w:t>x 63.9–69.2 %</w:t>
              <w:br/>
              <w:t>y 88.7–90.1 %</w:t>
            </w:r>
          </w:p>
        </w:tc>
      </w:tr>
      <w:tr>
        <w:trPr>
          <w:cantSplit/>
        </w:trPr>
        <w:tc>
          <w:tcPr>
            <w:tcW w:type="dxa" w:w="3288"/>
          </w:tcPr>
          <w:p>
            <w:pPr>
              <w:spacing w:after="40"/>
            </w:pPr>
            <w:r>
              <w:rPr>
                <w:sz w:val="18"/>
              </w:rPr>
              <w:t>Disk for Storage:</w:t>
            </w:r>
          </w:p>
        </w:tc>
        <w:tc>
          <w:tcPr>
            <w:tcW w:type="dxa" w:w="3005"/>
          </w:tcPr>
          <w:p>
            <w:pPr>
              <w:spacing w:after="40"/>
            </w:pPr>
            <w:r>
              <w:rPr>
                <w:sz w:val="18"/>
              </w:rPr>
              <w:t>x 1541–1641</w:t>
              <w:br/>
              <w:t>y 815–828</w:t>
            </w:r>
          </w:p>
        </w:tc>
        <w:tc>
          <w:tcPr>
            <w:tcW w:type="dxa" w:w="3402"/>
          </w:tcPr>
          <w:p>
            <w:pPr>
              <w:spacing w:after="40"/>
            </w:pPr>
            <w:r>
              <w:rPr>
                <w:sz w:val="18"/>
              </w:rPr>
              <w:t>unten, rechts</w:t>
              <w:br/>
              <w:t>x 80.4–85.6 %</w:t>
              <w:br/>
              <w:t>y 88.7–90.1 %</w:t>
            </w:r>
          </w:p>
        </w:tc>
      </w:tr>
      <w:tr>
        <w:trPr>
          <w:cantSplit/>
        </w:trPr>
        <w:tc>
          <w:tcPr>
            <w:tcW w:type="dxa" w:w="3288"/>
          </w:tcPr>
          <w:p>
            <w:pPr>
              <w:spacing w:after="40"/>
            </w:pPr>
            <w:r>
              <w:rPr>
                <w:sz w:val="18"/>
              </w:rPr>
              <w:t>of</w:t>
            </w:r>
          </w:p>
        </w:tc>
        <w:tc>
          <w:tcPr>
            <w:tcW w:type="dxa" w:w="3005"/>
          </w:tcPr>
          <w:p>
            <w:pPr>
              <w:spacing w:after="40"/>
            </w:pPr>
            <w:r>
              <w:rPr>
                <w:sz w:val="18"/>
              </w:rPr>
              <w:t>x 978–989</w:t>
              <w:br/>
              <w:t>y 843–853</w:t>
            </w:r>
          </w:p>
        </w:tc>
        <w:tc>
          <w:tcPr>
            <w:tcW w:type="dxa" w:w="3402"/>
          </w:tcPr>
          <w:p>
            <w:pPr>
              <w:spacing w:after="40"/>
            </w:pPr>
            <w:r>
              <w:rPr>
                <w:sz w:val="18"/>
              </w:rPr>
              <w:t>unten, mittig</w:t>
              <w:br/>
              <w:t>x 51.0–51.6 %</w:t>
              <w:br/>
              <w:t>y 91.7–92.8 %</w:t>
            </w:r>
          </w:p>
        </w:tc>
      </w:tr>
      <w:tr>
        <w:trPr>
          <w:cantSplit/>
        </w:trPr>
        <w:tc>
          <w:tcPr>
            <w:tcW w:type="dxa" w:w="3288"/>
          </w:tcPr>
          <w:p>
            <w:pPr>
              <w:spacing w:after="40"/>
            </w:pPr>
            <w:r>
              <w:rPr>
                <w:sz w:val="18"/>
              </w:rPr>
              <w:t>of</w:t>
            </w:r>
          </w:p>
        </w:tc>
        <w:tc>
          <w:tcPr>
            <w:tcW w:type="dxa" w:w="3005"/>
          </w:tcPr>
          <w:p>
            <w:pPr>
              <w:spacing w:after="40"/>
            </w:pPr>
            <w:r>
              <w:rPr>
                <w:sz w:val="18"/>
              </w:rPr>
              <w:t>x 1294–1305</w:t>
              <w:br/>
              <w:t>y 843–853</w:t>
            </w:r>
          </w:p>
        </w:tc>
        <w:tc>
          <w:tcPr>
            <w:tcW w:type="dxa" w:w="3402"/>
          </w:tcPr>
          <w:p>
            <w:pPr>
              <w:spacing w:after="40"/>
            </w:pPr>
            <w:r>
              <w:rPr>
                <w:sz w:val="18"/>
              </w:rPr>
              <w:t>unten, rechts</w:t>
              <w:br/>
              <w:t>x 67.5–68.1 %</w:t>
              <w:br/>
              <w:t>y 91.7–92.8 %</w:t>
            </w:r>
          </w:p>
        </w:tc>
      </w:tr>
      <w:tr>
        <w:trPr>
          <w:cantSplit/>
        </w:trPr>
        <w:tc>
          <w:tcPr>
            <w:tcW w:type="dxa" w:w="3288"/>
          </w:tcPr>
          <w:p>
            <w:pPr>
              <w:spacing w:after="40"/>
            </w:pPr>
            <w:r>
              <w:rPr>
                <w:sz w:val="18"/>
              </w:rPr>
              <w:t>of</w:t>
            </w:r>
          </w:p>
        </w:tc>
        <w:tc>
          <w:tcPr>
            <w:tcW w:type="dxa" w:w="3005"/>
          </w:tcPr>
          <w:p>
            <w:pPr>
              <w:spacing w:after="40"/>
            </w:pPr>
            <w:r>
              <w:rPr>
                <w:sz w:val="18"/>
              </w:rPr>
              <w:t>x 1610–1621</w:t>
              <w:br/>
              <w:t>y 843–853</w:t>
            </w:r>
          </w:p>
        </w:tc>
        <w:tc>
          <w:tcPr>
            <w:tcW w:type="dxa" w:w="3402"/>
          </w:tcPr>
          <w:p>
            <w:pPr>
              <w:spacing w:after="40"/>
            </w:pPr>
            <w:r>
              <w:rPr>
                <w:sz w:val="18"/>
              </w:rPr>
              <w:t>unten, rechts</w:t>
              <w:br/>
              <w:t>x 84.0–84.6 %</w:t>
              <w:br/>
              <w:t>y 91.7–92.8 %</w:t>
            </w:r>
          </w:p>
        </w:tc>
      </w:tr>
      <w:tr>
        <w:trPr>
          <w:cantSplit/>
        </w:trPr>
        <w:tc>
          <w:tcPr>
            <w:tcW w:type="dxa" w:w="3288"/>
          </w:tcPr>
          <w:p>
            <w:pPr>
              <w:spacing w:after="40"/>
            </w:pPr>
            <w:r>
              <w:rPr>
                <w:sz w:val="18"/>
              </w:rPr>
              <w:t>Security</w:t>
            </w:r>
          </w:p>
        </w:tc>
        <w:tc>
          <w:tcPr>
            <w:tcW w:type="dxa" w:w="3005"/>
          </w:tcPr>
          <w:p>
            <w:pPr>
              <w:spacing w:after="40"/>
            </w:pPr>
            <w:r>
              <w:rPr>
                <w:sz w:val="18"/>
              </w:rPr>
              <w:t>x 50–99</w:t>
              <w:br/>
              <w:t>y 847–860</w:t>
            </w:r>
          </w:p>
        </w:tc>
        <w:tc>
          <w:tcPr>
            <w:tcW w:type="dxa" w:w="3402"/>
          </w:tcPr>
          <w:p>
            <w:pPr>
              <w:spacing w:after="40"/>
            </w:pPr>
            <w:r>
              <w:rPr>
                <w:sz w:val="18"/>
              </w:rPr>
              <w:t>unten, links</w:t>
              <w:br/>
              <w:t>x 2.6–5.2 %</w:t>
              <w:br/>
              <w:t>y 92.2–93.6 %</w:t>
            </w:r>
          </w:p>
        </w:tc>
      </w:tr>
      <w:tr>
        <w:trPr>
          <w:cantSplit/>
        </w:trPr>
        <w:tc>
          <w:tcPr>
            <w:tcW w:type="dxa" w:w="3288"/>
          </w:tcPr>
          <w:p>
            <w:pPr>
              <w:spacing w:after="40"/>
            </w:pPr>
            <w:r>
              <w:rPr>
                <w:sz w:val="18"/>
              </w:rPr>
              <w:t>System</w:t>
            </w:r>
          </w:p>
        </w:tc>
        <w:tc>
          <w:tcPr>
            <w:tcW w:type="dxa" w:w="3005"/>
          </w:tcPr>
          <w:p>
            <w:pPr>
              <w:spacing w:after="40"/>
            </w:pPr>
            <w:r>
              <w:rPr>
                <w:sz w:val="18"/>
              </w:rPr>
              <w:t>x 50–94</w:t>
              <w:br/>
              <w:t>y 883–896</w:t>
            </w:r>
          </w:p>
        </w:tc>
        <w:tc>
          <w:tcPr>
            <w:tcW w:type="dxa" w:w="3402"/>
          </w:tcPr>
          <w:p>
            <w:pPr>
              <w:spacing w:after="40"/>
            </w:pPr>
            <w:r>
              <w:rPr>
                <w:sz w:val="18"/>
              </w:rPr>
              <w:t>unten, links</w:t>
              <w:br/>
              <w:t>x 2.6–4.9 %</w:t>
              <w:br/>
              <w:t>y 96.1–97.5 %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13: Transport: Paketübersicht</w:t>
      </w:r>
    </w:p>
    <w:p>
      <w:r>
        <w:t>Bildformat: 1910 × 921 Pixel. Die folgenden Positionen beziehen sich auf dieses vollständige Bild.</w:t>
      </w:r>
    </w:p>
    <w:p>
      <w:pPr>
        <w:pStyle w:val="Heading2"/>
      </w:pPr>
      <w:r>
        <w:t>1. Gesamtaufbau und sichtbarer Zustand</w:t>
      </w:r>
    </w:p>
    <w:p>
      <w:pPr>
        <w:pStyle w:val="Heading3"/>
      </w:pPr>
      <w:r>
        <w:t>Gesamtansicht</w:t>
      </w:r>
    </w:p>
    <w:p>
      <w:r>
        <w:t>Das Bild zeigt eine Transport- beziehungsweise Paketliste in Tabellenform. Die globale Navigation befindet sich links. Der Hauptbereich besteht aus einer Werkzeugleiste und einer breiten Tabelle.</w:t>
      </w:r>
    </w:p>
    <w:p>
      <w:pPr>
        <w:pStyle w:val="Heading3"/>
      </w:pPr>
      <w:r>
        <w:t>Oben</w:t>
      </w:r>
    </w:p>
    <w:p>
      <w:r>
        <w:t>Oberhalb der Tabelle sind eine Suche und mehrere kleine Aktionssymbole sichtbar. Die Tabelle beginnt mit Auswahlkästchen am linken Rand jeder Zeile.</w:t>
      </w:r>
    </w:p>
    <w:p>
      <w:pPr>
        <w:pStyle w:val="Heading3"/>
      </w:pPr>
      <w:r>
        <w:t>Tabellenstruktur</w:t>
      </w:r>
    </w:p>
    <w:p>
      <w:r>
        <w:t>Die Überschriften umfassen Name, Version, Description, Shared By, Import Status, Created On und Changed On. Die rechte Hälfte enthält Status- sowie Datums- und Zeitspalten. Die Einträge sind in horizontalen Zeilen angeordnet; Auswahlkästchen ermöglichen die sichtbare Markierung einzelner Zeilen. Die Inhalte der geschwärzten Felder werden nicht ergänzt.</w:t>
      </w:r>
    </w:p>
    <w:p>
      <w:pPr>
        <w:pStyle w:val="Heading3"/>
      </w:pPr>
      <w:r>
        <w:t>Visuelle Darstellung</w:t>
      </w:r>
    </w:p>
    <w:p>
      <w:r>
        <w:t>Die Liste füllt nahezu den gesamten Inhaltsbereich. Helle Zeilentrennungen strukturieren die Einträge. Die Spaltenüberschriften stehen oberhalb der Liste, während die Werkzeugleiste darüber angeordnet ist. Es ist kein einzelnes Paket als Detailansicht und kein Importdialog geöffnet.</w:t>
      </w:r>
    </w:p>
    <w:p>
      <w:pPr>
        <w:pStyle w:val="Heading2"/>
      </w:pPr>
      <w:r>
        <w:t>2. Räumliche Beschreibung von oben nach unten</w:t>
      </w:r>
    </w:p>
    <w:p>
      <w:pPr>
        <w:pStyle w:val="Heading3"/>
      </w:pPr>
      <w:r>
        <w:t>Werkzeugleiste</w:t>
      </w:r>
    </w:p>
    <w:p>
      <w:r>
        <w:rPr>
          <w:b/>
        </w:rPr>
        <w:t xml:space="preserve">Ungefähre Bildregion: </w:t>
      </w:r>
      <w:r>
        <w:t>x 16–98 %, y 9–15 %</w:t>
      </w:r>
    </w:p>
    <w:p>
      <w:r>
        <w:t>Eine Reihe kleiner Aktionssymbole und ein Suchbereich liegen über der Tabelle.</w:t>
      </w:r>
    </w:p>
    <w:p>
      <w:pPr>
        <w:pStyle w:val="Heading3"/>
      </w:pPr>
      <w:r>
        <w:t>Paketliste</w:t>
      </w:r>
    </w:p>
    <w:p>
      <w:r>
        <w:rPr>
          <w:b/>
        </w:rPr>
        <w:t xml:space="preserve">Ungefähre Bildregion: </w:t>
      </w:r>
      <w:r>
        <w:t>x 16–100 %, y 15–100 %</w:t>
      </w:r>
    </w:p>
    <w:p>
      <w:r>
        <w:t>Die Auswahlkästchen stehen ganz links in der Tabelle. Danach folgen Name, Version, Description und Shared By. Import Status liegt rechts davon. Created On und Changed On bilden die rechten Zeitspalten. Die Datenzeilen liegen dicht untereinander.</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Import</w:t>
            </w:r>
          </w:p>
        </w:tc>
        <w:tc>
          <w:tcPr>
            <w:tcW w:type="dxa" w:w="3005"/>
          </w:tcPr>
          <w:p>
            <w:pPr>
              <w:spacing w:after="40"/>
            </w:pPr>
            <w:r>
              <w:rPr>
                <w:sz w:val="18"/>
              </w:rPr>
              <w:t>x 222–265</w:t>
              <w:br/>
              <w:t>y 51–64</w:t>
            </w:r>
          </w:p>
        </w:tc>
        <w:tc>
          <w:tcPr>
            <w:tcW w:type="dxa" w:w="3402"/>
          </w:tcPr>
          <w:p>
            <w:pPr>
              <w:spacing w:after="40"/>
            </w:pPr>
            <w:r>
              <w:rPr>
                <w:sz w:val="18"/>
              </w:rPr>
              <w:t>oben, links</w:t>
              <w:br/>
              <w:t>x 11.6–13.9 %</w:t>
              <w:br/>
              <w:t>y 5.5–6.9 %</w:t>
            </w:r>
          </w:p>
        </w:tc>
      </w:tr>
      <w:tr>
        <w:trPr>
          <w:cantSplit/>
        </w:trPr>
        <w:tc>
          <w:tcPr>
            <w:tcW w:type="dxa" w:w="3288"/>
          </w:tcPr>
          <w:p>
            <w:pPr>
              <w:spacing w:after="40"/>
            </w:pPr>
            <w:r>
              <w:rPr>
                <w:sz w:val="18"/>
              </w:rPr>
              <w:t>Search</w:t>
            </w:r>
          </w:p>
        </w:tc>
        <w:tc>
          <w:tcPr>
            <w:tcW w:type="dxa" w:w="3005"/>
          </w:tcPr>
          <w:p>
            <w:pPr>
              <w:spacing w:after="40"/>
            </w:pPr>
            <w:r>
              <w:rPr>
                <w:sz w:val="18"/>
              </w:rPr>
              <w:t>x 1661–1702</w:t>
              <w:br/>
              <w:t>y 92–102</w:t>
            </w:r>
          </w:p>
        </w:tc>
        <w:tc>
          <w:tcPr>
            <w:tcW w:type="dxa" w:w="3402"/>
          </w:tcPr>
          <w:p>
            <w:pPr>
              <w:spacing w:after="40"/>
            </w:pPr>
            <w:r>
              <w:rPr>
                <w:sz w:val="18"/>
              </w:rPr>
              <w:t>oben, rechts</w:t>
              <w:br/>
              <w:t>x 87.0–89.1 %</w:t>
              <w:br/>
              <w:t>y 10.0–11.1 %</w:t>
            </w:r>
          </w:p>
        </w:tc>
      </w:tr>
      <w:tr>
        <w:trPr>
          <w:cantSplit/>
        </w:trPr>
        <w:tc>
          <w:tcPr>
            <w:tcW w:type="dxa" w:w="3288"/>
          </w:tcPr>
          <w:p>
            <w:pPr>
              <w:spacing w:after="40"/>
            </w:pPr>
            <w:r>
              <w:rPr>
                <w:sz w:val="18"/>
              </w:rPr>
              <w:t>Elastic Compute Nodes</w:t>
            </w:r>
          </w:p>
        </w:tc>
        <w:tc>
          <w:tcPr>
            <w:tcW w:type="dxa" w:w="3005"/>
          </w:tcPr>
          <w:p>
            <w:pPr>
              <w:spacing w:after="40"/>
            </w:pPr>
            <w:r>
              <w:rPr>
                <w:sz w:val="18"/>
              </w:rPr>
              <w:t>x 48–191</w:t>
              <w:br/>
              <w:t>y 112–125</w:t>
            </w:r>
          </w:p>
        </w:tc>
        <w:tc>
          <w:tcPr>
            <w:tcW w:type="dxa" w:w="3402"/>
          </w:tcPr>
          <w:p>
            <w:pPr>
              <w:spacing w:after="40"/>
            </w:pPr>
            <w:r>
              <w:rPr>
                <w:sz w:val="18"/>
              </w:rPr>
              <w:t>oben, links</w:t>
              <w:br/>
              <w:t>x 2.5–10.0 %</w:t>
              <w:br/>
              <w:t>y 12.2–13.6 %</w:t>
            </w:r>
          </w:p>
        </w:tc>
      </w:tr>
      <w:tr>
        <w:trPr>
          <w:cantSplit/>
        </w:trPr>
        <w:tc>
          <w:tcPr>
            <w:tcW w:type="dxa" w:w="3288"/>
          </w:tcPr>
          <w:p>
            <w:pPr>
              <w:spacing w:after="40"/>
            </w:pPr>
            <w:r>
              <w:rPr>
                <w:sz w:val="18"/>
              </w:rPr>
              <w:t>Name</w:t>
            </w:r>
          </w:p>
        </w:tc>
        <w:tc>
          <w:tcPr>
            <w:tcW w:type="dxa" w:w="3005"/>
          </w:tcPr>
          <w:p>
            <w:pPr>
              <w:spacing w:after="40"/>
            </w:pPr>
            <w:r>
              <w:rPr>
                <w:sz w:val="18"/>
              </w:rPr>
              <w:t>x 296–333</w:t>
              <w:br/>
              <w:t>y 125–135</w:t>
            </w:r>
          </w:p>
        </w:tc>
        <w:tc>
          <w:tcPr>
            <w:tcW w:type="dxa" w:w="3402"/>
          </w:tcPr>
          <w:p>
            <w:pPr>
              <w:spacing w:after="40"/>
            </w:pPr>
            <w:r>
              <w:rPr>
                <w:sz w:val="18"/>
              </w:rPr>
              <w:t>oben, links</w:t>
              <w:br/>
              <w:t>x 15.5–17.4 %</w:t>
              <w:br/>
              <w:t>y 13.6–14.7 %</w:t>
            </w:r>
          </w:p>
        </w:tc>
      </w:tr>
      <w:tr>
        <w:trPr>
          <w:cantSplit/>
        </w:trPr>
        <w:tc>
          <w:tcPr>
            <w:tcW w:type="dxa" w:w="3288"/>
          </w:tcPr>
          <w:p>
            <w:pPr>
              <w:spacing w:after="40"/>
            </w:pPr>
            <w:r>
              <w:rPr>
                <w:sz w:val="18"/>
              </w:rPr>
              <w:t>Version</w:t>
            </w:r>
          </w:p>
        </w:tc>
        <w:tc>
          <w:tcPr>
            <w:tcW w:type="dxa" w:w="3005"/>
          </w:tcPr>
          <w:p>
            <w:pPr>
              <w:spacing w:after="40"/>
            </w:pPr>
            <w:r>
              <w:rPr>
                <w:sz w:val="18"/>
              </w:rPr>
              <w:t>x 527–576</w:t>
              <w:br/>
              <w:t>y 125–135</w:t>
            </w:r>
          </w:p>
        </w:tc>
        <w:tc>
          <w:tcPr>
            <w:tcW w:type="dxa" w:w="3402"/>
          </w:tcPr>
          <w:p>
            <w:pPr>
              <w:spacing w:after="40"/>
            </w:pPr>
            <w:r>
              <w:rPr>
                <w:sz w:val="18"/>
              </w:rPr>
              <w:t>oben, links</w:t>
              <w:br/>
              <w:t>x 27.6–30.2 %</w:t>
              <w:br/>
              <w:t>y 13.6–14.7 %</w:t>
            </w:r>
          </w:p>
        </w:tc>
      </w:tr>
      <w:tr>
        <w:trPr>
          <w:cantSplit/>
        </w:trPr>
        <w:tc>
          <w:tcPr>
            <w:tcW w:type="dxa" w:w="3288"/>
          </w:tcPr>
          <w:p>
            <w:pPr>
              <w:spacing w:after="40"/>
            </w:pPr>
            <w:r>
              <w:rPr>
                <w:sz w:val="18"/>
              </w:rPr>
              <w:t>Description</w:t>
            </w:r>
          </w:p>
        </w:tc>
        <w:tc>
          <w:tcPr>
            <w:tcW w:type="dxa" w:w="3005"/>
          </w:tcPr>
          <w:p>
            <w:pPr>
              <w:spacing w:after="40"/>
            </w:pPr>
            <w:r>
              <w:rPr>
                <w:sz w:val="18"/>
              </w:rPr>
              <w:t>x 760–834</w:t>
              <w:br/>
              <w:t>y 125–138</w:t>
            </w:r>
          </w:p>
        </w:tc>
        <w:tc>
          <w:tcPr>
            <w:tcW w:type="dxa" w:w="3402"/>
          </w:tcPr>
          <w:p>
            <w:pPr>
              <w:spacing w:after="40"/>
            </w:pPr>
            <w:r>
              <w:rPr>
                <w:sz w:val="18"/>
              </w:rPr>
              <w:t>oben, mittig</w:t>
              <w:br/>
              <w:t>x 39.8–43.7 %</w:t>
              <w:br/>
              <w:t>y 13.6–15.0 %</w:t>
            </w:r>
          </w:p>
        </w:tc>
      </w:tr>
      <w:tr>
        <w:trPr>
          <w:cantSplit/>
        </w:trPr>
        <w:tc>
          <w:tcPr>
            <w:tcW w:type="dxa" w:w="3288"/>
          </w:tcPr>
          <w:p>
            <w:pPr>
              <w:spacing w:after="40"/>
            </w:pPr>
            <w:r>
              <w:rPr>
                <w:sz w:val="18"/>
              </w:rPr>
              <w:t>Shared By</w:t>
            </w:r>
          </w:p>
        </w:tc>
        <w:tc>
          <w:tcPr>
            <w:tcW w:type="dxa" w:w="3005"/>
          </w:tcPr>
          <w:p>
            <w:pPr>
              <w:spacing w:after="40"/>
            </w:pPr>
            <w:r>
              <w:rPr>
                <w:sz w:val="18"/>
              </w:rPr>
              <w:t>x 992–1059</w:t>
              <w:br/>
              <w:t>y 125–138</w:t>
            </w:r>
          </w:p>
        </w:tc>
        <w:tc>
          <w:tcPr>
            <w:tcW w:type="dxa" w:w="3402"/>
          </w:tcPr>
          <w:p>
            <w:pPr>
              <w:spacing w:after="40"/>
            </w:pPr>
            <w:r>
              <w:rPr>
                <w:sz w:val="18"/>
              </w:rPr>
              <w:t>oben, mittig</w:t>
              <w:br/>
              <w:t>x 51.9–55.4 %</w:t>
              <w:br/>
              <w:t>y 13.6–15.0 %</w:t>
            </w:r>
          </w:p>
        </w:tc>
      </w:tr>
      <w:tr>
        <w:trPr>
          <w:cantSplit/>
        </w:trPr>
        <w:tc>
          <w:tcPr>
            <w:tcW w:type="dxa" w:w="3288"/>
          </w:tcPr>
          <w:p>
            <w:pPr>
              <w:spacing w:after="40"/>
            </w:pPr>
            <w:r>
              <w:rPr>
                <w:sz w:val="18"/>
              </w:rPr>
              <w:t>Import Status</w:t>
            </w:r>
          </w:p>
        </w:tc>
        <w:tc>
          <w:tcPr>
            <w:tcW w:type="dxa" w:w="3005"/>
          </w:tcPr>
          <w:p>
            <w:pPr>
              <w:spacing w:after="40"/>
            </w:pPr>
            <w:r>
              <w:rPr>
                <w:sz w:val="18"/>
              </w:rPr>
              <w:t>x 1224–1312</w:t>
              <w:br/>
              <w:t>y 125–138</w:t>
            </w:r>
          </w:p>
        </w:tc>
        <w:tc>
          <w:tcPr>
            <w:tcW w:type="dxa" w:w="3402"/>
          </w:tcPr>
          <w:p>
            <w:pPr>
              <w:spacing w:after="40"/>
            </w:pPr>
            <w:r>
              <w:rPr>
                <w:sz w:val="18"/>
              </w:rPr>
              <w:t>oben, mittig</w:t>
              <w:br/>
              <w:t>x 64.1–68.7 %</w:t>
              <w:br/>
              <w:t>y 13.6–15.0 %</w:t>
            </w:r>
          </w:p>
        </w:tc>
      </w:tr>
      <w:tr>
        <w:trPr>
          <w:cantSplit/>
        </w:trPr>
        <w:tc>
          <w:tcPr>
            <w:tcW w:type="dxa" w:w="3288"/>
          </w:tcPr>
          <w:p>
            <w:pPr>
              <w:spacing w:after="40"/>
            </w:pPr>
            <w:r>
              <w:rPr>
                <w:sz w:val="18"/>
              </w:rPr>
              <w:t>Created On</w:t>
            </w:r>
          </w:p>
        </w:tc>
        <w:tc>
          <w:tcPr>
            <w:tcW w:type="dxa" w:w="3005"/>
          </w:tcPr>
          <w:p>
            <w:pPr>
              <w:spacing w:after="40"/>
            </w:pPr>
            <w:r>
              <w:rPr>
                <w:sz w:val="18"/>
              </w:rPr>
              <w:t>x 1456–1530</w:t>
              <w:br/>
              <w:t>y 125–135</w:t>
            </w:r>
          </w:p>
        </w:tc>
        <w:tc>
          <w:tcPr>
            <w:tcW w:type="dxa" w:w="3402"/>
          </w:tcPr>
          <w:p>
            <w:pPr>
              <w:spacing w:after="40"/>
            </w:pPr>
            <w:r>
              <w:rPr>
                <w:sz w:val="18"/>
              </w:rPr>
              <w:t>oben, rechts</w:t>
              <w:br/>
              <w:t>x 76.2–80.1 %</w:t>
              <w:br/>
              <w:t>y 13.6–14.7 %</w:t>
            </w:r>
          </w:p>
        </w:tc>
      </w:tr>
      <w:tr>
        <w:trPr>
          <w:cantSplit/>
        </w:trPr>
        <w:tc>
          <w:tcPr>
            <w:tcW w:type="dxa" w:w="3288"/>
          </w:tcPr>
          <w:p>
            <w:pPr>
              <w:spacing w:after="40"/>
            </w:pPr>
            <w:r>
              <w:rPr>
                <w:sz w:val="18"/>
              </w:rPr>
              <w:t>Changed On</w:t>
            </w:r>
          </w:p>
        </w:tc>
        <w:tc>
          <w:tcPr>
            <w:tcW w:type="dxa" w:w="3005"/>
          </w:tcPr>
          <w:p>
            <w:pPr>
              <w:spacing w:after="40"/>
            </w:pPr>
            <w:r>
              <w:rPr>
                <w:sz w:val="18"/>
              </w:rPr>
              <w:t>x 1688–1769</w:t>
              <w:br/>
              <w:t>y 125–138</w:t>
            </w:r>
          </w:p>
        </w:tc>
        <w:tc>
          <w:tcPr>
            <w:tcW w:type="dxa" w:w="3402"/>
          </w:tcPr>
          <w:p>
            <w:pPr>
              <w:spacing w:after="40"/>
            </w:pPr>
            <w:r>
              <w:rPr>
                <w:sz w:val="18"/>
              </w:rPr>
              <w:t>oben, rechts</w:t>
              <w:br/>
              <w:t>x 88.4–92.6 %</w:t>
              <w:br/>
              <w:t>y 13.6–15.0 %</w:t>
            </w:r>
          </w:p>
        </w:tc>
      </w:tr>
      <w:tr>
        <w:trPr>
          <w:cantSplit/>
        </w:trPr>
        <w:tc>
          <w:tcPr>
            <w:tcW w:type="dxa" w:w="3288"/>
          </w:tcPr>
          <w:p>
            <w:pPr>
              <w:spacing w:after="40"/>
            </w:pPr>
            <w:r>
              <w:rPr>
                <w:sz w:val="18"/>
              </w:rPr>
              <w:t>Data Integration</w:t>
            </w:r>
          </w:p>
        </w:tc>
        <w:tc>
          <w:tcPr>
            <w:tcW w:type="dxa" w:w="3005"/>
          </w:tcPr>
          <w:p>
            <w:pPr>
              <w:spacing w:after="40"/>
            </w:pPr>
            <w:r>
              <w:rPr>
                <w:sz w:val="18"/>
              </w:rPr>
              <w:t>x 48–145</w:t>
              <w:br/>
              <w:t>y 148–161</w:t>
            </w:r>
          </w:p>
        </w:tc>
        <w:tc>
          <w:tcPr>
            <w:tcW w:type="dxa" w:w="3402"/>
          </w:tcPr>
          <w:p>
            <w:pPr>
              <w:spacing w:after="40"/>
            </w:pPr>
            <w:r>
              <w:rPr>
                <w:sz w:val="18"/>
              </w:rPr>
              <w:t>oben, links</w:t>
              <w:br/>
              <w:t>x 2.5–7.6 %</w:t>
              <w:br/>
              <w:t>y 16.1–17.5 %</w:t>
            </w:r>
          </w:p>
        </w:tc>
      </w:tr>
      <w:tr>
        <w:trPr>
          <w:cantSplit/>
        </w:trPr>
        <w:tc>
          <w:tcPr>
            <w:tcW w:type="dxa" w:w="3288"/>
          </w:tcPr>
          <w:p>
            <w:pPr>
              <w:spacing w:after="40"/>
            </w:pPr>
            <w:r>
              <w:rPr>
                <w:sz w:val="18"/>
              </w:rPr>
              <w:t>Search</w:t>
            </w:r>
          </w:p>
        </w:tc>
        <w:tc>
          <w:tcPr>
            <w:tcW w:type="dxa" w:w="3005"/>
          </w:tcPr>
          <w:p>
            <w:pPr>
              <w:spacing w:after="40"/>
            </w:pPr>
            <w:r>
              <w:rPr>
                <w:sz w:val="18"/>
              </w:rPr>
              <w:t>x 48–89</w:t>
              <w:br/>
              <w:t>y 236–246</w:t>
            </w:r>
          </w:p>
        </w:tc>
        <w:tc>
          <w:tcPr>
            <w:tcW w:type="dxa" w:w="3402"/>
          </w:tcPr>
          <w:p>
            <w:pPr>
              <w:spacing w:after="40"/>
            </w:pPr>
            <w:r>
              <w:rPr>
                <w:sz w:val="18"/>
              </w:rPr>
              <w:t>oben, links</w:t>
              <w:br/>
              <w:t>x 2.5–4.7 %</w:t>
              <w:br/>
              <w:t>y 25.6–26.7 %</w:t>
            </w:r>
          </w:p>
        </w:tc>
      </w:tr>
      <w:tr>
        <w:trPr>
          <w:cantSplit/>
        </w:trPr>
        <w:tc>
          <w:tcPr>
            <w:tcW w:type="dxa" w:w="3288"/>
          </w:tcPr>
          <w:p>
            <w:pPr>
              <w:spacing w:after="40"/>
            </w:pPr>
            <w:r>
              <w:rPr>
                <w:sz w:val="18"/>
              </w:rPr>
              <w:t>Apps</w:t>
            </w:r>
          </w:p>
        </w:tc>
        <w:tc>
          <w:tcPr>
            <w:tcW w:type="dxa" w:w="3005"/>
          </w:tcPr>
          <w:p>
            <w:pPr>
              <w:spacing w:after="40"/>
            </w:pPr>
            <w:r>
              <w:rPr>
                <w:sz w:val="18"/>
              </w:rPr>
              <w:t>x 24–54</w:t>
              <w:br/>
              <w:t>y 318–330</w:t>
            </w:r>
          </w:p>
        </w:tc>
        <w:tc>
          <w:tcPr>
            <w:tcW w:type="dxa" w:w="3402"/>
          </w:tcPr>
          <w:p>
            <w:pPr>
              <w:spacing w:after="40"/>
            </w:pPr>
            <w:r>
              <w:rPr>
                <w:sz w:val="18"/>
              </w:rPr>
              <w:t>auf mittlerer Höhe, links</w:t>
              <w:br/>
              <w:t>x 1.2–2.8 %</w:t>
              <w:br/>
              <w:t>y 34.5–35.9 %</w:t>
            </w:r>
          </w:p>
        </w:tc>
      </w:tr>
      <w:tr>
        <w:trPr>
          <w:cantSplit/>
        </w:trPr>
        <w:tc>
          <w:tcPr>
            <w:tcW w:type="dxa" w:w="3288"/>
          </w:tcPr>
          <w:p>
            <w:pPr>
              <w:spacing w:after="40"/>
            </w:pPr>
            <w:r>
              <w:rPr>
                <w:sz w:val="18"/>
              </w:rPr>
              <w:t>Semantic Onboarding</w:t>
            </w:r>
          </w:p>
        </w:tc>
        <w:tc>
          <w:tcPr>
            <w:tcW w:type="dxa" w:w="3005"/>
          </w:tcPr>
          <w:p>
            <w:pPr>
              <w:spacing w:after="40"/>
            </w:pPr>
            <w:r>
              <w:rPr>
                <w:sz w:val="18"/>
              </w:rPr>
              <w:t>x 48–181</w:t>
              <w:br/>
              <w:t>y 354–367</w:t>
            </w:r>
          </w:p>
        </w:tc>
        <w:tc>
          <w:tcPr>
            <w:tcW w:type="dxa" w:w="3402"/>
          </w:tcPr>
          <w:p>
            <w:pPr>
              <w:spacing w:after="40"/>
            </w:pPr>
            <w:r>
              <w:rPr>
                <w:sz w:val="18"/>
              </w:rPr>
              <w:t>auf mittlerer Höhe, links</w:t>
              <w:br/>
              <w:t>x 2.5–9.5 %</w:t>
              <w:br/>
              <w:t>y 38.4–39.8 %</w:t>
            </w:r>
          </w:p>
        </w:tc>
      </w:tr>
      <w:tr>
        <w:trPr>
          <w:cantSplit/>
        </w:trPr>
        <w:tc>
          <w:tcPr>
            <w:tcW w:type="dxa" w:w="3288"/>
          </w:tcPr>
          <w:p>
            <w:pPr>
              <w:spacing w:after="40"/>
            </w:pPr>
            <w:r>
              <w:rPr>
                <w:sz w:val="18"/>
              </w:rPr>
              <w:t>Business Builder</w:t>
            </w:r>
          </w:p>
        </w:tc>
        <w:tc>
          <w:tcPr>
            <w:tcW w:type="dxa" w:w="3005"/>
          </w:tcPr>
          <w:p>
            <w:pPr>
              <w:spacing w:after="40"/>
            </w:pPr>
            <w:r>
              <w:rPr>
                <w:sz w:val="18"/>
              </w:rPr>
              <w:t>x 48–150</w:t>
              <w:br/>
              <w:t>y 390–400</w:t>
            </w:r>
          </w:p>
        </w:tc>
        <w:tc>
          <w:tcPr>
            <w:tcW w:type="dxa" w:w="3402"/>
          </w:tcPr>
          <w:p>
            <w:pPr>
              <w:spacing w:after="40"/>
            </w:pPr>
            <w:r>
              <w:rPr>
                <w:sz w:val="18"/>
              </w:rPr>
              <w:t>auf mittlerer Höhe, links</w:t>
              <w:br/>
              <w:t>x 2.5–7.9 %</w:t>
              <w:br/>
              <w:t>y 42.3–43.4 %</w:t>
            </w:r>
          </w:p>
        </w:tc>
      </w:tr>
      <w:tr>
        <w:trPr>
          <w:cantSplit/>
        </w:trPr>
        <w:tc>
          <w:tcPr>
            <w:tcW w:type="dxa" w:w="3288"/>
          </w:tcPr>
          <w:p>
            <w:pPr>
              <w:spacing w:after="40"/>
            </w:pPr>
            <w:r>
              <w:rPr>
                <w:sz w:val="18"/>
              </w:rPr>
              <w:t>Data Builder</w:t>
            </w:r>
          </w:p>
        </w:tc>
        <w:tc>
          <w:tcPr>
            <w:tcW w:type="dxa" w:w="3005"/>
          </w:tcPr>
          <w:p>
            <w:pPr>
              <w:spacing w:after="40"/>
            </w:pPr>
            <w:r>
              <w:rPr>
                <w:sz w:val="18"/>
              </w:rPr>
              <w:t>x 48–124</w:t>
              <w:br/>
              <w:t>y 426–436</w:t>
            </w:r>
          </w:p>
        </w:tc>
        <w:tc>
          <w:tcPr>
            <w:tcW w:type="dxa" w:w="3402"/>
          </w:tcPr>
          <w:p>
            <w:pPr>
              <w:spacing w:after="40"/>
            </w:pPr>
            <w:r>
              <w:rPr>
                <w:sz w:val="18"/>
              </w:rPr>
              <w:t>auf mittlerer Höhe, links</w:t>
              <w:br/>
              <w:t>x 2.5–6.5 %</w:t>
              <w:br/>
              <w:t>y 46.3–47.3 %</w:t>
            </w:r>
          </w:p>
        </w:tc>
      </w:tr>
      <w:tr>
        <w:trPr>
          <w:cantSplit/>
        </w:trPr>
        <w:tc>
          <w:tcPr>
            <w:tcW w:type="dxa" w:w="3288"/>
          </w:tcPr>
          <w:p>
            <w:pPr>
              <w:spacing w:after="40"/>
            </w:pPr>
            <w:r>
              <w:rPr>
                <w:sz w:val="18"/>
              </w:rPr>
              <w:t>Connections</w:t>
            </w:r>
          </w:p>
        </w:tc>
        <w:tc>
          <w:tcPr>
            <w:tcW w:type="dxa" w:w="3005"/>
          </w:tcPr>
          <w:p>
            <w:pPr>
              <w:spacing w:after="40"/>
            </w:pPr>
            <w:r>
              <w:rPr>
                <w:sz w:val="18"/>
              </w:rPr>
              <w:t>x 47–124</w:t>
              <w:br/>
              <w:t>y 462–472</w:t>
            </w:r>
          </w:p>
        </w:tc>
        <w:tc>
          <w:tcPr>
            <w:tcW w:type="dxa" w:w="3402"/>
          </w:tcPr>
          <w:p>
            <w:pPr>
              <w:spacing w:after="40"/>
            </w:pPr>
            <w:r>
              <w:rPr>
                <w:sz w:val="18"/>
              </w:rPr>
              <w:t>auf mittlerer Höhe, links</w:t>
              <w:br/>
              <w:t>x 2.5–6.5 %</w:t>
              <w:br/>
              <w:t>y 50.2–51.2 %</w:t>
            </w:r>
          </w:p>
        </w:tc>
      </w:tr>
      <w:tr>
        <w:trPr>
          <w:cantSplit/>
        </w:trPr>
        <w:tc>
          <w:tcPr>
            <w:tcW w:type="dxa" w:w="3288"/>
          </w:tcPr>
          <w:p>
            <w:pPr>
              <w:spacing w:after="40"/>
            </w:pPr>
            <w:r>
              <w:rPr>
                <w:sz w:val="18"/>
              </w:rPr>
              <w:t>Utilities</w:t>
            </w:r>
          </w:p>
        </w:tc>
        <w:tc>
          <w:tcPr>
            <w:tcW w:type="dxa" w:w="3005"/>
          </w:tcPr>
          <w:p>
            <w:pPr>
              <w:spacing w:after="40"/>
            </w:pPr>
            <w:r>
              <w:rPr>
                <w:sz w:val="18"/>
              </w:rPr>
              <w:t>x 24–68</w:t>
              <w:br/>
              <w:t>y 508–518</w:t>
            </w:r>
          </w:p>
        </w:tc>
        <w:tc>
          <w:tcPr>
            <w:tcW w:type="dxa" w:w="3402"/>
          </w:tcPr>
          <w:p>
            <w:pPr>
              <w:spacing w:after="40"/>
            </w:pPr>
            <w:r>
              <w:rPr>
                <w:sz w:val="18"/>
              </w:rPr>
              <w:t>auf mittlerer Höhe, links</w:t>
              <w:br/>
              <w:t>x 1.3–3.6 %</w:t>
              <w:br/>
              <w:t>y 55.2–56.2 %</w:t>
            </w:r>
          </w:p>
        </w:tc>
      </w:tr>
      <w:tr>
        <w:trPr>
          <w:cantSplit/>
        </w:trPr>
        <w:tc>
          <w:tcPr>
            <w:tcW w:type="dxa" w:w="3288"/>
          </w:tcPr>
          <w:p>
            <w:pPr>
              <w:spacing w:after="40"/>
            </w:pPr>
            <w:r>
              <w:rPr>
                <w:sz w:val="18"/>
              </w:rPr>
              <w:t>Space Management</w:t>
            </w:r>
          </w:p>
        </w:tc>
        <w:tc>
          <w:tcPr>
            <w:tcW w:type="dxa" w:w="3005"/>
          </w:tcPr>
          <w:p>
            <w:pPr>
              <w:spacing w:after="40"/>
            </w:pPr>
            <w:r>
              <w:rPr>
                <w:sz w:val="18"/>
              </w:rPr>
              <w:t>x 48–170</w:t>
              <w:br/>
              <w:t>y 544–557</w:t>
            </w:r>
          </w:p>
        </w:tc>
        <w:tc>
          <w:tcPr>
            <w:tcW w:type="dxa" w:w="3402"/>
          </w:tcPr>
          <w:p>
            <w:pPr>
              <w:spacing w:after="40"/>
            </w:pPr>
            <w:r>
              <w:rPr>
                <w:sz w:val="18"/>
              </w:rPr>
              <w:t>auf mittlerer Höhe, links</w:t>
              <w:br/>
              <w:t>x 2.5–8.9 %</w:t>
              <w:br/>
              <w:t>y 59.1–60.5 %</w:t>
            </w:r>
          </w:p>
        </w:tc>
      </w:tr>
      <w:tr>
        <w:trPr>
          <w:cantSplit/>
        </w:trPr>
        <w:tc>
          <w:tcPr>
            <w:tcW w:type="dxa" w:w="3288"/>
          </w:tcPr>
          <w:p>
            <w:pPr>
              <w:spacing w:after="40"/>
            </w:pPr>
            <w:r>
              <w:rPr>
                <w:sz w:val="18"/>
              </w:rPr>
              <w:t>Translation</w:t>
            </w:r>
          </w:p>
        </w:tc>
        <w:tc>
          <w:tcPr>
            <w:tcW w:type="dxa" w:w="3005"/>
          </w:tcPr>
          <w:p>
            <w:pPr>
              <w:spacing w:after="40"/>
            </w:pPr>
            <w:r>
              <w:rPr>
                <w:sz w:val="18"/>
              </w:rPr>
              <w:t>x 47–114</w:t>
              <w:br/>
              <w:t>y 580–590</w:t>
            </w:r>
          </w:p>
        </w:tc>
        <w:tc>
          <w:tcPr>
            <w:tcW w:type="dxa" w:w="3402"/>
          </w:tcPr>
          <w:p>
            <w:pPr>
              <w:spacing w:after="40"/>
            </w:pPr>
            <w:r>
              <w:rPr>
                <w:sz w:val="18"/>
              </w:rPr>
              <w:t>auf mittlerer Höhe, links</w:t>
              <w:br/>
              <w:t>x 2.5–6.0 %</w:t>
              <w:br/>
              <w:t>y 63.0–64.1 %</w:t>
            </w:r>
          </w:p>
        </w:tc>
      </w:tr>
      <w:tr>
        <w:trPr>
          <w:cantSplit/>
        </w:trPr>
        <w:tc>
          <w:tcPr>
            <w:tcW w:type="dxa" w:w="3288"/>
          </w:tcPr>
          <w:p>
            <w:pPr>
              <w:spacing w:after="40"/>
            </w:pPr>
            <w:r>
              <w:rPr>
                <w:sz w:val="18"/>
              </w:rPr>
              <w:t>Transport</w:t>
            </w:r>
          </w:p>
        </w:tc>
        <w:tc>
          <w:tcPr>
            <w:tcW w:type="dxa" w:w="3005"/>
          </w:tcPr>
          <w:p>
            <w:pPr>
              <w:spacing w:after="40"/>
            </w:pPr>
            <w:r>
              <w:rPr>
                <w:sz w:val="18"/>
              </w:rPr>
              <w:t>x 47–105</w:t>
              <w:br/>
              <w:t>y 616–629</w:t>
            </w:r>
          </w:p>
        </w:tc>
        <w:tc>
          <w:tcPr>
            <w:tcW w:type="dxa" w:w="3402"/>
          </w:tcPr>
          <w:p>
            <w:pPr>
              <w:spacing w:after="40"/>
            </w:pPr>
            <w:r>
              <w:rPr>
                <w:sz w:val="18"/>
              </w:rPr>
              <w:t>unten, links</w:t>
              <w:br/>
              <w:t>x 2.5–5.5 %</w:t>
              <w:br/>
              <w:t>y 66.9–68.3 %</w:t>
            </w:r>
          </w:p>
        </w:tc>
      </w:tr>
      <w:tr>
        <w:trPr>
          <w:cantSplit/>
        </w:trPr>
        <w:tc>
          <w:tcPr>
            <w:tcW w:type="dxa" w:w="3288"/>
          </w:tcPr>
          <w:p>
            <w:pPr>
              <w:spacing w:after="40"/>
            </w:pPr>
            <w:r>
              <w:rPr>
                <w:sz w:val="18"/>
              </w:rPr>
              <w:t>Import</w:t>
            </w:r>
          </w:p>
        </w:tc>
        <w:tc>
          <w:tcPr>
            <w:tcW w:type="dxa" w:w="3005"/>
          </w:tcPr>
          <w:p>
            <w:pPr>
              <w:spacing w:after="40"/>
            </w:pPr>
            <w:r>
              <w:rPr>
                <w:sz w:val="18"/>
              </w:rPr>
              <w:t>x 48–87</w:t>
              <w:br/>
              <w:t>y 724–737</w:t>
            </w:r>
          </w:p>
        </w:tc>
        <w:tc>
          <w:tcPr>
            <w:tcW w:type="dxa" w:w="3402"/>
          </w:tcPr>
          <w:p>
            <w:pPr>
              <w:spacing w:after="40"/>
            </w:pPr>
            <w:r>
              <w:rPr>
                <w:sz w:val="18"/>
              </w:rPr>
              <w:t>unten, links</w:t>
              <w:br/>
              <w:t>x 2.5–4.6 %</w:t>
              <w:br/>
              <w:t>y 78.6–80.0 %</w:t>
            </w:r>
          </w:p>
        </w:tc>
      </w:tr>
      <w:tr>
        <w:trPr>
          <w:cantSplit/>
        </w:trPr>
        <w:tc>
          <w:tcPr>
            <w:tcW w:type="dxa" w:w="3288"/>
          </w:tcPr>
          <w:p>
            <w:pPr>
              <w:spacing w:after="40"/>
            </w:pPr>
            <w:r>
              <w:rPr>
                <w:sz w:val="18"/>
              </w:rPr>
              <w:t>Success</w:t>
            </w:r>
          </w:p>
        </w:tc>
        <w:tc>
          <w:tcPr>
            <w:tcW w:type="dxa" w:w="3005"/>
          </w:tcPr>
          <w:p>
            <w:pPr>
              <w:spacing w:after="40"/>
            </w:pPr>
            <w:r>
              <w:rPr>
                <w:sz w:val="18"/>
              </w:rPr>
              <w:t>x 1248–1298</w:t>
              <w:br/>
              <w:t>y 765–775</w:t>
            </w:r>
          </w:p>
        </w:tc>
        <w:tc>
          <w:tcPr>
            <w:tcW w:type="dxa" w:w="3402"/>
          </w:tcPr>
          <w:p>
            <w:pPr>
              <w:spacing w:after="40"/>
            </w:pPr>
            <w:r>
              <w:rPr>
                <w:sz w:val="18"/>
              </w:rPr>
              <w:t>unten, mittig</w:t>
              <w:br/>
              <w:t>x 65.3–67.9 %</w:t>
              <w:br/>
              <w:t>y 83.1–84.1 %</w:t>
            </w:r>
          </w:p>
        </w:tc>
      </w:tr>
      <w:tr>
        <w:trPr>
          <w:cantSplit/>
        </w:trPr>
        <w:tc>
          <w:tcPr>
            <w:tcW w:type="dxa" w:w="3288"/>
          </w:tcPr>
          <w:p>
            <w:pPr>
              <w:spacing w:after="40"/>
            </w:pPr>
            <w:r>
              <w:rPr>
                <w:sz w:val="18"/>
              </w:rPr>
              <w:t>Data Sharing Cockpit</w:t>
            </w:r>
          </w:p>
        </w:tc>
        <w:tc>
          <w:tcPr>
            <w:tcW w:type="dxa" w:w="3005"/>
          </w:tcPr>
          <w:p>
            <w:pPr>
              <w:spacing w:after="40"/>
            </w:pPr>
            <w:r>
              <w:rPr>
                <w:sz w:val="18"/>
              </w:rPr>
              <w:t>x 48–177</w:t>
              <w:br/>
              <w:t>y 796–809</w:t>
            </w:r>
          </w:p>
        </w:tc>
        <w:tc>
          <w:tcPr>
            <w:tcW w:type="dxa" w:w="3402"/>
          </w:tcPr>
          <w:p>
            <w:pPr>
              <w:spacing w:after="40"/>
            </w:pPr>
            <w:r>
              <w:rPr>
                <w:sz w:val="18"/>
              </w:rPr>
              <w:t>unten, links</w:t>
              <w:br/>
              <w:t>x 2.5–9.3 %</w:t>
              <w:br/>
              <w:t>y 86.4–87.8 %</w:t>
            </w:r>
          </w:p>
        </w:tc>
      </w:tr>
      <w:tr>
        <w:trPr>
          <w:cantSplit/>
        </w:trPr>
        <w:tc>
          <w:tcPr>
            <w:tcW w:type="dxa" w:w="3288"/>
          </w:tcPr>
          <w:p>
            <w:pPr>
              <w:spacing w:after="40"/>
            </w:pPr>
            <w:r>
              <w:rPr>
                <w:sz w:val="18"/>
              </w:rPr>
              <w:t>Success</w:t>
            </w:r>
          </w:p>
        </w:tc>
        <w:tc>
          <w:tcPr>
            <w:tcW w:type="dxa" w:w="3005"/>
          </w:tcPr>
          <w:p>
            <w:pPr>
              <w:spacing w:after="40"/>
            </w:pPr>
            <w:r>
              <w:rPr>
                <w:sz w:val="18"/>
              </w:rPr>
              <w:t>x 1248–1298</w:t>
              <w:br/>
              <w:t>y 797–807</w:t>
            </w:r>
          </w:p>
        </w:tc>
        <w:tc>
          <w:tcPr>
            <w:tcW w:type="dxa" w:w="3402"/>
          </w:tcPr>
          <w:p>
            <w:pPr>
              <w:spacing w:after="40"/>
            </w:pPr>
            <w:r>
              <w:rPr>
                <w:sz w:val="18"/>
              </w:rPr>
              <w:t>unten, mittig</w:t>
              <w:br/>
              <w:t>x 65.3–67.9 %</w:t>
              <w:br/>
              <w:t>y 86.5–87.6 %</w:t>
            </w:r>
          </w:p>
        </w:tc>
      </w:tr>
      <w:tr>
        <w:trPr>
          <w:cantSplit/>
        </w:trPr>
        <w:tc>
          <w:tcPr>
            <w:tcW w:type="dxa" w:w="3288"/>
          </w:tcPr>
          <w:p>
            <w:pPr>
              <w:spacing w:after="40"/>
            </w:pPr>
            <w:r>
              <w:rPr>
                <w:sz w:val="18"/>
              </w:rPr>
              <w:t>Success</w:t>
            </w:r>
          </w:p>
        </w:tc>
        <w:tc>
          <w:tcPr>
            <w:tcW w:type="dxa" w:w="3005"/>
          </w:tcPr>
          <w:p>
            <w:pPr>
              <w:spacing w:after="40"/>
            </w:pPr>
            <w:r>
              <w:rPr>
                <w:sz w:val="18"/>
              </w:rPr>
              <w:t>x 1248–1298</w:t>
              <w:br/>
              <w:t>y 829–839</w:t>
            </w:r>
          </w:p>
        </w:tc>
        <w:tc>
          <w:tcPr>
            <w:tcW w:type="dxa" w:w="3402"/>
          </w:tcPr>
          <w:p>
            <w:pPr>
              <w:spacing w:after="40"/>
            </w:pPr>
            <w:r>
              <w:rPr>
                <w:sz w:val="18"/>
              </w:rPr>
              <w:t>unten, mittig</w:t>
              <w:br/>
              <w:t>x 65.3–67.9 %</w:t>
              <w:br/>
              <w:t>y 90.0–91.1 %</w:t>
            </w:r>
          </w:p>
        </w:tc>
      </w:tr>
      <w:tr>
        <w:trPr>
          <w:cantSplit/>
        </w:trPr>
        <w:tc>
          <w:tcPr>
            <w:tcW w:type="dxa" w:w="3288"/>
          </w:tcPr>
          <w:p>
            <w:pPr>
              <w:spacing w:after="40"/>
            </w:pPr>
            <w:r>
              <w:rPr>
                <w:sz w:val="18"/>
              </w:rPr>
              <w:t>Security</w:t>
            </w:r>
          </w:p>
        </w:tc>
        <w:tc>
          <w:tcPr>
            <w:tcW w:type="dxa" w:w="3005"/>
          </w:tcPr>
          <w:p>
            <w:pPr>
              <w:spacing w:after="40"/>
            </w:pPr>
            <w:r>
              <w:rPr>
                <w:sz w:val="18"/>
              </w:rPr>
              <w:t>x 48–97</w:t>
              <w:br/>
              <w:t>y 843–856</w:t>
            </w:r>
          </w:p>
        </w:tc>
        <w:tc>
          <w:tcPr>
            <w:tcW w:type="dxa" w:w="3402"/>
          </w:tcPr>
          <w:p>
            <w:pPr>
              <w:spacing w:after="40"/>
            </w:pPr>
            <w:r>
              <w:rPr>
                <w:sz w:val="18"/>
              </w:rPr>
              <w:t>unten, links</w:t>
              <w:br/>
              <w:t>x 2.5–5.1 %</w:t>
              <w:br/>
              <w:t>y 91.5–92.9 %</w:t>
            </w:r>
          </w:p>
        </w:tc>
      </w:tr>
      <w:tr>
        <w:trPr>
          <w:cantSplit/>
        </w:trPr>
        <w:tc>
          <w:tcPr>
            <w:tcW w:type="dxa" w:w="3288"/>
          </w:tcPr>
          <w:p>
            <w:pPr>
              <w:spacing w:after="40"/>
            </w:pPr>
            <w:r>
              <w:rPr>
                <w:sz w:val="18"/>
              </w:rPr>
              <w:t>Success</w:t>
            </w:r>
          </w:p>
        </w:tc>
        <w:tc>
          <w:tcPr>
            <w:tcW w:type="dxa" w:w="3005"/>
          </w:tcPr>
          <w:p>
            <w:pPr>
              <w:spacing w:after="40"/>
            </w:pPr>
            <w:r>
              <w:rPr>
                <w:sz w:val="18"/>
              </w:rPr>
              <w:t>x 1248–1298</w:t>
              <w:br/>
              <w:t>y 861–871</w:t>
            </w:r>
          </w:p>
        </w:tc>
        <w:tc>
          <w:tcPr>
            <w:tcW w:type="dxa" w:w="3402"/>
          </w:tcPr>
          <w:p>
            <w:pPr>
              <w:spacing w:after="40"/>
            </w:pPr>
            <w:r>
              <w:rPr>
                <w:sz w:val="18"/>
              </w:rPr>
              <w:t>unten, mittig</w:t>
              <w:br/>
              <w:t>x 65.3–67.9 %</w:t>
              <w:br/>
              <w:t>y 93.5–94.6 %</w:t>
            </w:r>
          </w:p>
        </w:tc>
      </w:tr>
      <w:tr>
        <w:trPr>
          <w:cantSplit/>
        </w:trPr>
        <w:tc>
          <w:tcPr>
            <w:tcW w:type="dxa" w:w="3288"/>
          </w:tcPr>
          <w:p>
            <w:pPr>
              <w:spacing w:after="40"/>
            </w:pPr>
            <w:r>
              <w:rPr>
                <w:sz w:val="18"/>
              </w:rPr>
              <w:t>System</w:t>
            </w:r>
          </w:p>
        </w:tc>
        <w:tc>
          <w:tcPr>
            <w:tcW w:type="dxa" w:w="3005"/>
          </w:tcPr>
          <w:p>
            <w:pPr>
              <w:spacing w:after="40"/>
            </w:pPr>
            <w:r>
              <w:rPr>
                <w:sz w:val="18"/>
              </w:rPr>
              <w:t>x 48–92</w:t>
              <w:br/>
              <w:t>y 879–892</w:t>
            </w:r>
          </w:p>
        </w:tc>
        <w:tc>
          <w:tcPr>
            <w:tcW w:type="dxa" w:w="3402"/>
          </w:tcPr>
          <w:p>
            <w:pPr>
              <w:spacing w:after="40"/>
            </w:pPr>
            <w:r>
              <w:rPr>
                <w:sz w:val="18"/>
              </w:rPr>
              <w:t>unten, links</w:t>
              <w:br/>
              <w:t>x 2.5–4.8 %</w:t>
              <w:br/>
              <w:t>y 95.4–96.9 %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14: Audit: Protokolltabelle</w:t>
      </w:r>
    </w:p>
    <w:p>
      <w:r>
        <w:t>Bildformat: 1884 × 868 Pixel. Die folgenden Positionen beziehen sich auf dieses vollständige Bild.</w:t>
      </w:r>
    </w:p>
    <w:p>
      <w:pPr>
        <w:pStyle w:val="Heading2"/>
      </w:pPr>
      <w:r>
        <w:t>1. Gesamtaufbau und sichtbarer Zustand</w:t>
      </w:r>
    </w:p>
    <w:p>
      <w:pPr>
        <w:pStyle w:val="Heading3"/>
      </w:pPr>
      <w:r>
        <w:t>Gesamtansicht</w:t>
      </w:r>
    </w:p>
    <w:p>
      <w:r>
        <w:t>Der Screenshot zeigt eine Audit- beziehungsweise Aktivitätsprotokollansicht. Eine große Tabelle nimmt den mittleren und rechten Bereich ein. Links steht die globale Navigation.</w:t>
      </w:r>
    </w:p>
    <w:p>
      <w:pPr>
        <w:pStyle w:val="Heading3"/>
      </w:pPr>
      <w:r>
        <w:t>Tabellenüberschriften</w:t>
      </w:r>
    </w:p>
    <w:p>
      <w:r>
        <w:t>Die sichtbaren Spalten heißen Object Type, File Name, Object Name, Description, User Name, Activity, Status und Timestamp. Die Spalten sind horizontal nebeneinander angeordnet. Der rechte Teil der Tabelle enthält Aktivitäten, Status und Zeitstempel.</w:t>
      </w:r>
    </w:p>
    <w:p>
      <w:pPr>
        <w:pStyle w:val="Heading3"/>
      </w:pPr>
      <w:r>
        <w:t>Sichtbare Einträge</w:t>
      </w:r>
    </w:p>
    <w:p>
      <w:r>
        <w:t>In der Spalte Activity stehen unter anderem Login, Update und Read. Die Statusspalte zeigt „Success“. Links in der Tabelle ist mehrfach der Objekttyp „Information“ sichtbar. Die Zeitstempel stehen zeilenweise am rechten Rand. Die geschwärzten Inhalte der übrigen Felder werden nicht beschrieben.</w:t>
      </w:r>
    </w:p>
    <w:p>
      <w:pPr>
        <w:pStyle w:val="Heading3"/>
      </w:pPr>
      <w:r>
        <w:t>Anordnung</w:t>
      </w:r>
    </w:p>
    <w:p>
      <w:r>
        <w:t>Viele Protokollzeilen sind gleichzeitig sichtbar. Die gleichmäßige Zeilenhöhe und die Spaltenausrichtung ergeben eine dichte Listenansicht. Der Screenshot zeigt keine geöffnete Protokollmeldung oder ein Detailfenster, sondern die Übersicht der Einträge.</w:t>
      </w:r>
    </w:p>
    <w:p>
      <w:pPr>
        <w:pStyle w:val="Heading2"/>
      </w:pPr>
      <w:r>
        <w:t>2. Räumliche Beschreibung von oben nach unten</w:t>
      </w:r>
    </w:p>
    <w:p>
      <w:pPr>
        <w:pStyle w:val="Heading3"/>
      </w:pPr>
      <w:r>
        <w:t>Protokolltabelle</w:t>
      </w:r>
    </w:p>
    <w:p>
      <w:r>
        <w:rPr>
          <w:b/>
        </w:rPr>
        <w:t xml:space="preserve">Ungefähre Bildregion: </w:t>
      </w:r>
      <w:r>
        <w:t>x 16–100 %, y 12–100 %</w:t>
      </w:r>
    </w:p>
    <w:p>
      <w:r>
        <w:t>Die Kopfzeile enthält Object Type, File Name, Object Name, Description, User Name, Activity, Status und Timestamp. Activity liegt rechts vom Benutzerfeld. Success steht in der Statusspalte. Die Zeitstempel befinden sich am rechten Rand. Information steht in mehreren Zeilen links in der Tabelle.</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Search</w:t>
            </w:r>
          </w:p>
        </w:tc>
        <w:tc>
          <w:tcPr>
            <w:tcW w:type="dxa" w:w="3005"/>
          </w:tcPr>
          <w:p>
            <w:pPr>
              <w:spacing w:after="40"/>
            </w:pPr>
            <w:r>
              <w:rPr>
                <w:sz w:val="18"/>
              </w:rPr>
              <w:t>x 1646–1687</w:t>
              <w:br/>
              <w:t>y 77–87</w:t>
            </w:r>
          </w:p>
        </w:tc>
        <w:tc>
          <w:tcPr>
            <w:tcW w:type="dxa" w:w="3402"/>
          </w:tcPr>
          <w:p>
            <w:pPr>
              <w:spacing w:after="40"/>
            </w:pPr>
            <w:r>
              <w:rPr>
                <w:sz w:val="18"/>
              </w:rPr>
              <w:t>oben, rechts</w:t>
              <w:br/>
              <w:t>x 87.3–89.5 %</w:t>
              <w:br/>
              <w:t>y 8.9–10.0 %</w:t>
            </w:r>
          </w:p>
        </w:tc>
      </w:tr>
      <w:tr>
        <w:trPr>
          <w:cantSplit/>
        </w:trPr>
        <w:tc>
          <w:tcPr>
            <w:tcW w:type="dxa" w:w="3288"/>
          </w:tcPr>
          <w:p>
            <w:pPr>
              <w:spacing w:after="40"/>
            </w:pPr>
            <w:r>
              <w:rPr>
                <w:sz w:val="18"/>
              </w:rPr>
              <w:t>Elastic Compute Nodes</w:t>
            </w:r>
          </w:p>
        </w:tc>
        <w:tc>
          <w:tcPr>
            <w:tcW w:type="dxa" w:w="3005"/>
          </w:tcPr>
          <w:p>
            <w:pPr>
              <w:spacing w:after="40"/>
            </w:pPr>
            <w:r>
              <w:rPr>
                <w:sz w:val="18"/>
              </w:rPr>
              <w:t>x 19–162</w:t>
              <w:br/>
              <w:t>y 96–109</w:t>
            </w:r>
          </w:p>
        </w:tc>
        <w:tc>
          <w:tcPr>
            <w:tcW w:type="dxa" w:w="3402"/>
          </w:tcPr>
          <w:p>
            <w:pPr>
              <w:spacing w:after="40"/>
            </w:pPr>
            <w:r>
              <w:rPr>
                <w:sz w:val="18"/>
              </w:rPr>
              <w:t>oben, links</w:t>
              <w:br/>
              <w:t>x 1.0–8.6 %</w:t>
              <w:br/>
              <w:t>y 11.1–12.6 %</w:t>
            </w:r>
          </w:p>
        </w:tc>
      </w:tr>
      <w:tr>
        <w:trPr>
          <w:cantSplit/>
        </w:trPr>
        <w:tc>
          <w:tcPr>
            <w:tcW w:type="dxa" w:w="3288"/>
          </w:tcPr>
          <w:p>
            <w:pPr>
              <w:spacing w:after="40"/>
            </w:pPr>
            <w:r>
              <w:rPr>
                <w:sz w:val="18"/>
              </w:rPr>
              <w:t>Object Type</w:t>
            </w:r>
          </w:p>
        </w:tc>
        <w:tc>
          <w:tcPr>
            <w:tcW w:type="dxa" w:w="3005"/>
          </w:tcPr>
          <w:p>
            <w:pPr>
              <w:spacing w:after="40"/>
            </w:pPr>
            <w:r>
              <w:rPr>
                <w:sz w:val="18"/>
              </w:rPr>
              <w:t>x 292–365</w:t>
              <w:br/>
              <w:t>y 109–122</w:t>
            </w:r>
          </w:p>
        </w:tc>
        <w:tc>
          <w:tcPr>
            <w:tcW w:type="dxa" w:w="3402"/>
          </w:tcPr>
          <w:p>
            <w:pPr>
              <w:spacing w:after="40"/>
            </w:pPr>
            <w:r>
              <w:rPr>
                <w:sz w:val="18"/>
              </w:rPr>
              <w:t>oben, links</w:t>
              <w:br/>
              <w:t>x 15.5–19.4 %</w:t>
              <w:br/>
              <w:t>y 12.6–14.1 %</w:t>
            </w:r>
          </w:p>
        </w:tc>
      </w:tr>
      <w:tr>
        <w:trPr>
          <w:cantSplit/>
        </w:trPr>
        <w:tc>
          <w:tcPr>
            <w:tcW w:type="dxa" w:w="3288"/>
          </w:tcPr>
          <w:p>
            <w:pPr>
              <w:spacing w:after="40"/>
            </w:pPr>
            <w:r>
              <w:rPr>
                <w:sz w:val="18"/>
              </w:rPr>
              <w:t>File Name</w:t>
            </w:r>
          </w:p>
        </w:tc>
        <w:tc>
          <w:tcPr>
            <w:tcW w:type="dxa" w:w="3005"/>
          </w:tcPr>
          <w:p>
            <w:pPr>
              <w:spacing w:after="40"/>
            </w:pPr>
            <w:r>
              <w:rPr>
                <w:sz w:val="18"/>
              </w:rPr>
              <w:t>x 500–560</w:t>
              <w:br/>
              <w:t>y 109–119</w:t>
            </w:r>
          </w:p>
        </w:tc>
        <w:tc>
          <w:tcPr>
            <w:tcW w:type="dxa" w:w="3402"/>
          </w:tcPr>
          <w:p>
            <w:pPr>
              <w:spacing w:after="40"/>
            </w:pPr>
            <w:r>
              <w:rPr>
                <w:sz w:val="18"/>
              </w:rPr>
              <w:t>oben, links</w:t>
              <w:br/>
              <w:t>x 26.5–29.7 %</w:t>
              <w:br/>
              <w:t>y 12.6–13.7 %</w:t>
            </w:r>
          </w:p>
        </w:tc>
      </w:tr>
      <w:tr>
        <w:trPr>
          <w:cantSplit/>
        </w:trPr>
        <w:tc>
          <w:tcPr>
            <w:tcW w:type="dxa" w:w="3288"/>
          </w:tcPr>
          <w:p>
            <w:pPr>
              <w:spacing w:after="40"/>
            </w:pPr>
            <w:r>
              <w:rPr>
                <w:sz w:val="18"/>
              </w:rPr>
              <w:t>Object Name</w:t>
            </w:r>
          </w:p>
        </w:tc>
        <w:tc>
          <w:tcPr>
            <w:tcW w:type="dxa" w:w="3005"/>
          </w:tcPr>
          <w:p>
            <w:pPr>
              <w:spacing w:after="40"/>
            </w:pPr>
            <w:r>
              <w:rPr>
                <w:sz w:val="18"/>
              </w:rPr>
              <w:t>x 695–774</w:t>
              <w:br/>
              <w:t>y 109–122</w:t>
            </w:r>
          </w:p>
        </w:tc>
        <w:tc>
          <w:tcPr>
            <w:tcW w:type="dxa" w:w="3402"/>
          </w:tcPr>
          <w:p>
            <w:pPr>
              <w:spacing w:after="40"/>
            </w:pPr>
            <w:r>
              <w:rPr>
                <w:sz w:val="18"/>
              </w:rPr>
              <w:t>oben, mittig</w:t>
              <w:br/>
              <w:t>x 36.9–41.1 %</w:t>
              <w:br/>
              <w:t>y 12.6–14.1 %</w:t>
            </w:r>
          </w:p>
        </w:tc>
      </w:tr>
      <w:tr>
        <w:trPr>
          <w:cantSplit/>
        </w:trPr>
        <w:tc>
          <w:tcPr>
            <w:tcW w:type="dxa" w:w="3288"/>
          </w:tcPr>
          <w:p>
            <w:pPr>
              <w:spacing w:after="40"/>
            </w:pPr>
            <w:r>
              <w:rPr>
                <w:sz w:val="18"/>
              </w:rPr>
              <w:t>Description</w:t>
            </w:r>
          </w:p>
        </w:tc>
        <w:tc>
          <w:tcPr>
            <w:tcW w:type="dxa" w:w="3005"/>
          </w:tcPr>
          <w:p>
            <w:pPr>
              <w:spacing w:after="40"/>
            </w:pPr>
            <w:r>
              <w:rPr>
                <w:sz w:val="18"/>
              </w:rPr>
              <w:t>x 906–974</w:t>
              <w:br/>
              <w:t>y 109–122</w:t>
            </w:r>
          </w:p>
        </w:tc>
        <w:tc>
          <w:tcPr>
            <w:tcW w:type="dxa" w:w="3402"/>
          </w:tcPr>
          <w:p>
            <w:pPr>
              <w:spacing w:after="40"/>
            </w:pPr>
            <w:r>
              <w:rPr>
                <w:sz w:val="18"/>
              </w:rPr>
              <w:t>oben, mittig</w:t>
              <w:br/>
              <w:t>x 48.1–51.7 %</w:t>
              <w:br/>
              <w:t>y 12.6–14.1 %</w:t>
            </w:r>
          </w:p>
        </w:tc>
      </w:tr>
      <w:tr>
        <w:trPr>
          <w:cantSplit/>
        </w:trPr>
        <w:tc>
          <w:tcPr>
            <w:tcW w:type="dxa" w:w="3288"/>
          </w:tcPr>
          <w:p>
            <w:pPr>
              <w:spacing w:after="40"/>
            </w:pPr>
            <w:r>
              <w:rPr>
                <w:sz w:val="18"/>
              </w:rPr>
              <w:t>User Name</w:t>
            </w:r>
          </w:p>
        </w:tc>
        <w:tc>
          <w:tcPr>
            <w:tcW w:type="dxa" w:w="3005"/>
          </w:tcPr>
          <w:p>
            <w:pPr>
              <w:spacing w:after="40"/>
            </w:pPr>
            <w:r>
              <w:rPr>
                <w:sz w:val="18"/>
              </w:rPr>
              <w:t>x 1110–1178</w:t>
              <w:br/>
              <w:t>y 109–119</w:t>
            </w:r>
          </w:p>
        </w:tc>
        <w:tc>
          <w:tcPr>
            <w:tcW w:type="dxa" w:w="3402"/>
          </w:tcPr>
          <w:p>
            <w:pPr>
              <w:spacing w:after="40"/>
            </w:pPr>
            <w:r>
              <w:rPr>
                <w:sz w:val="18"/>
              </w:rPr>
              <w:t>oben, mittig</w:t>
              <w:br/>
              <w:t>x 58.9–62.5 %</w:t>
              <w:br/>
              <w:t>y 12.6–13.7 %</w:t>
            </w:r>
          </w:p>
        </w:tc>
      </w:tr>
      <w:tr>
        <w:trPr>
          <w:cantSplit/>
        </w:trPr>
        <w:tc>
          <w:tcPr>
            <w:tcW w:type="dxa" w:w="3288"/>
          </w:tcPr>
          <w:p>
            <w:pPr>
              <w:spacing w:after="40"/>
            </w:pPr>
            <w:r>
              <w:rPr>
                <w:sz w:val="18"/>
              </w:rPr>
              <w:t>Activity</w:t>
            </w:r>
          </w:p>
        </w:tc>
        <w:tc>
          <w:tcPr>
            <w:tcW w:type="dxa" w:w="3005"/>
          </w:tcPr>
          <w:p>
            <w:pPr>
              <w:spacing w:after="40"/>
            </w:pPr>
            <w:r>
              <w:rPr>
                <w:sz w:val="18"/>
              </w:rPr>
              <w:t>x 1327–1371</w:t>
              <w:br/>
              <w:t>y 109–122</w:t>
            </w:r>
          </w:p>
        </w:tc>
        <w:tc>
          <w:tcPr>
            <w:tcW w:type="dxa" w:w="3402"/>
          </w:tcPr>
          <w:p>
            <w:pPr>
              <w:spacing w:after="40"/>
            </w:pPr>
            <w:r>
              <w:rPr>
                <w:sz w:val="18"/>
              </w:rPr>
              <w:t>oben, rechts</w:t>
              <w:br/>
              <w:t>x 70.4–72.8 %</w:t>
              <w:br/>
              <w:t>y 12.6–14.1 %</w:t>
            </w:r>
          </w:p>
        </w:tc>
      </w:tr>
      <w:tr>
        <w:trPr>
          <w:cantSplit/>
        </w:trPr>
        <w:tc>
          <w:tcPr>
            <w:tcW w:type="dxa" w:w="3288"/>
          </w:tcPr>
          <w:p>
            <w:pPr>
              <w:spacing w:after="40"/>
            </w:pPr>
            <w:r>
              <w:rPr>
                <w:sz w:val="18"/>
              </w:rPr>
              <w:t>Status</w:t>
            </w:r>
          </w:p>
        </w:tc>
        <w:tc>
          <w:tcPr>
            <w:tcW w:type="dxa" w:w="3005"/>
          </w:tcPr>
          <w:p>
            <w:pPr>
              <w:spacing w:after="40"/>
            </w:pPr>
            <w:r>
              <w:rPr>
                <w:sz w:val="18"/>
              </w:rPr>
              <w:t>x 1535–1573</w:t>
              <w:br/>
              <w:t>y 109–119</w:t>
            </w:r>
          </w:p>
        </w:tc>
        <w:tc>
          <w:tcPr>
            <w:tcW w:type="dxa" w:w="3402"/>
          </w:tcPr>
          <w:p>
            <w:pPr>
              <w:spacing w:after="40"/>
            </w:pPr>
            <w:r>
              <w:rPr>
                <w:sz w:val="18"/>
              </w:rPr>
              <w:t>oben, rechts</w:t>
              <w:br/>
              <w:t>x 81.5–83.5 %</w:t>
              <w:br/>
              <w:t>y 12.6–13.7 %</w:t>
            </w:r>
          </w:p>
        </w:tc>
      </w:tr>
      <w:tr>
        <w:trPr>
          <w:cantSplit/>
        </w:trPr>
        <w:tc>
          <w:tcPr>
            <w:tcW w:type="dxa" w:w="3288"/>
          </w:tcPr>
          <w:p>
            <w:pPr>
              <w:spacing w:after="40"/>
            </w:pPr>
            <w:r>
              <w:rPr>
                <w:sz w:val="18"/>
              </w:rPr>
              <w:t>Timestamp</w:t>
            </w:r>
          </w:p>
        </w:tc>
        <w:tc>
          <w:tcPr>
            <w:tcW w:type="dxa" w:w="3005"/>
          </w:tcPr>
          <w:p>
            <w:pPr>
              <w:spacing w:after="40"/>
            </w:pPr>
            <w:r>
              <w:rPr>
                <w:sz w:val="18"/>
              </w:rPr>
              <w:t>x 1725–1792</w:t>
              <w:br/>
              <w:t>y 109–122</w:t>
            </w:r>
          </w:p>
        </w:tc>
        <w:tc>
          <w:tcPr>
            <w:tcW w:type="dxa" w:w="3402"/>
          </w:tcPr>
          <w:p>
            <w:pPr>
              <w:spacing w:after="40"/>
            </w:pPr>
            <w:r>
              <w:rPr>
                <w:sz w:val="18"/>
              </w:rPr>
              <w:t>oben, rechts</w:t>
              <w:br/>
              <w:t>x 91.6–95.1 %</w:t>
              <w:br/>
              <w:t>y 12.6–14.1 %</w:t>
            </w:r>
          </w:p>
        </w:tc>
      </w:tr>
      <w:tr>
        <w:trPr>
          <w:cantSplit/>
        </w:trPr>
        <w:tc>
          <w:tcPr>
            <w:tcW w:type="dxa" w:w="3288"/>
          </w:tcPr>
          <w:p>
            <w:pPr>
              <w:spacing w:after="40"/>
            </w:pPr>
            <w:r>
              <w:rPr>
                <w:sz w:val="18"/>
              </w:rPr>
              <w:t>Data Integration</w:t>
            </w:r>
          </w:p>
        </w:tc>
        <w:tc>
          <w:tcPr>
            <w:tcW w:type="dxa" w:w="3005"/>
          </w:tcPr>
          <w:p>
            <w:pPr>
              <w:spacing w:after="40"/>
            </w:pPr>
            <w:r>
              <w:rPr>
                <w:sz w:val="18"/>
              </w:rPr>
              <w:t>x 19–116</w:t>
              <w:br/>
              <w:t>y 132–145</w:t>
            </w:r>
          </w:p>
        </w:tc>
        <w:tc>
          <w:tcPr>
            <w:tcW w:type="dxa" w:w="3402"/>
          </w:tcPr>
          <w:p>
            <w:pPr>
              <w:spacing w:after="40"/>
            </w:pPr>
            <w:r>
              <w:rPr>
                <w:sz w:val="18"/>
              </w:rPr>
              <w:t>oben, links</w:t>
              <w:br/>
              <w:t>x 1.0–6.2 %</w:t>
              <w:br/>
              <w:t>y 15.2–16.7 %</w:t>
            </w:r>
          </w:p>
        </w:tc>
      </w:tr>
      <w:tr>
        <w:trPr>
          <w:cantSplit/>
        </w:trPr>
        <w:tc>
          <w:tcPr>
            <w:tcW w:type="dxa" w:w="3288"/>
          </w:tcPr>
          <w:p>
            <w:pPr>
              <w:spacing w:after="40"/>
            </w:pPr>
            <w:r>
              <w:rPr>
                <w:sz w:val="18"/>
              </w:rPr>
              <w:t>Login</w:t>
            </w:r>
          </w:p>
        </w:tc>
        <w:tc>
          <w:tcPr>
            <w:tcW w:type="dxa" w:w="3005"/>
          </w:tcPr>
          <w:p>
            <w:pPr>
              <w:spacing w:after="40"/>
            </w:pPr>
            <w:r>
              <w:rPr>
                <w:sz w:val="18"/>
              </w:rPr>
              <w:t>x 1259–1291</w:t>
              <w:br/>
              <w:t>y 144–157</w:t>
            </w:r>
          </w:p>
        </w:tc>
        <w:tc>
          <w:tcPr>
            <w:tcW w:type="dxa" w:w="3402"/>
          </w:tcPr>
          <w:p>
            <w:pPr>
              <w:spacing w:after="40"/>
            </w:pPr>
            <w:r>
              <w:rPr>
                <w:sz w:val="18"/>
              </w:rPr>
              <w:t>oben, rechts</w:t>
              <w:br/>
              <w:t>x 66.8–68.5 %</w:t>
              <w:br/>
              <w:t>y 16.6–18.1 %</w:t>
            </w:r>
          </w:p>
        </w:tc>
      </w:tr>
      <w:tr>
        <w:trPr>
          <w:cantSplit/>
        </w:trPr>
        <w:tc>
          <w:tcPr>
            <w:tcW w:type="dxa" w:w="3288"/>
          </w:tcPr>
          <w:p>
            <w:pPr>
              <w:spacing w:after="40"/>
            </w:pPr>
            <w:r>
              <w:rPr>
                <w:sz w:val="18"/>
              </w:rPr>
              <w:t>Success</w:t>
            </w:r>
          </w:p>
        </w:tc>
        <w:tc>
          <w:tcPr>
            <w:tcW w:type="dxa" w:w="3005"/>
          </w:tcPr>
          <w:p>
            <w:pPr>
              <w:spacing w:after="40"/>
            </w:pPr>
            <w:r>
              <w:rPr>
                <w:sz w:val="18"/>
              </w:rPr>
              <w:t>x 1464–1514</w:t>
              <w:br/>
              <w:t>y 144–154</w:t>
            </w:r>
          </w:p>
        </w:tc>
        <w:tc>
          <w:tcPr>
            <w:tcW w:type="dxa" w:w="3402"/>
          </w:tcPr>
          <w:p>
            <w:pPr>
              <w:spacing w:after="40"/>
            </w:pPr>
            <w:r>
              <w:rPr>
                <w:sz w:val="18"/>
              </w:rPr>
              <w:t>oben, rechts</w:t>
              <w:br/>
              <w:t>x 77.7–80.4 %</w:t>
              <w:br/>
              <w:t>y 16.6–17.7 %</w:t>
            </w:r>
          </w:p>
        </w:tc>
      </w:tr>
      <w:tr>
        <w:trPr>
          <w:cantSplit/>
        </w:trPr>
        <w:tc>
          <w:tcPr>
            <w:tcW w:type="dxa" w:w="3288"/>
          </w:tcPr>
          <w:p>
            <w:pPr>
              <w:spacing w:after="40"/>
            </w:pPr>
            <w:r>
              <w:rPr>
                <w:sz w:val="18"/>
              </w:rPr>
              <w:t>Update</w:t>
            </w:r>
          </w:p>
        </w:tc>
        <w:tc>
          <w:tcPr>
            <w:tcW w:type="dxa" w:w="3005"/>
          </w:tcPr>
          <w:p>
            <w:pPr>
              <w:spacing w:after="40"/>
            </w:pPr>
            <w:r>
              <w:rPr>
                <w:sz w:val="18"/>
              </w:rPr>
              <w:t>x 1260–1303</w:t>
              <w:br/>
              <w:t>y 176–189</w:t>
            </w:r>
          </w:p>
        </w:tc>
        <w:tc>
          <w:tcPr>
            <w:tcW w:type="dxa" w:w="3402"/>
          </w:tcPr>
          <w:p>
            <w:pPr>
              <w:spacing w:after="40"/>
            </w:pPr>
            <w:r>
              <w:rPr>
                <w:sz w:val="18"/>
              </w:rPr>
              <w:t>oben, rechts</w:t>
              <w:br/>
              <w:t>x 66.9–69.2 %</w:t>
              <w:br/>
              <w:t>y 20.3–21.8 %</w:t>
            </w:r>
          </w:p>
        </w:tc>
      </w:tr>
      <w:tr>
        <w:trPr>
          <w:cantSplit/>
        </w:trPr>
        <w:tc>
          <w:tcPr>
            <w:tcW w:type="dxa" w:w="3288"/>
          </w:tcPr>
          <w:p>
            <w:pPr>
              <w:spacing w:after="40"/>
            </w:pPr>
            <w:r>
              <w:rPr>
                <w:sz w:val="18"/>
              </w:rPr>
              <w:t>Success</w:t>
            </w:r>
          </w:p>
        </w:tc>
        <w:tc>
          <w:tcPr>
            <w:tcW w:type="dxa" w:w="3005"/>
          </w:tcPr>
          <w:p>
            <w:pPr>
              <w:spacing w:after="40"/>
            </w:pPr>
            <w:r>
              <w:rPr>
                <w:sz w:val="18"/>
              </w:rPr>
              <w:t>x 1464–1514</w:t>
              <w:br/>
              <w:t>y 177–187</w:t>
            </w:r>
          </w:p>
        </w:tc>
        <w:tc>
          <w:tcPr>
            <w:tcW w:type="dxa" w:w="3402"/>
          </w:tcPr>
          <w:p>
            <w:pPr>
              <w:spacing w:after="40"/>
            </w:pPr>
            <w:r>
              <w:rPr>
                <w:sz w:val="18"/>
              </w:rPr>
              <w:t>oben, rechts</w:t>
              <w:br/>
              <w:t>x 77.7–80.4 %</w:t>
              <w:br/>
              <w:t>y 20.4–21.5 %</w:t>
            </w:r>
          </w:p>
        </w:tc>
      </w:tr>
      <w:tr>
        <w:trPr>
          <w:cantSplit/>
        </w:trPr>
        <w:tc>
          <w:tcPr>
            <w:tcW w:type="dxa" w:w="3288"/>
          </w:tcPr>
          <w:p>
            <w:pPr>
              <w:spacing w:after="40"/>
            </w:pPr>
            <w:r>
              <w:rPr>
                <w:sz w:val="18"/>
              </w:rPr>
              <w:t>Update</w:t>
            </w:r>
          </w:p>
        </w:tc>
        <w:tc>
          <w:tcPr>
            <w:tcW w:type="dxa" w:w="3005"/>
          </w:tcPr>
          <w:p>
            <w:pPr>
              <w:spacing w:after="40"/>
            </w:pPr>
            <w:r>
              <w:rPr>
                <w:sz w:val="18"/>
              </w:rPr>
              <w:t>x 1260–1303</w:t>
              <w:br/>
              <w:t>y 209–222</w:t>
            </w:r>
          </w:p>
        </w:tc>
        <w:tc>
          <w:tcPr>
            <w:tcW w:type="dxa" w:w="3402"/>
          </w:tcPr>
          <w:p>
            <w:pPr>
              <w:spacing w:after="40"/>
            </w:pPr>
            <w:r>
              <w:rPr>
                <w:sz w:val="18"/>
              </w:rPr>
              <w:t>oben, rechts</w:t>
              <w:br/>
              <w:t>x 66.9–69.2 %</w:t>
              <w:br/>
              <w:t>y 24.1–25.6 %</w:t>
            </w:r>
          </w:p>
        </w:tc>
      </w:tr>
      <w:tr>
        <w:trPr>
          <w:cantSplit/>
        </w:trPr>
        <w:tc>
          <w:tcPr>
            <w:tcW w:type="dxa" w:w="3288"/>
          </w:tcPr>
          <w:p>
            <w:pPr>
              <w:spacing w:after="40"/>
            </w:pPr>
            <w:r>
              <w:rPr>
                <w:sz w:val="18"/>
              </w:rPr>
              <w:t>Search</w:t>
            </w:r>
          </w:p>
        </w:tc>
        <w:tc>
          <w:tcPr>
            <w:tcW w:type="dxa" w:w="3005"/>
          </w:tcPr>
          <w:p>
            <w:pPr>
              <w:spacing w:after="40"/>
            </w:pPr>
            <w:r>
              <w:rPr>
                <w:sz w:val="18"/>
              </w:rPr>
              <w:t>x 19–60</w:t>
              <w:br/>
              <w:t>y 220–230</w:t>
            </w:r>
          </w:p>
        </w:tc>
        <w:tc>
          <w:tcPr>
            <w:tcW w:type="dxa" w:w="3402"/>
          </w:tcPr>
          <w:p>
            <w:pPr>
              <w:spacing w:after="40"/>
            </w:pPr>
            <w:r>
              <w:rPr>
                <w:sz w:val="18"/>
              </w:rPr>
              <w:t>oben, links</w:t>
              <w:br/>
              <w:t>x 1.0–3.2 %</w:t>
              <w:br/>
              <w:t>y 25.3–26.5 %</w:t>
            </w:r>
          </w:p>
        </w:tc>
      </w:tr>
      <w:tr>
        <w:trPr>
          <w:cantSplit/>
        </w:trPr>
        <w:tc>
          <w:tcPr>
            <w:tcW w:type="dxa" w:w="3288"/>
          </w:tcPr>
          <w:p>
            <w:pPr>
              <w:spacing w:after="40"/>
            </w:pPr>
            <w:r>
              <w:rPr>
                <w:sz w:val="18"/>
              </w:rPr>
              <w:t>Success</w:t>
            </w:r>
          </w:p>
        </w:tc>
        <w:tc>
          <w:tcPr>
            <w:tcW w:type="dxa" w:w="3005"/>
          </w:tcPr>
          <w:p>
            <w:pPr>
              <w:spacing w:after="40"/>
            </w:pPr>
            <w:r>
              <w:rPr>
                <w:sz w:val="18"/>
              </w:rPr>
              <w:t>x 1464–1514</w:t>
              <w:br/>
              <w:t>y 210–220</w:t>
            </w:r>
          </w:p>
        </w:tc>
        <w:tc>
          <w:tcPr>
            <w:tcW w:type="dxa" w:w="3402"/>
          </w:tcPr>
          <w:p>
            <w:pPr>
              <w:spacing w:after="40"/>
            </w:pPr>
            <w:r>
              <w:rPr>
                <w:sz w:val="18"/>
              </w:rPr>
              <w:t>oben, rechts</w:t>
              <w:br/>
              <w:t>x 77.7–80.4 %</w:t>
              <w:br/>
              <w:t>y 24.2–25.3 %</w:t>
            </w:r>
          </w:p>
        </w:tc>
      </w:tr>
      <w:tr>
        <w:trPr>
          <w:cantSplit/>
        </w:trPr>
        <w:tc>
          <w:tcPr>
            <w:tcW w:type="dxa" w:w="3288"/>
          </w:tcPr>
          <w:p>
            <w:pPr>
              <w:spacing w:after="40"/>
            </w:pPr>
            <w:r>
              <w:rPr>
                <w:sz w:val="18"/>
              </w:rPr>
              <w:t>Update</w:t>
            </w:r>
          </w:p>
        </w:tc>
        <w:tc>
          <w:tcPr>
            <w:tcW w:type="dxa" w:w="3005"/>
          </w:tcPr>
          <w:p>
            <w:pPr>
              <w:spacing w:after="40"/>
            </w:pPr>
            <w:r>
              <w:rPr>
                <w:sz w:val="18"/>
              </w:rPr>
              <w:t>x 1260–1303</w:t>
              <w:br/>
              <w:t>y 242–255</w:t>
            </w:r>
          </w:p>
        </w:tc>
        <w:tc>
          <w:tcPr>
            <w:tcW w:type="dxa" w:w="3402"/>
          </w:tcPr>
          <w:p>
            <w:pPr>
              <w:spacing w:after="40"/>
            </w:pPr>
            <w:r>
              <w:rPr>
                <w:sz w:val="18"/>
              </w:rPr>
              <w:t>oben, rechts</w:t>
              <w:br/>
              <w:t>x 66.9–69.2 %</w:t>
              <w:br/>
              <w:t>y 27.9–29.4 %</w:t>
            </w:r>
          </w:p>
        </w:tc>
      </w:tr>
      <w:tr>
        <w:trPr>
          <w:cantSplit/>
        </w:trPr>
        <w:tc>
          <w:tcPr>
            <w:tcW w:type="dxa" w:w="3288"/>
          </w:tcPr>
          <w:p>
            <w:pPr>
              <w:spacing w:after="40"/>
            </w:pPr>
            <w:r>
              <w:rPr>
                <w:sz w:val="18"/>
              </w:rPr>
              <w:t>Success</w:t>
            </w:r>
          </w:p>
        </w:tc>
        <w:tc>
          <w:tcPr>
            <w:tcW w:type="dxa" w:w="3005"/>
          </w:tcPr>
          <w:p>
            <w:pPr>
              <w:spacing w:after="40"/>
            </w:pPr>
            <w:r>
              <w:rPr>
                <w:sz w:val="18"/>
              </w:rPr>
              <w:t>x 1464–1514</w:t>
              <w:br/>
              <w:t>y 243–253</w:t>
            </w:r>
          </w:p>
        </w:tc>
        <w:tc>
          <w:tcPr>
            <w:tcW w:type="dxa" w:w="3402"/>
          </w:tcPr>
          <w:p>
            <w:pPr>
              <w:spacing w:after="40"/>
            </w:pPr>
            <w:r>
              <w:rPr>
                <w:sz w:val="18"/>
              </w:rPr>
              <w:t>oben, rechts</w:t>
              <w:br/>
              <w:t>x 77.7–80.4 %</w:t>
              <w:br/>
              <w:t>y 28.0–29.1 %</w:t>
            </w:r>
          </w:p>
        </w:tc>
      </w:tr>
      <w:tr>
        <w:trPr>
          <w:cantSplit/>
        </w:trPr>
        <w:tc>
          <w:tcPr>
            <w:tcW w:type="dxa" w:w="3288"/>
          </w:tcPr>
          <w:p>
            <w:pPr>
              <w:spacing w:after="40"/>
            </w:pPr>
            <w:r>
              <w:rPr>
                <w:sz w:val="18"/>
              </w:rPr>
              <w:t>Update</w:t>
            </w:r>
          </w:p>
        </w:tc>
        <w:tc>
          <w:tcPr>
            <w:tcW w:type="dxa" w:w="3005"/>
          </w:tcPr>
          <w:p>
            <w:pPr>
              <w:spacing w:after="40"/>
            </w:pPr>
            <w:r>
              <w:rPr>
                <w:sz w:val="18"/>
              </w:rPr>
              <w:t>x 1260–1303</w:t>
              <w:br/>
              <w:t>y 275–288</w:t>
            </w:r>
          </w:p>
        </w:tc>
        <w:tc>
          <w:tcPr>
            <w:tcW w:type="dxa" w:w="3402"/>
          </w:tcPr>
          <w:p>
            <w:pPr>
              <w:spacing w:after="40"/>
            </w:pPr>
            <w:r>
              <w:rPr>
                <w:sz w:val="18"/>
              </w:rPr>
              <w:t>oben, rechts</w:t>
              <w:br/>
              <w:t>x 66.9–69.2 %</w:t>
              <w:br/>
              <w:t>y 31.7–33.2 %</w:t>
            </w:r>
          </w:p>
        </w:tc>
      </w:tr>
      <w:tr>
        <w:trPr>
          <w:cantSplit/>
        </w:trPr>
        <w:tc>
          <w:tcPr>
            <w:tcW w:type="dxa" w:w="3288"/>
          </w:tcPr>
          <w:p>
            <w:pPr>
              <w:spacing w:after="40"/>
            </w:pPr>
            <w:r>
              <w:rPr>
                <w:sz w:val="18"/>
              </w:rPr>
              <w:t>Success</w:t>
            </w:r>
          </w:p>
        </w:tc>
        <w:tc>
          <w:tcPr>
            <w:tcW w:type="dxa" w:w="3005"/>
          </w:tcPr>
          <w:p>
            <w:pPr>
              <w:spacing w:after="40"/>
            </w:pPr>
            <w:r>
              <w:rPr>
                <w:sz w:val="18"/>
              </w:rPr>
              <w:t>x 1464–1514</w:t>
              <w:br/>
              <w:t>y 276–286</w:t>
            </w:r>
          </w:p>
        </w:tc>
        <w:tc>
          <w:tcPr>
            <w:tcW w:type="dxa" w:w="3402"/>
          </w:tcPr>
          <w:p>
            <w:pPr>
              <w:spacing w:after="40"/>
            </w:pPr>
            <w:r>
              <w:rPr>
                <w:sz w:val="18"/>
              </w:rPr>
              <w:t>oben, rechts</w:t>
              <w:br/>
              <w:t>x 77.7–80.4 %</w:t>
              <w:br/>
              <w:t>y 31.8–32.9 %</w:t>
            </w:r>
          </w:p>
        </w:tc>
      </w:tr>
      <w:tr>
        <w:trPr>
          <w:cantSplit/>
        </w:trPr>
        <w:tc>
          <w:tcPr>
            <w:tcW w:type="dxa" w:w="3288"/>
          </w:tcPr>
          <w:p>
            <w:pPr>
              <w:spacing w:after="40"/>
            </w:pPr>
            <w:r>
              <w:rPr>
                <w:sz w:val="18"/>
              </w:rPr>
              <w:t>Update</w:t>
            </w:r>
          </w:p>
        </w:tc>
        <w:tc>
          <w:tcPr>
            <w:tcW w:type="dxa" w:w="3005"/>
          </w:tcPr>
          <w:p>
            <w:pPr>
              <w:spacing w:after="40"/>
            </w:pPr>
            <w:r>
              <w:rPr>
                <w:sz w:val="18"/>
              </w:rPr>
              <w:t>x 1260–1303</w:t>
              <w:br/>
              <w:t>y 308–321</w:t>
            </w:r>
          </w:p>
        </w:tc>
        <w:tc>
          <w:tcPr>
            <w:tcW w:type="dxa" w:w="3402"/>
          </w:tcPr>
          <w:p>
            <w:pPr>
              <w:spacing w:after="40"/>
            </w:pPr>
            <w:r>
              <w:rPr>
                <w:sz w:val="18"/>
              </w:rPr>
              <w:t>auf mittlerer Höhe, rechts</w:t>
              <w:br/>
              <w:t>x 66.9–69.2 %</w:t>
              <w:br/>
              <w:t>y 35.5–37.0 %</w:t>
            </w:r>
          </w:p>
        </w:tc>
      </w:tr>
      <w:tr>
        <w:trPr>
          <w:cantSplit/>
        </w:trPr>
        <w:tc>
          <w:tcPr>
            <w:tcW w:type="dxa" w:w="3288"/>
          </w:tcPr>
          <w:p>
            <w:pPr>
              <w:spacing w:after="40"/>
            </w:pPr>
            <w:r>
              <w:rPr>
                <w:sz w:val="18"/>
              </w:rPr>
              <w:t>Success</w:t>
            </w:r>
          </w:p>
        </w:tc>
        <w:tc>
          <w:tcPr>
            <w:tcW w:type="dxa" w:w="3005"/>
          </w:tcPr>
          <w:p>
            <w:pPr>
              <w:spacing w:after="40"/>
            </w:pPr>
            <w:r>
              <w:rPr>
                <w:sz w:val="18"/>
              </w:rPr>
              <w:t>x 1464–1514</w:t>
              <w:br/>
              <w:t>y 309–319</w:t>
            </w:r>
          </w:p>
        </w:tc>
        <w:tc>
          <w:tcPr>
            <w:tcW w:type="dxa" w:w="3402"/>
          </w:tcPr>
          <w:p>
            <w:pPr>
              <w:spacing w:after="40"/>
            </w:pPr>
            <w:r>
              <w:rPr>
                <w:sz w:val="18"/>
              </w:rPr>
              <w:t>auf mittlerer Höhe, rechts</w:t>
              <w:br/>
              <w:t>x 77.7–80.4 %</w:t>
              <w:br/>
              <w:t>y 35.6–36.8 %</w:t>
            </w:r>
          </w:p>
        </w:tc>
      </w:tr>
      <w:tr>
        <w:trPr>
          <w:cantSplit/>
        </w:trPr>
        <w:tc>
          <w:tcPr>
            <w:tcW w:type="dxa" w:w="3288"/>
          </w:tcPr>
          <w:p>
            <w:pPr>
              <w:spacing w:after="40"/>
            </w:pPr>
            <w:r>
              <w:rPr>
                <w:sz w:val="18"/>
              </w:rPr>
              <w:t>Semantic Onboarding</w:t>
            </w:r>
          </w:p>
        </w:tc>
        <w:tc>
          <w:tcPr>
            <w:tcW w:type="dxa" w:w="3005"/>
          </w:tcPr>
          <w:p>
            <w:pPr>
              <w:spacing w:after="40"/>
            </w:pPr>
            <w:r>
              <w:rPr>
                <w:sz w:val="18"/>
              </w:rPr>
              <w:t>x 18–152</w:t>
              <w:br/>
              <w:t>y 338–351</w:t>
            </w:r>
          </w:p>
        </w:tc>
        <w:tc>
          <w:tcPr>
            <w:tcW w:type="dxa" w:w="3402"/>
          </w:tcPr>
          <w:p>
            <w:pPr>
              <w:spacing w:after="40"/>
            </w:pPr>
            <w:r>
              <w:rPr>
                <w:sz w:val="18"/>
              </w:rPr>
              <w:t>auf mittlerer Höhe, links</w:t>
              <w:br/>
              <w:t>x 1.0–8.1 %</w:t>
              <w:br/>
              <w:t>y 38.9–40.4 %</w:t>
            </w:r>
          </w:p>
        </w:tc>
      </w:tr>
      <w:tr>
        <w:trPr>
          <w:cantSplit/>
        </w:trPr>
        <w:tc>
          <w:tcPr>
            <w:tcW w:type="dxa" w:w="3288"/>
          </w:tcPr>
          <w:p>
            <w:pPr>
              <w:spacing w:after="40"/>
            </w:pPr>
            <w:r>
              <w:rPr>
                <w:sz w:val="18"/>
              </w:rPr>
              <w:t>System</w:t>
            </w:r>
          </w:p>
        </w:tc>
        <w:tc>
          <w:tcPr>
            <w:tcW w:type="dxa" w:w="3005"/>
          </w:tcPr>
          <w:p>
            <w:pPr>
              <w:spacing w:after="40"/>
            </w:pPr>
            <w:r>
              <w:rPr>
                <w:sz w:val="18"/>
              </w:rPr>
              <w:t>x 243–287</w:t>
              <w:br/>
              <w:t>y 342–355</w:t>
            </w:r>
          </w:p>
        </w:tc>
        <w:tc>
          <w:tcPr>
            <w:tcW w:type="dxa" w:w="3402"/>
          </w:tcPr>
          <w:p>
            <w:pPr>
              <w:spacing w:after="40"/>
            </w:pPr>
            <w:r>
              <w:rPr>
                <w:sz w:val="18"/>
              </w:rPr>
              <w:t>auf mittlerer Höhe, links</w:t>
              <w:br/>
              <w:t>x 12.9–15.2 %</w:t>
              <w:br/>
              <w:t>y 39.4–40.9 %</w:t>
            </w:r>
          </w:p>
        </w:tc>
      </w:tr>
      <w:tr>
        <w:trPr>
          <w:cantSplit/>
        </w:trPr>
        <w:tc>
          <w:tcPr>
            <w:tcW w:type="dxa" w:w="3288"/>
          </w:tcPr>
          <w:p>
            <w:pPr>
              <w:spacing w:after="40"/>
            </w:pPr>
            <w:r>
              <w:rPr>
                <w:sz w:val="18"/>
              </w:rPr>
              <w:t>Information</w:t>
            </w:r>
          </w:p>
        </w:tc>
        <w:tc>
          <w:tcPr>
            <w:tcW w:type="dxa" w:w="3005"/>
          </w:tcPr>
          <w:p>
            <w:pPr>
              <w:spacing w:after="40"/>
            </w:pPr>
            <w:r>
              <w:rPr>
                <w:sz w:val="18"/>
              </w:rPr>
              <w:t>x 292–361</w:t>
              <w:br/>
              <w:t>y 342–352</w:t>
            </w:r>
          </w:p>
        </w:tc>
        <w:tc>
          <w:tcPr>
            <w:tcW w:type="dxa" w:w="3402"/>
          </w:tcPr>
          <w:p>
            <w:pPr>
              <w:spacing w:after="40"/>
            </w:pPr>
            <w:r>
              <w:rPr>
                <w:sz w:val="18"/>
              </w:rPr>
              <w:t>auf mittlerer Höhe, links</w:t>
              <w:br/>
              <w:t>x 15.5–19.2 %</w:t>
              <w:br/>
              <w:t>y 39.4–40.6 %</w:t>
            </w:r>
          </w:p>
        </w:tc>
      </w:tr>
      <w:tr>
        <w:trPr>
          <w:cantSplit/>
        </w:trPr>
        <w:tc>
          <w:tcPr>
            <w:tcW w:type="dxa" w:w="3288"/>
          </w:tcPr>
          <w:p>
            <w:pPr>
              <w:spacing w:after="40"/>
            </w:pPr>
            <w:r>
              <w:rPr>
                <w:sz w:val="18"/>
              </w:rPr>
              <w:t>Read</w:t>
            </w:r>
          </w:p>
        </w:tc>
        <w:tc>
          <w:tcPr>
            <w:tcW w:type="dxa" w:w="3005"/>
          </w:tcPr>
          <w:p>
            <w:pPr>
              <w:spacing w:after="40"/>
            </w:pPr>
            <w:r>
              <w:rPr>
                <w:sz w:val="18"/>
              </w:rPr>
              <w:t>x 1259–1290</w:t>
              <w:br/>
              <w:t>y 342–352</w:t>
            </w:r>
          </w:p>
        </w:tc>
        <w:tc>
          <w:tcPr>
            <w:tcW w:type="dxa" w:w="3402"/>
          </w:tcPr>
          <w:p>
            <w:pPr>
              <w:spacing w:after="40"/>
            </w:pPr>
            <w:r>
              <w:rPr>
                <w:sz w:val="18"/>
              </w:rPr>
              <w:t>auf mittlerer Höhe, rechts</w:t>
              <w:br/>
              <w:t>x 66.8–68.5 %</w:t>
              <w:br/>
              <w:t>y 39.4–40.6 %</w:t>
            </w:r>
          </w:p>
        </w:tc>
      </w:tr>
      <w:tr>
        <w:trPr>
          <w:cantSplit/>
        </w:trPr>
        <w:tc>
          <w:tcPr>
            <w:tcW w:type="dxa" w:w="3288"/>
          </w:tcPr>
          <w:p>
            <w:pPr>
              <w:spacing w:after="40"/>
            </w:pPr>
            <w:r>
              <w:rPr>
                <w:sz w:val="18"/>
              </w:rPr>
              <w:t>Success</w:t>
            </w:r>
          </w:p>
        </w:tc>
        <w:tc>
          <w:tcPr>
            <w:tcW w:type="dxa" w:w="3005"/>
          </w:tcPr>
          <w:p>
            <w:pPr>
              <w:spacing w:after="40"/>
            </w:pPr>
            <w:r>
              <w:rPr>
                <w:sz w:val="18"/>
              </w:rPr>
              <w:t>x 1464–1514</w:t>
              <w:br/>
              <w:t>y 342–352</w:t>
            </w:r>
          </w:p>
        </w:tc>
        <w:tc>
          <w:tcPr>
            <w:tcW w:type="dxa" w:w="3402"/>
          </w:tcPr>
          <w:p>
            <w:pPr>
              <w:spacing w:after="40"/>
            </w:pPr>
            <w:r>
              <w:rPr>
                <w:sz w:val="18"/>
              </w:rPr>
              <w:t>auf mittlerer Höhe, rechts</w:t>
              <w:br/>
              <w:t>x 77.7–80.4 %</w:t>
              <w:br/>
              <w:t>y 39.4–40.6 %</w:t>
            </w:r>
          </w:p>
        </w:tc>
      </w:tr>
      <w:tr>
        <w:trPr>
          <w:cantSplit/>
        </w:trPr>
        <w:tc>
          <w:tcPr>
            <w:tcW w:type="dxa" w:w="3288"/>
          </w:tcPr>
          <w:p>
            <w:pPr>
              <w:spacing w:after="40"/>
            </w:pPr>
            <w:r>
              <w:rPr>
                <w:sz w:val="18"/>
              </w:rPr>
              <w:t>Business Builder</w:t>
            </w:r>
          </w:p>
        </w:tc>
        <w:tc>
          <w:tcPr>
            <w:tcW w:type="dxa" w:w="3005"/>
          </w:tcPr>
          <w:p>
            <w:pPr>
              <w:spacing w:after="40"/>
            </w:pPr>
            <w:r>
              <w:rPr>
                <w:sz w:val="18"/>
              </w:rPr>
              <w:t>x 19–121</w:t>
              <w:br/>
              <w:t>y 374–384</w:t>
            </w:r>
          </w:p>
        </w:tc>
        <w:tc>
          <w:tcPr>
            <w:tcW w:type="dxa" w:w="3402"/>
          </w:tcPr>
          <w:p>
            <w:pPr>
              <w:spacing w:after="40"/>
            </w:pPr>
            <w:r>
              <w:rPr>
                <w:sz w:val="18"/>
              </w:rPr>
              <w:t>auf mittlerer Höhe, links</w:t>
              <w:br/>
              <w:t>x 1.0–6.4 %</w:t>
              <w:br/>
              <w:t>y 43.1–44.2 %</w:t>
            </w:r>
          </w:p>
        </w:tc>
      </w:tr>
      <w:tr>
        <w:trPr>
          <w:cantSplit/>
        </w:trPr>
        <w:tc>
          <w:tcPr>
            <w:tcW w:type="dxa" w:w="3288"/>
          </w:tcPr>
          <w:p>
            <w:pPr>
              <w:spacing w:after="40"/>
            </w:pPr>
            <w:r>
              <w:rPr>
                <w:sz w:val="18"/>
              </w:rPr>
              <w:t>Login</w:t>
            </w:r>
          </w:p>
        </w:tc>
        <w:tc>
          <w:tcPr>
            <w:tcW w:type="dxa" w:w="3005"/>
          </w:tcPr>
          <w:p>
            <w:pPr>
              <w:spacing w:after="40"/>
            </w:pPr>
            <w:r>
              <w:rPr>
                <w:sz w:val="18"/>
              </w:rPr>
              <w:t>x 1259–1291</w:t>
              <w:br/>
              <w:t>y 375–388</w:t>
            </w:r>
          </w:p>
        </w:tc>
        <w:tc>
          <w:tcPr>
            <w:tcW w:type="dxa" w:w="3402"/>
          </w:tcPr>
          <w:p>
            <w:pPr>
              <w:spacing w:after="40"/>
            </w:pPr>
            <w:r>
              <w:rPr>
                <w:sz w:val="18"/>
              </w:rPr>
              <w:t>auf mittlerer Höhe, rechts</w:t>
              <w:br/>
              <w:t>x 66.8–68.5 %</w:t>
              <w:br/>
              <w:t>y 43.2–44.7 %</w:t>
            </w:r>
          </w:p>
        </w:tc>
      </w:tr>
      <w:tr>
        <w:trPr>
          <w:cantSplit/>
        </w:trPr>
        <w:tc>
          <w:tcPr>
            <w:tcW w:type="dxa" w:w="3288"/>
          </w:tcPr>
          <w:p>
            <w:pPr>
              <w:spacing w:after="40"/>
            </w:pPr>
            <w:r>
              <w:rPr>
                <w:sz w:val="18"/>
              </w:rPr>
              <w:t>Success</w:t>
            </w:r>
          </w:p>
        </w:tc>
        <w:tc>
          <w:tcPr>
            <w:tcW w:type="dxa" w:w="3005"/>
          </w:tcPr>
          <w:p>
            <w:pPr>
              <w:spacing w:after="40"/>
            </w:pPr>
            <w:r>
              <w:rPr>
                <w:sz w:val="18"/>
              </w:rPr>
              <w:t>x 1464–1514</w:t>
              <w:br/>
              <w:t>y 375–385</w:t>
            </w:r>
          </w:p>
        </w:tc>
        <w:tc>
          <w:tcPr>
            <w:tcW w:type="dxa" w:w="3402"/>
          </w:tcPr>
          <w:p>
            <w:pPr>
              <w:spacing w:after="40"/>
            </w:pPr>
            <w:r>
              <w:rPr>
                <w:sz w:val="18"/>
              </w:rPr>
              <w:t>auf mittlerer Höhe, rechts</w:t>
              <w:br/>
              <w:t>x 77.7–80.4 %</w:t>
              <w:br/>
              <w:t>y 43.2–44.4 %</w:t>
            </w:r>
          </w:p>
        </w:tc>
      </w:tr>
      <w:tr>
        <w:trPr>
          <w:cantSplit/>
        </w:trPr>
        <w:tc>
          <w:tcPr>
            <w:tcW w:type="dxa" w:w="3288"/>
          </w:tcPr>
          <w:p>
            <w:pPr>
              <w:spacing w:after="40"/>
            </w:pPr>
            <w:r>
              <w:rPr>
                <w:sz w:val="18"/>
              </w:rPr>
              <w:t>Data Builder</w:t>
            </w:r>
          </w:p>
        </w:tc>
        <w:tc>
          <w:tcPr>
            <w:tcW w:type="dxa" w:w="3005"/>
          </w:tcPr>
          <w:p>
            <w:pPr>
              <w:spacing w:after="40"/>
            </w:pPr>
            <w:r>
              <w:rPr>
                <w:sz w:val="18"/>
              </w:rPr>
              <w:t>x 19–95</w:t>
              <w:br/>
              <w:t>y 410–420</w:t>
            </w:r>
          </w:p>
        </w:tc>
        <w:tc>
          <w:tcPr>
            <w:tcW w:type="dxa" w:w="3402"/>
          </w:tcPr>
          <w:p>
            <w:pPr>
              <w:spacing w:after="40"/>
            </w:pPr>
            <w:r>
              <w:rPr>
                <w:sz w:val="18"/>
              </w:rPr>
              <w:t>auf mittlerer Höhe, links</w:t>
              <w:br/>
              <w:t>x 1.0–5.0 %</w:t>
              <w:br/>
              <w:t>y 47.2–48.4 %</w:t>
            </w:r>
          </w:p>
        </w:tc>
      </w:tr>
      <w:tr>
        <w:trPr>
          <w:cantSplit/>
        </w:trPr>
        <w:tc>
          <w:tcPr>
            <w:tcW w:type="dxa" w:w="3288"/>
          </w:tcPr>
          <w:p>
            <w:pPr>
              <w:spacing w:after="40"/>
            </w:pPr>
            <w:r>
              <w:rPr>
                <w:sz w:val="18"/>
              </w:rPr>
              <w:t>System</w:t>
            </w:r>
          </w:p>
        </w:tc>
        <w:tc>
          <w:tcPr>
            <w:tcW w:type="dxa" w:w="3005"/>
          </w:tcPr>
          <w:p>
            <w:pPr>
              <w:spacing w:after="40"/>
            </w:pPr>
            <w:r>
              <w:rPr>
                <w:sz w:val="18"/>
              </w:rPr>
              <w:t>x 243–287</w:t>
              <w:br/>
              <w:t>y 408–421</w:t>
            </w:r>
          </w:p>
        </w:tc>
        <w:tc>
          <w:tcPr>
            <w:tcW w:type="dxa" w:w="3402"/>
          </w:tcPr>
          <w:p>
            <w:pPr>
              <w:spacing w:after="40"/>
            </w:pPr>
            <w:r>
              <w:rPr>
                <w:sz w:val="18"/>
              </w:rPr>
              <w:t>auf mittlerer Höhe, links</w:t>
              <w:br/>
              <w:t>x 12.9–15.2 %</w:t>
              <w:br/>
              <w:t>y 47.0–48.5 %</w:t>
            </w:r>
          </w:p>
        </w:tc>
      </w:tr>
      <w:tr>
        <w:trPr>
          <w:cantSplit/>
        </w:trPr>
        <w:tc>
          <w:tcPr>
            <w:tcW w:type="dxa" w:w="3288"/>
          </w:tcPr>
          <w:p>
            <w:pPr>
              <w:spacing w:after="40"/>
            </w:pPr>
            <w:r>
              <w:rPr>
                <w:sz w:val="18"/>
              </w:rPr>
              <w:t>Information</w:t>
            </w:r>
          </w:p>
        </w:tc>
        <w:tc>
          <w:tcPr>
            <w:tcW w:type="dxa" w:w="3005"/>
          </w:tcPr>
          <w:p>
            <w:pPr>
              <w:spacing w:after="40"/>
            </w:pPr>
            <w:r>
              <w:rPr>
                <w:sz w:val="18"/>
              </w:rPr>
              <w:t>x 292–361</w:t>
              <w:br/>
              <w:t>y 408–418</w:t>
            </w:r>
          </w:p>
        </w:tc>
        <w:tc>
          <w:tcPr>
            <w:tcW w:type="dxa" w:w="3402"/>
          </w:tcPr>
          <w:p>
            <w:pPr>
              <w:spacing w:after="40"/>
            </w:pPr>
            <w:r>
              <w:rPr>
                <w:sz w:val="18"/>
              </w:rPr>
              <w:t>auf mittlerer Höhe, links</w:t>
              <w:br/>
              <w:t>x 15.5–19.2 %</w:t>
              <w:br/>
              <w:t>y 47.0–48.2 %</w:t>
            </w:r>
          </w:p>
        </w:tc>
      </w:tr>
      <w:tr>
        <w:trPr>
          <w:cantSplit/>
        </w:trPr>
        <w:tc>
          <w:tcPr>
            <w:tcW w:type="dxa" w:w="3288"/>
          </w:tcPr>
          <w:p>
            <w:pPr>
              <w:spacing w:after="40"/>
            </w:pPr>
            <w:r>
              <w:rPr>
                <w:sz w:val="18"/>
              </w:rPr>
              <w:t>Read</w:t>
            </w:r>
          </w:p>
        </w:tc>
        <w:tc>
          <w:tcPr>
            <w:tcW w:type="dxa" w:w="3005"/>
          </w:tcPr>
          <w:p>
            <w:pPr>
              <w:spacing w:after="40"/>
            </w:pPr>
            <w:r>
              <w:rPr>
                <w:sz w:val="18"/>
              </w:rPr>
              <w:t>x 1259–1290</w:t>
              <w:br/>
              <w:t>y 408–418</w:t>
            </w:r>
          </w:p>
        </w:tc>
        <w:tc>
          <w:tcPr>
            <w:tcW w:type="dxa" w:w="3402"/>
          </w:tcPr>
          <w:p>
            <w:pPr>
              <w:spacing w:after="40"/>
            </w:pPr>
            <w:r>
              <w:rPr>
                <w:sz w:val="18"/>
              </w:rPr>
              <w:t>auf mittlerer Höhe, rechts</w:t>
              <w:br/>
              <w:t>x 66.8–68.5 %</w:t>
              <w:br/>
              <w:t>y 47.0–48.2 %</w:t>
            </w:r>
          </w:p>
        </w:tc>
      </w:tr>
      <w:tr>
        <w:trPr>
          <w:cantSplit/>
        </w:trPr>
        <w:tc>
          <w:tcPr>
            <w:tcW w:type="dxa" w:w="3288"/>
          </w:tcPr>
          <w:p>
            <w:pPr>
              <w:spacing w:after="40"/>
            </w:pPr>
            <w:r>
              <w:rPr>
                <w:sz w:val="18"/>
              </w:rPr>
              <w:t>Success</w:t>
            </w:r>
          </w:p>
        </w:tc>
        <w:tc>
          <w:tcPr>
            <w:tcW w:type="dxa" w:w="3005"/>
          </w:tcPr>
          <w:p>
            <w:pPr>
              <w:spacing w:after="40"/>
            </w:pPr>
            <w:r>
              <w:rPr>
                <w:sz w:val="18"/>
              </w:rPr>
              <w:t>x 1464–1514</w:t>
              <w:br/>
              <w:t>y 408–418</w:t>
            </w:r>
          </w:p>
        </w:tc>
        <w:tc>
          <w:tcPr>
            <w:tcW w:type="dxa" w:w="3402"/>
          </w:tcPr>
          <w:p>
            <w:pPr>
              <w:spacing w:after="40"/>
            </w:pPr>
            <w:r>
              <w:rPr>
                <w:sz w:val="18"/>
              </w:rPr>
              <w:t>auf mittlerer Höhe, rechts</w:t>
              <w:br/>
              <w:t>x 77.7–80.4 %</w:t>
              <w:br/>
              <w:t>y 47.0–48.2 %</w:t>
            </w:r>
          </w:p>
        </w:tc>
      </w:tr>
      <w:tr>
        <w:trPr>
          <w:cantSplit/>
        </w:trPr>
        <w:tc>
          <w:tcPr>
            <w:tcW w:type="dxa" w:w="3288"/>
          </w:tcPr>
          <w:p>
            <w:pPr>
              <w:spacing w:after="40"/>
            </w:pPr>
            <w:r>
              <w:rPr>
                <w:sz w:val="18"/>
              </w:rPr>
              <w:t>Connections</w:t>
            </w:r>
          </w:p>
        </w:tc>
        <w:tc>
          <w:tcPr>
            <w:tcW w:type="dxa" w:w="3005"/>
          </w:tcPr>
          <w:p>
            <w:pPr>
              <w:spacing w:after="40"/>
            </w:pPr>
            <w:r>
              <w:rPr>
                <w:sz w:val="18"/>
              </w:rPr>
              <w:t>x 18–94</w:t>
              <w:br/>
              <w:t>y 446–456</w:t>
            </w:r>
          </w:p>
        </w:tc>
        <w:tc>
          <w:tcPr>
            <w:tcW w:type="dxa" w:w="3402"/>
          </w:tcPr>
          <w:p>
            <w:pPr>
              <w:spacing w:after="40"/>
            </w:pPr>
            <w:r>
              <w:rPr>
                <w:sz w:val="18"/>
              </w:rPr>
              <w:t>auf mittlerer Höhe, links</w:t>
              <w:br/>
              <w:t>x 1.0–5.0 %</w:t>
              <w:br/>
              <w:t>y 51.4–52.5 %</w:t>
            </w:r>
          </w:p>
        </w:tc>
      </w:tr>
      <w:tr>
        <w:trPr>
          <w:cantSplit/>
        </w:trPr>
        <w:tc>
          <w:tcPr>
            <w:tcW w:type="dxa" w:w="3288"/>
          </w:tcPr>
          <w:p>
            <w:pPr>
              <w:spacing w:after="40"/>
            </w:pPr>
            <w:r>
              <w:rPr>
                <w:sz w:val="18"/>
              </w:rPr>
              <w:t>System</w:t>
            </w:r>
          </w:p>
        </w:tc>
        <w:tc>
          <w:tcPr>
            <w:tcW w:type="dxa" w:w="3005"/>
          </w:tcPr>
          <w:p>
            <w:pPr>
              <w:spacing w:after="40"/>
            </w:pPr>
            <w:r>
              <w:rPr>
                <w:sz w:val="18"/>
              </w:rPr>
              <w:t>x 243–287</w:t>
              <w:br/>
              <w:t>y 441–454</w:t>
            </w:r>
          </w:p>
        </w:tc>
        <w:tc>
          <w:tcPr>
            <w:tcW w:type="dxa" w:w="3402"/>
          </w:tcPr>
          <w:p>
            <w:pPr>
              <w:spacing w:after="40"/>
            </w:pPr>
            <w:r>
              <w:rPr>
                <w:sz w:val="18"/>
              </w:rPr>
              <w:t>auf mittlerer Höhe, links</w:t>
              <w:br/>
              <w:t>x 12.9–15.2 %</w:t>
              <w:br/>
              <w:t>y 50.8–52.3 %</w:t>
            </w:r>
          </w:p>
        </w:tc>
      </w:tr>
      <w:tr>
        <w:trPr>
          <w:cantSplit/>
        </w:trPr>
        <w:tc>
          <w:tcPr>
            <w:tcW w:type="dxa" w:w="3288"/>
          </w:tcPr>
          <w:p>
            <w:pPr>
              <w:spacing w:after="40"/>
            </w:pPr>
            <w:r>
              <w:rPr>
                <w:sz w:val="18"/>
              </w:rPr>
              <w:t>Information</w:t>
            </w:r>
          </w:p>
        </w:tc>
        <w:tc>
          <w:tcPr>
            <w:tcW w:type="dxa" w:w="3005"/>
          </w:tcPr>
          <w:p>
            <w:pPr>
              <w:spacing w:after="40"/>
            </w:pPr>
            <w:r>
              <w:rPr>
                <w:sz w:val="18"/>
              </w:rPr>
              <w:t>x 292–361</w:t>
              <w:br/>
              <w:t>y 441–451</w:t>
            </w:r>
          </w:p>
        </w:tc>
        <w:tc>
          <w:tcPr>
            <w:tcW w:type="dxa" w:w="3402"/>
          </w:tcPr>
          <w:p>
            <w:pPr>
              <w:spacing w:after="40"/>
            </w:pPr>
            <w:r>
              <w:rPr>
                <w:sz w:val="18"/>
              </w:rPr>
              <w:t>auf mittlerer Höhe, links</w:t>
              <w:br/>
              <w:t>x 15.5–19.2 %</w:t>
              <w:br/>
              <w:t>y 50.8–52.0 %</w:t>
            </w:r>
          </w:p>
        </w:tc>
      </w:tr>
      <w:tr>
        <w:trPr>
          <w:cantSplit/>
        </w:trPr>
        <w:tc>
          <w:tcPr>
            <w:tcW w:type="dxa" w:w="3288"/>
          </w:tcPr>
          <w:p>
            <w:pPr>
              <w:spacing w:after="40"/>
            </w:pPr>
            <w:r>
              <w:rPr>
                <w:sz w:val="18"/>
              </w:rPr>
              <w:t>Read</w:t>
            </w:r>
          </w:p>
        </w:tc>
        <w:tc>
          <w:tcPr>
            <w:tcW w:type="dxa" w:w="3005"/>
          </w:tcPr>
          <w:p>
            <w:pPr>
              <w:spacing w:after="40"/>
            </w:pPr>
            <w:r>
              <w:rPr>
                <w:sz w:val="18"/>
              </w:rPr>
              <w:t>x 1259–1290</w:t>
              <w:br/>
              <w:t>y 441–451</w:t>
            </w:r>
          </w:p>
        </w:tc>
        <w:tc>
          <w:tcPr>
            <w:tcW w:type="dxa" w:w="3402"/>
          </w:tcPr>
          <w:p>
            <w:pPr>
              <w:spacing w:after="40"/>
            </w:pPr>
            <w:r>
              <w:rPr>
                <w:sz w:val="18"/>
              </w:rPr>
              <w:t>auf mittlerer Höhe, rechts</w:t>
              <w:br/>
              <w:t>x 66.8–68.5 %</w:t>
              <w:br/>
              <w:t>y 50.8–52.0 %</w:t>
            </w:r>
          </w:p>
        </w:tc>
      </w:tr>
      <w:tr>
        <w:trPr>
          <w:cantSplit/>
        </w:trPr>
        <w:tc>
          <w:tcPr>
            <w:tcW w:type="dxa" w:w="3288"/>
          </w:tcPr>
          <w:p>
            <w:pPr>
              <w:spacing w:after="40"/>
            </w:pPr>
            <w:r>
              <w:rPr>
                <w:sz w:val="18"/>
              </w:rPr>
              <w:t>Success</w:t>
            </w:r>
          </w:p>
        </w:tc>
        <w:tc>
          <w:tcPr>
            <w:tcW w:type="dxa" w:w="3005"/>
          </w:tcPr>
          <w:p>
            <w:pPr>
              <w:spacing w:after="40"/>
            </w:pPr>
            <w:r>
              <w:rPr>
                <w:sz w:val="18"/>
              </w:rPr>
              <w:t>x 1464–1514</w:t>
              <w:br/>
              <w:t>y 441–451</w:t>
            </w:r>
          </w:p>
        </w:tc>
        <w:tc>
          <w:tcPr>
            <w:tcW w:type="dxa" w:w="3402"/>
          </w:tcPr>
          <w:p>
            <w:pPr>
              <w:spacing w:after="40"/>
            </w:pPr>
            <w:r>
              <w:rPr>
                <w:sz w:val="18"/>
              </w:rPr>
              <w:t>auf mittlerer Höhe, rechts</w:t>
              <w:br/>
              <w:t>x 77.7–80.4 %</w:t>
              <w:br/>
              <w:t>y 50.8–52.0 %</w:t>
            </w:r>
          </w:p>
        </w:tc>
      </w:tr>
      <w:tr>
        <w:trPr>
          <w:cantSplit/>
        </w:trPr>
        <w:tc>
          <w:tcPr>
            <w:tcW w:type="dxa" w:w="3288"/>
          </w:tcPr>
          <w:p>
            <w:pPr>
              <w:spacing w:after="40"/>
            </w:pPr>
            <w:r>
              <w:rPr>
                <w:sz w:val="18"/>
              </w:rPr>
              <w:t>Login</w:t>
            </w:r>
          </w:p>
        </w:tc>
        <w:tc>
          <w:tcPr>
            <w:tcW w:type="dxa" w:w="3005"/>
          </w:tcPr>
          <w:p>
            <w:pPr>
              <w:spacing w:after="40"/>
            </w:pPr>
            <w:r>
              <w:rPr>
                <w:sz w:val="18"/>
              </w:rPr>
              <w:t>x 1259–1291</w:t>
              <w:br/>
              <w:t>y 474–487</w:t>
            </w:r>
          </w:p>
        </w:tc>
        <w:tc>
          <w:tcPr>
            <w:tcW w:type="dxa" w:w="3402"/>
          </w:tcPr>
          <w:p>
            <w:pPr>
              <w:spacing w:after="40"/>
            </w:pPr>
            <w:r>
              <w:rPr>
                <w:sz w:val="18"/>
              </w:rPr>
              <w:t>auf mittlerer Höhe, rechts</w:t>
              <w:br/>
              <w:t>x 66.8–68.5 %</w:t>
              <w:br/>
              <w:t>y 54.6–56.1 %</w:t>
            </w:r>
          </w:p>
        </w:tc>
      </w:tr>
      <w:tr>
        <w:trPr>
          <w:cantSplit/>
        </w:trPr>
        <w:tc>
          <w:tcPr>
            <w:tcW w:type="dxa" w:w="3288"/>
          </w:tcPr>
          <w:p>
            <w:pPr>
              <w:spacing w:after="40"/>
            </w:pPr>
            <w:r>
              <w:rPr>
                <w:sz w:val="18"/>
              </w:rPr>
              <w:t>Success</w:t>
            </w:r>
          </w:p>
        </w:tc>
        <w:tc>
          <w:tcPr>
            <w:tcW w:type="dxa" w:w="3005"/>
          </w:tcPr>
          <w:p>
            <w:pPr>
              <w:spacing w:after="40"/>
            </w:pPr>
            <w:r>
              <w:rPr>
                <w:sz w:val="18"/>
              </w:rPr>
              <w:t>x 1464–1514</w:t>
              <w:br/>
              <w:t>y 474–484</w:t>
            </w:r>
          </w:p>
        </w:tc>
        <w:tc>
          <w:tcPr>
            <w:tcW w:type="dxa" w:w="3402"/>
          </w:tcPr>
          <w:p>
            <w:pPr>
              <w:spacing w:after="40"/>
            </w:pPr>
            <w:r>
              <w:rPr>
                <w:sz w:val="18"/>
              </w:rPr>
              <w:t>auf mittlerer Höhe, rechts</w:t>
              <w:br/>
              <w:t>x 77.7–80.4 %</w:t>
              <w:br/>
              <w:t>y 54.6–55.8 %</w:t>
            </w:r>
          </w:p>
        </w:tc>
      </w:tr>
      <w:tr>
        <w:trPr>
          <w:cantSplit/>
        </w:trPr>
        <w:tc>
          <w:tcPr>
            <w:tcW w:type="dxa" w:w="3288"/>
          </w:tcPr>
          <w:p>
            <w:pPr>
              <w:spacing w:after="40"/>
            </w:pPr>
            <w:r>
              <w:rPr>
                <w:sz w:val="18"/>
              </w:rPr>
              <w:t>System</w:t>
            </w:r>
          </w:p>
        </w:tc>
        <w:tc>
          <w:tcPr>
            <w:tcW w:type="dxa" w:w="3005"/>
          </w:tcPr>
          <w:p>
            <w:pPr>
              <w:spacing w:after="40"/>
            </w:pPr>
            <w:r>
              <w:rPr>
                <w:sz w:val="18"/>
              </w:rPr>
              <w:t>x 243–287</w:t>
              <w:br/>
              <w:t>y 507–520</w:t>
            </w:r>
          </w:p>
        </w:tc>
        <w:tc>
          <w:tcPr>
            <w:tcW w:type="dxa" w:w="3402"/>
          </w:tcPr>
          <w:p>
            <w:pPr>
              <w:spacing w:after="40"/>
            </w:pPr>
            <w:r>
              <w:rPr>
                <w:sz w:val="18"/>
              </w:rPr>
              <w:t>auf mittlerer Höhe, links</w:t>
              <w:br/>
              <w:t>x 12.9–15.2 %</w:t>
              <w:br/>
              <w:t>y 58.4–59.9 %</w:t>
            </w:r>
          </w:p>
        </w:tc>
      </w:tr>
      <w:tr>
        <w:trPr>
          <w:cantSplit/>
        </w:trPr>
        <w:tc>
          <w:tcPr>
            <w:tcW w:type="dxa" w:w="3288"/>
          </w:tcPr>
          <w:p>
            <w:pPr>
              <w:spacing w:after="40"/>
            </w:pPr>
            <w:r>
              <w:rPr>
                <w:sz w:val="18"/>
              </w:rPr>
              <w:t>Information</w:t>
            </w:r>
          </w:p>
        </w:tc>
        <w:tc>
          <w:tcPr>
            <w:tcW w:type="dxa" w:w="3005"/>
          </w:tcPr>
          <w:p>
            <w:pPr>
              <w:spacing w:after="40"/>
            </w:pPr>
            <w:r>
              <w:rPr>
                <w:sz w:val="18"/>
              </w:rPr>
              <w:t>x 292–361</w:t>
              <w:br/>
              <w:t>y 507–517</w:t>
            </w:r>
          </w:p>
        </w:tc>
        <w:tc>
          <w:tcPr>
            <w:tcW w:type="dxa" w:w="3402"/>
          </w:tcPr>
          <w:p>
            <w:pPr>
              <w:spacing w:after="40"/>
            </w:pPr>
            <w:r>
              <w:rPr>
                <w:sz w:val="18"/>
              </w:rPr>
              <w:t>auf mittlerer Höhe, links</w:t>
              <w:br/>
              <w:t>x 15.5–19.2 %</w:t>
              <w:br/>
              <w:t>y 58.4–59.6 %</w:t>
            </w:r>
          </w:p>
        </w:tc>
      </w:tr>
      <w:tr>
        <w:trPr>
          <w:cantSplit/>
        </w:trPr>
        <w:tc>
          <w:tcPr>
            <w:tcW w:type="dxa" w:w="3288"/>
          </w:tcPr>
          <w:p>
            <w:pPr>
              <w:spacing w:after="40"/>
            </w:pPr>
            <w:r>
              <w:rPr>
                <w:sz w:val="18"/>
              </w:rPr>
              <w:t>Read</w:t>
            </w:r>
          </w:p>
        </w:tc>
        <w:tc>
          <w:tcPr>
            <w:tcW w:type="dxa" w:w="3005"/>
          </w:tcPr>
          <w:p>
            <w:pPr>
              <w:spacing w:after="40"/>
            </w:pPr>
            <w:r>
              <w:rPr>
                <w:sz w:val="18"/>
              </w:rPr>
              <w:t>x 1259–1290</w:t>
              <w:br/>
              <w:t>y 507–517</w:t>
            </w:r>
          </w:p>
        </w:tc>
        <w:tc>
          <w:tcPr>
            <w:tcW w:type="dxa" w:w="3402"/>
          </w:tcPr>
          <w:p>
            <w:pPr>
              <w:spacing w:after="40"/>
            </w:pPr>
            <w:r>
              <w:rPr>
                <w:sz w:val="18"/>
              </w:rPr>
              <w:t>auf mittlerer Höhe, rechts</w:t>
              <w:br/>
              <w:t>x 66.8–68.5 %</w:t>
              <w:br/>
              <w:t>y 58.4–59.6 %</w:t>
            </w:r>
          </w:p>
        </w:tc>
      </w:tr>
      <w:tr>
        <w:trPr>
          <w:cantSplit/>
        </w:trPr>
        <w:tc>
          <w:tcPr>
            <w:tcW w:type="dxa" w:w="3288"/>
          </w:tcPr>
          <w:p>
            <w:pPr>
              <w:spacing w:after="40"/>
            </w:pPr>
            <w:r>
              <w:rPr>
                <w:sz w:val="18"/>
              </w:rPr>
              <w:t>Success</w:t>
            </w:r>
          </w:p>
        </w:tc>
        <w:tc>
          <w:tcPr>
            <w:tcW w:type="dxa" w:w="3005"/>
          </w:tcPr>
          <w:p>
            <w:pPr>
              <w:spacing w:after="40"/>
            </w:pPr>
            <w:r>
              <w:rPr>
                <w:sz w:val="18"/>
              </w:rPr>
              <w:t>x 1464–1514</w:t>
              <w:br/>
              <w:t>y 507–517</w:t>
            </w:r>
          </w:p>
        </w:tc>
        <w:tc>
          <w:tcPr>
            <w:tcW w:type="dxa" w:w="3402"/>
          </w:tcPr>
          <w:p>
            <w:pPr>
              <w:spacing w:after="40"/>
            </w:pPr>
            <w:r>
              <w:rPr>
                <w:sz w:val="18"/>
              </w:rPr>
              <w:t>auf mittlerer Höhe, rechts</w:t>
              <w:br/>
              <w:t>x 77.7–80.4 %</w:t>
              <w:br/>
              <w:t>y 58.4–59.6 %</w:t>
            </w:r>
          </w:p>
        </w:tc>
      </w:tr>
      <w:tr>
        <w:trPr>
          <w:cantSplit/>
        </w:trPr>
        <w:tc>
          <w:tcPr>
            <w:tcW w:type="dxa" w:w="3288"/>
          </w:tcPr>
          <w:p>
            <w:pPr>
              <w:spacing w:after="40"/>
            </w:pPr>
            <w:r>
              <w:rPr>
                <w:sz w:val="18"/>
              </w:rPr>
              <w:t>Space Management</w:t>
            </w:r>
          </w:p>
        </w:tc>
        <w:tc>
          <w:tcPr>
            <w:tcW w:type="dxa" w:w="3005"/>
          </w:tcPr>
          <w:p>
            <w:pPr>
              <w:spacing w:after="40"/>
            </w:pPr>
            <w:r>
              <w:rPr>
                <w:sz w:val="18"/>
              </w:rPr>
              <w:t>x 18–141</w:t>
              <w:br/>
              <w:t>y 528–541</w:t>
            </w:r>
          </w:p>
        </w:tc>
        <w:tc>
          <w:tcPr>
            <w:tcW w:type="dxa" w:w="3402"/>
          </w:tcPr>
          <w:p>
            <w:pPr>
              <w:spacing w:after="40"/>
            </w:pPr>
            <w:r>
              <w:rPr>
                <w:sz w:val="18"/>
              </w:rPr>
              <w:t>auf mittlerer Höhe, links</w:t>
              <w:br/>
              <w:t>x 1.0–7.5 %</w:t>
              <w:br/>
              <w:t>y 60.8–62.3 %</w:t>
            </w:r>
          </w:p>
        </w:tc>
      </w:tr>
      <w:tr>
        <w:trPr>
          <w:cantSplit/>
        </w:trPr>
        <w:tc>
          <w:tcPr>
            <w:tcW w:type="dxa" w:w="3288"/>
          </w:tcPr>
          <w:p>
            <w:pPr>
              <w:spacing w:after="40"/>
            </w:pPr>
            <w:r>
              <w:rPr>
                <w:sz w:val="18"/>
              </w:rPr>
              <w:t>System</w:t>
            </w:r>
          </w:p>
        </w:tc>
        <w:tc>
          <w:tcPr>
            <w:tcW w:type="dxa" w:w="3005"/>
          </w:tcPr>
          <w:p>
            <w:pPr>
              <w:spacing w:after="40"/>
            </w:pPr>
            <w:r>
              <w:rPr>
                <w:sz w:val="18"/>
              </w:rPr>
              <w:t>x 243–287</w:t>
              <w:br/>
              <w:t>y 540–553</w:t>
            </w:r>
          </w:p>
        </w:tc>
        <w:tc>
          <w:tcPr>
            <w:tcW w:type="dxa" w:w="3402"/>
          </w:tcPr>
          <w:p>
            <w:pPr>
              <w:spacing w:after="40"/>
            </w:pPr>
            <w:r>
              <w:rPr>
                <w:sz w:val="18"/>
              </w:rPr>
              <w:t>auf mittlerer Höhe, links</w:t>
              <w:br/>
              <w:t>x 12.9–15.2 %</w:t>
              <w:br/>
              <w:t>y 62.2–63.7 %</w:t>
            </w:r>
          </w:p>
        </w:tc>
      </w:tr>
      <w:tr>
        <w:trPr>
          <w:cantSplit/>
        </w:trPr>
        <w:tc>
          <w:tcPr>
            <w:tcW w:type="dxa" w:w="3288"/>
          </w:tcPr>
          <w:p>
            <w:pPr>
              <w:spacing w:after="40"/>
            </w:pPr>
            <w:r>
              <w:rPr>
                <w:sz w:val="18"/>
              </w:rPr>
              <w:t>Information</w:t>
            </w:r>
          </w:p>
        </w:tc>
        <w:tc>
          <w:tcPr>
            <w:tcW w:type="dxa" w:w="3005"/>
          </w:tcPr>
          <w:p>
            <w:pPr>
              <w:spacing w:after="40"/>
            </w:pPr>
            <w:r>
              <w:rPr>
                <w:sz w:val="18"/>
              </w:rPr>
              <w:t>x 292–361</w:t>
              <w:br/>
              <w:t>y 540–550</w:t>
            </w:r>
          </w:p>
        </w:tc>
        <w:tc>
          <w:tcPr>
            <w:tcW w:type="dxa" w:w="3402"/>
          </w:tcPr>
          <w:p>
            <w:pPr>
              <w:spacing w:after="40"/>
            </w:pPr>
            <w:r>
              <w:rPr>
                <w:sz w:val="18"/>
              </w:rPr>
              <w:t>auf mittlerer Höhe, links</w:t>
              <w:br/>
              <w:t>x 15.5–19.2 %</w:t>
              <w:br/>
              <w:t>y 62.2–63.4 %</w:t>
            </w:r>
          </w:p>
        </w:tc>
      </w:tr>
      <w:tr>
        <w:trPr>
          <w:cantSplit/>
        </w:trPr>
        <w:tc>
          <w:tcPr>
            <w:tcW w:type="dxa" w:w="3288"/>
          </w:tcPr>
          <w:p>
            <w:pPr>
              <w:spacing w:after="40"/>
            </w:pPr>
            <w:r>
              <w:rPr>
                <w:sz w:val="18"/>
              </w:rPr>
              <w:t>Read</w:t>
            </w:r>
          </w:p>
        </w:tc>
        <w:tc>
          <w:tcPr>
            <w:tcW w:type="dxa" w:w="3005"/>
          </w:tcPr>
          <w:p>
            <w:pPr>
              <w:spacing w:after="40"/>
            </w:pPr>
            <w:r>
              <w:rPr>
                <w:sz w:val="18"/>
              </w:rPr>
              <w:t>x 1259–1290</w:t>
              <w:br/>
              <w:t>y 540–550</w:t>
            </w:r>
          </w:p>
        </w:tc>
        <w:tc>
          <w:tcPr>
            <w:tcW w:type="dxa" w:w="3402"/>
          </w:tcPr>
          <w:p>
            <w:pPr>
              <w:spacing w:after="40"/>
            </w:pPr>
            <w:r>
              <w:rPr>
                <w:sz w:val="18"/>
              </w:rPr>
              <w:t>auf mittlerer Höhe, rechts</w:t>
              <w:br/>
              <w:t>x 66.8–68.5 %</w:t>
              <w:br/>
              <w:t>y 62.2–63.4 %</w:t>
            </w:r>
          </w:p>
        </w:tc>
      </w:tr>
      <w:tr>
        <w:trPr>
          <w:cantSplit/>
        </w:trPr>
        <w:tc>
          <w:tcPr>
            <w:tcW w:type="dxa" w:w="3288"/>
          </w:tcPr>
          <w:p>
            <w:pPr>
              <w:spacing w:after="40"/>
            </w:pPr>
            <w:r>
              <w:rPr>
                <w:sz w:val="18"/>
              </w:rPr>
              <w:t>Success</w:t>
            </w:r>
          </w:p>
        </w:tc>
        <w:tc>
          <w:tcPr>
            <w:tcW w:type="dxa" w:w="3005"/>
          </w:tcPr>
          <w:p>
            <w:pPr>
              <w:spacing w:after="40"/>
            </w:pPr>
            <w:r>
              <w:rPr>
                <w:sz w:val="18"/>
              </w:rPr>
              <w:t>x 1464–1514</w:t>
              <w:br/>
              <w:t>y 540–550</w:t>
            </w:r>
          </w:p>
        </w:tc>
        <w:tc>
          <w:tcPr>
            <w:tcW w:type="dxa" w:w="3402"/>
          </w:tcPr>
          <w:p>
            <w:pPr>
              <w:spacing w:after="40"/>
            </w:pPr>
            <w:r>
              <w:rPr>
                <w:sz w:val="18"/>
              </w:rPr>
              <w:t>auf mittlerer Höhe, rechts</w:t>
              <w:br/>
              <w:t>x 77.7–80.4 %</w:t>
              <w:br/>
              <w:t>y 62.2–63.4 %</w:t>
            </w:r>
          </w:p>
        </w:tc>
      </w:tr>
      <w:tr>
        <w:trPr>
          <w:cantSplit/>
        </w:trPr>
        <w:tc>
          <w:tcPr>
            <w:tcW w:type="dxa" w:w="3288"/>
          </w:tcPr>
          <w:p>
            <w:pPr>
              <w:spacing w:after="40"/>
            </w:pPr>
            <w:r>
              <w:rPr>
                <w:sz w:val="18"/>
              </w:rPr>
              <w:t>Translation</w:t>
            </w:r>
          </w:p>
        </w:tc>
        <w:tc>
          <w:tcPr>
            <w:tcW w:type="dxa" w:w="3005"/>
          </w:tcPr>
          <w:p>
            <w:pPr>
              <w:spacing w:after="40"/>
            </w:pPr>
            <w:r>
              <w:rPr>
                <w:sz w:val="18"/>
              </w:rPr>
              <w:t>x 18–85</w:t>
              <w:br/>
              <w:t>y 564–574</w:t>
            </w:r>
          </w:p>
        </w:tc>
        <w:tc>
          <w:tcPr>
            <w:tcW w:type="dxa" w:w="3402"/>
          </w:tcPr>
          <w:p>
            <w:pPr>
              <w:spacing w:after="40"/>
            </w:pPr>
            <w:r>
              <w:rPr>
                <w:sz w:val="18"/>
              </w:rPr>
              <w:t>auf mittlerer Höhe, links</w:t>
              <w:br/>
              <w:t>x 1.0–4.5 %</w:t>
              <w:br/>
              <w:t>y 65.0–66.1 %</w:t>
            </w:r>
          </w:p>
        </w:tc>
      </w:tr>
      <w:tr>
        <w:trPr>
          <w:cantSplit/>
        </w:trPr>
        <w:tc>
          <w:tcPr>
            <w:tcW w:type="dxa" w:w="3288"/>
          </w:tcPr>
          <w:p>
            <w:pPr>
              <w:spacing w:after="40"/>
            </w:pPr>
            <w:r>
              <w:rPr>
                <w:sz w:val="18"/>
              </w:rPr>
              <w:t>System</w:t>
            </w:r>
          </w:p>
        </w:tc>
        <w:tc>
          <w:tcPr>
            <w:tcW w:type="dxa" w:w="3005"/>
          </w:tcPr>
          <w:p>
            <w:pPr>
              <w:spacing w:after="40"/>
            </w:pPr>
            <w:r>
              <w:rPr>
                <w:sz w:val="18"/>
              </w:rPr>
              <w:t>x 243–287</w:t>
              <w:br/>
              <w:t>y 573–586</w:t>
            </w:r>
          </w:p>
        </w:tc>
        <w:tc>
          <w:tcPr>
            <w:tcW w:type="dxa" w:w="3402"/>
          </w:tcPr>
          <w:p>
            <w:pPr>
              <w:spacing w:after="40"/>
            </w:pPr>
            <w:r>
              <w:rPr>
                <w:sz w:val="18"/>
              </w:rPr>
              <w:t>auf mittlerer Höhe, links</w:t>
              <w:br/>
              <w:t>x 12.9–15.2 %</w:t>
              <w:br/>
              <w:t>y 66.0–67.5 %</w:t>
            </w:r>
          </w:p>
        </w:tc>
      </w:tr>
      <w:tr>
        <w:trPr>
          <w:cantSplit/>
        </w:trPr>
        <w:tc>
          <w:tcPr>
            <w:tcW w:type="dxa" w:w="3288"/>
          </w:tcPr>
          <w:p>
            <w:pPr>
              <w:spacing w:after="40"/>
            </w:pPr>
            <w:r>
              <w:rPr>
                <w:sz w:val="18"/>
              </w:rPr>
              <w:t>Information</w:t>
            </w:r>
          </w:p>
        </w:tc>
        <w:tc>
          <w:tcPr>
            <w:tcW w:type="dxa" w:w="3005"/>
          </w:tcPr>
          <w:p>
            <w:pPr>
              <w:spacing w:after="40"/>
            </w:pPr>
            <w:r>
              <w:rPr>
                <w:sz w:val="18"/>
              </w:rPr>
              <w:t>x 292–361</w:t>
              <w:br/>
              <w:t>y 573–583</w:t>
            </w:r>
          </w:p>
        </w:tc>
        <w:tc>
          <w:tcPr>
            <w:tcW w:type="dxa" w:w="3402"/>
          </w:tcPr>
          <w:p>
            <w:pPr>
              <w:spacing w:after="40"/>
            </w:pPr>
            <w:r>
              <w:rPr>
                <w:sz w:val="18"/>
              </w:rPr>
              <w:t>auf mittlerer Höhe, links</w:t>
              <w:br/>
              <w:t>x 15.5–19.2 %</w:t>
              <w:br/>
              <w:t>y 66.0–67.2 %</w:t>
            </w:r>
          </w:p>
        </w:tc>
      </w:tr>
      <w:tr>
        <w:trPr>
          <w:cantSplit/>
        </w:trPr>
        <w:tc>
          <w:tcPr>
            <w:tcW w:type="dxa" w:w="3288"/>
          </w:tcPr>
          <w:p>
            <w:pPr>
              <w:spacing w:after="40"/>
            </w:pPr>
            <w:r>
              <w:rPr>
                <w:sz w:val="18"/>
              </w:rPr>
              <w:t>Read</w:t>
            </w:r>
          </w:p>
        </w:tc>
        <w:tc>
          <w:tcPr>
            <w:tcW w:type="dxa" w:w="3005"/>
          </w:tcPr>
          <w:p>
            <w:pPr>
              <w:spacing w:after="40"/>
            </w:pPr>
            <w:r>
              <w:rPr>
                <w:sz w:val="18"/>
              </w:rPr>
              <w:t>x 1259–1290</w:t>
              <w:br/>
              <w:t>y 573–583</w:t>
            </w:r>
          </w:p>
        </w:tc>
        <w:tc>
          <w:tcPr>
            <w:tcW w:type="dxa" w:w="3402"/>
          </w:tcPr>
          <w:p>
            <w:pPr>
              <w:spacing w:after="40"/>
            </w:pPr>
            <w:r>
              <w:rPr>
                <w:sz w:val="18"/>
              </w:rPr>
              <w:t>auf mittlerer Höhe, rechts</w:t>
              <w:br/>
              <w:t>x 66.8–68.5 %</w:t>
              <w:br/>
              <w:t>y 66.0–67.2 %</w:t>
            </w:r>
          </w:p>
        </w:tc>
      </w:tr>
      <w:tr>
        <w:trPr>
          <w:cantSplit/>
        </w:trPr>
        <w:tc>
          <w:tcPr>
            <w:tcW w:type="dxa" w:w="3288"/>
          </w:tcPr>
          <w:p>
            <w:pPr>
              <w:spacing w:after="40"/>
            </w:pPr>
            <w:r>
              <w:rPr>
                <w:sz w:val="18"/>
              </w:rPr>
              <w:t>Success</w:t>
            </w:r>
          </w:p>
        </w:tc>
        <w:tc>
          <w:tcPr>
            <w:tcW w:type="dxa" w:w="3005"/>
          </w:tcPr>
          <w:p>
            <w:pPr>
              <w:spacing w:after="40"/>
            </w:pPr>
            <w:r>
              <w:rPr>
                <w:sz w:val="18"/>
              </w:rPr>
              <w:t>x 1464–1514</w:t>
              <w:br/>
              <w:t>y 573–583</w:t>
            </w:r>
          </w:p>
        </w:tc>
        <w:tc>
          <w:tcPr>
            <w:tcW w:type="dxa" w:w="3402"/>
          </w:tcPr>
          <w:p>
            <w:pPr>
              <w:spacing w:after="40"/>
            </w:pPr>
            <w:r>
              <w:rPr>
                <w:sz w:val="18"/>
              </w:rPr>
              <w:t>auf mittlerer Höhe, rechts</w:t>
              <w:br/>
              <w:t>x 77.7–80.4 %</w:t>
              <w:br/>
              <w:t>y 66.0–67.2 %</w:t>
            </w:r>
          </w:p>
        </w:tc>
      </w:tr>
      <w:tr>
        <w:trPr>
          <w:cantSplit/>
        </w:trPr>
        <w:tc>
          <w:tcPr>
            <w:tcW w:type="dxa" w:w="3288"/>
          </w:tcPr>
          <w:p>
            <w:pPr>
              <w:spacing w:after="40"/>
            </w:pPr>
            <w:r>
              <w:rPr>
                <w:sz w:val="18"/>
              </w:rPr>
              <w:t>Transport</w:t>
            </w:r>
          </w:p>
        </w:tc>
        <w:tc>
          <w:tcPr>
            <w:tcW w:type="dxa" w:w="3005"/>
          </w:tcPr>
          <w:p>
            <w:pPr>
              <w:spacing w:after="40"/>
            </w:pPr>
            <w:r>
              <w:rPr>
                <w:sz w:val="18"/>
              </w:rPr>
              <w:t>x 18–76</w:t>
              <w:br/>
              <w:t>y 600–613</w:t>
            </w:r>
          </w:p>
        </w:tc>
        <w:tc>
          <w:tcPr>
            <w:tcW w:type="dxa" w:w="3402"/>
          </w:tcPr>
          <w:p>
            <w:pPr>
              <w:spacing w:after="40"/>
            </w:pPr>
            <w:r>
              <w:rPr>
                <w:sz w:val="18"/>
              </w:rPr>
              <w:t>unten, links</w:t>
              <w:br/>
              <w:t>x 1.0–4.0 %</w:t>
              <w:br/>
              <w:t>y 69.1–70.6 %</w:t>
            </w:r>
          </w:p>
        </w:tc>
      </w:tr>
      <w:tr>
        <w:trPr>
          <w:cantSplit/>
        </w:trPr>
        <w:tc>
          <w:tcPr>
            <w:tcW w:type="dxa" w:w="3288"/>
          </w:tcPr>
          <w:p>
            <w:pPr>
              <w:spacing w:after="40"/>
            </w:pPr>
            <w:r>
              <w:rPr>
                <w:sz w:val="18"/>
              </w:rPr>
              <w:t>System</w:t>
            </w:r>
          </w:p>
        </w:tc>
        <w:tc>
          <w:tcPr>
            <w:tcW w:type="dxa" w:w="3005"/>
          </w:tcPr>
          <w:p>
            <w:pPr>
              <w:spacing w:after="40"/>
            </w:pPr>
            <w:r>
              <w:rPr>
                <w:sz w:val="18"/>
              </w:rPr>
              <w:t>x 243–287</w:t>
              <w:br/>
              <w:t>y 606–619</w:t>
            </w:r>
          </w:p>
        </w:tc>
        <w:tc>
          <w:tcPr>
            <w:tcW w:type="dxa" w:w="3402"/>
          </w:tcPr>
          <w:p>
            <w:pPr>
              <w:spacing w:after="40"/>
            </w:pPr>
            <w:r>
              <w:rPr>
                <w:sz w:val="18"/>
              </w:rPr>
              <w:t>unten, links</w:t>
              <w:br/>
              <w:t>x 12.9–15.2 %</w:t>
              <w:br/>
              <w:t>y 69.8–71.3 %</w:t>
            </w:r>
          </w:p>
        </w:tc>
      </w:tr>
      <w:tr>
        <w:trPr>
          <w:cantSplit/>
        </w:trPr>
        <w:tc>
          <w:tcPr>
            <w:tcW w:type="dxa" w:w="3288"/>
          </w:tcPr>
          <w:p>
            <w:pPr>
              <w:spacing w:after="40"/>
            </w:pPr>
            <w:r>
              <w:rPr>
                <w:sz w:val="18"/>
              </w:rPr>
              <w:t>Information</w:t>
            </w:r>
          </w:p>
        </w:tc>
        <w:tc>
          <w:tcPr>
            <w:tcW w:type="dxa" w:w="3005"/>
          </w:tcPr>
          <w:p>
            <w:pPr>
              <w:spacing w:after="40"/>
            </w:pPr>
            <w:r>
              <w:rPr>
                <w:sz w:val="18"/>
              </w:rPr>
              <w:t>x 292–361</w:t>
              <w:br/>
              <w:t>y 606–616</w:t>
            </w:r>
          </w:p>
        </w:tc>
        <w:tc>
          <w:tcPr>
            <w:tcW w:type="dxa" w:w="3402"/>
          </w:tcPr>
          <w:p>
            <w:pPr>
              <w:spacing w:after="40"/>
            </w:pPr>
            <w:r>
              <w:rPr>
                <w:sz w:val="18"/>
              </w:rPr>
              <w:t>unten, links</w:t>
              <w:br/>
              <w:t>x 15.5–19.2 %</w:t>
              <w:br/>
              <w:t>y 69.8–71.0 %</w:t>
            </w:r>
          </w:p>
        </w:tc>
      </w:tr>
      <w:tr>
        <w:trPr>
          <w:cantSplit/>
        </w:trPr>
        <w:tc>
          <w:tcPr>
            <w:tcW w:type="dxa" w:w="3288"/>
          </w:tcPr>
          <w:p>
            <w:pPr>
              <w:spacing w:after="40"/>
            </w:pPr>
            <w:r>
              <w:rPr>
                <w:sz w:val="18"/>
              </w:rPr>
              <w:t>Read</w:t>
            </w:r>
          </w:p>
        </w:tc>
        <w:tc>
          <w:tcPr>
            <w:tcW w:type="dxa" w:w="3005"/>
          </w:tcPr>
          <w:p>
            <w:pPr>
              <w:spacing w:after="40"/>
            </w:pPr>
            <w:r>
              <w:rPr>
                <w:sz w:val="18"/>
              </w:rPr>
              <w:t>x 1259–1290</w:t>
              <w:br/>
              <w:t>y 606–616</w:t>
            </w:r>
          </w:p>
        </w:tc>
        <w:tc>
          <w:tcPr>
            <w:tcW w:type="dxa" w:w="3402"/>
          </w:tcPr>
          <w:p>
            <w:pPr>
              <w:spacing w:after="40"/>
            </w:pPr>
            <w:r>
              <w:rPr>
                <w:sz w:val="18"/>
              </w:rPr>
              <w:t>unten, rechts</w:t>
              <w:br/>
              <w:t>x 66.8–68.5 %</w:t>
              <w:br/>
              <w:t>y 69.8–71.0 %</w:t>
            </w:r>
          </w:p>
        </w:tc>
      </w:tr>
      <w:tr>
        <w:trPr>
          <w:cantSplit/>
        </w:trPr>
        <w:tc>
          <w:tcPr>
            <w:tcW w:type="dxa" w:w="3288"/>
          </w:tcPr>
          <w:p>
            <w:pPr>
              <w:spacing w:after="40"/>
            </w:pPr>
            <w:r>
              <w:rPr>
                <w:sz w:val="18"/>
              </w:rPr>
              <w:t>Success</w:t>
            </w:r>
          </w:p>
        </w:tc>
        <w:tc>
          <w:tcPr>
            <w:tcW w:type="dxa" w:w="3005"/>
          </w:tcPr>
          <w:p>
            <w:pPr>
              <w:spacing w:after="40"/>
            </w:pPr>
            <w:r>
              <w:rPr>
                <w:sz w:val="18"/>
              </w:rPr>
              <w:t>x 1464–1514</w:t>
              <w:br/>
              <w:t>y 606–616</w:t>
            </w:r>
          </w:p>
        </w:tc>
        <w:tc>
          <w:tcPr>
            <w:tcW w:type="dxa" w:w="3402"/>
          </w:tcPr>
          <w:p>
            <w:pPr>
              <w:spacing w:after="40"/>
            </w:pPr>
            <w:r>
              <w:rPr>
                <w:sz w:val="18"/>
              </w:rPr>
              <w:t>unten, rechts</w:t>
              <w:br/>
              <w:t>x 77.7–80.4 %</w:t>
              <w:br/>
              <w:t>y 69.8–71.0 %</w:t>
            </w:r>
          </w:p>
        </w:tc>
      </w:tr>
      <w:tr>
        <w:trPr>
          <w:cantSplit/>
        </w:trPr>
        <w:tc>
          <w:tcPr>
            <w:tcW w:type="dxa" w:w="3288"/>
          </w:tcPr>
          <w:p>
            <w:pPr>
              <w:spacing w:after="40"/>
            </w:pPr>
            <w:r>
              <w:rPr>
                <w:sz w:val="18"/>
              </w:rPr>
              <w:t>System</w:t>
            </w:r>
          </w:p>
        </w:tc>
        <w:tc>
          <w:tcPr>
            <w:tcW w:type="dxa" w:w="3005"/>
          </w:tcPr>
          <w:p>
            <w:pPr>
              <w:spacing w:after="40"/>
            </w:pPr>
            <w:r>
              <w:rPr>
                <w:sz w:val="18"/>
              </w:rPr>
              <w:t>x 243–287</w:t>
              <w:br/>
              <w:t>y 639–652</w:t>
            </w:r>
          </w:p>
        </w:tc>
        <w:tc>
          <w:tcPr>
            <w:tcW w:type="dxa" w:w="3402"/>
          </w:tcPr>
          <w:p>
            <w:pPr>
              <w:spacing w:after="40"/>
            </w:pPr>
            <w:r>
              <w:rPr>
                <w:sz w:val="18"/>
              </w:rPr>
              <w:t>unten, links</w:t>
              <w:br/>
              <w:t>x 12.9–15.2 %</w:t>
              <w:br/>
              <w:t>y 73.6–75.1 %</w:t>
            </w:r>
          </w:p>
        </w:tc>
      </w:tr>
      <w:tr>
        <w:trPr>
          <w:cantSplit/>
        </w:trPr>
        <w:tc>
          <w:tcPr>
            <w:tcW w:type="dxa" w:w="3288"/>
          </w:tcPr>
          <w:p>
            <w:pPr>
              <w:spacing w:after="40"/>
            </w:pPr>
            <w:r>
              <w:rPr>
                <w:sz w:val="18"/>
              </w:rPr>
              <w:t>Information</w:t>
            </w:r>
          </w:p>
        </w:tc>
        <w:tc>
          <w:tcPr>
            <w:tcW w:type="dxa" w:w="3005"/>
          </w:tcPr>
          <w:p>
            <w:pPr>
              <w:spacing w:after="40"/>
            </w:pPr>
            <w:r>
              <w:rPr>
                <w:sz w:val="18"/>
              </w:rPr>
              <w:t>x 292–361</w:t>
              <w:br/>
              <w:t>y 639–649</w:t>
            </w:r>
          </w:p>
        </w:tc>
        <w:tc>
          <w:tcPr>
            <w:tcW w:type="dxa" w:w="3402"/>
          </w:tcPr>
          <w:p>
            <w:pPr>
              <w:spacing w:after="40"/>
            </w:pPr>
            <w:r>
              <w:rPr>
                <w:sz w:val="18"/>
              </w:rPr>
              <w:t>unten, links</w:t>
              <w:br/>
              <w:t>x 15.5–19.2 %</w:t>
              <w:br/>
              <w:t>y 73.6–74.8 %</w:t>
            </w:r>
          </w:p>
        </w:tc>
      </w:tr>
      <w:tr>
        <w:trPr>
          <w:cantSplit/>
        </w:trPr>
        <w:tc>
          <w:tcPr>
            <w:tcW w:type="dxa" w:w="3288"/>
          </w:tcPr>
          <w:p>
            <w:pPr>
              <w:spacing w:after="40"/>
            </w:pPr>
            <w:r>
              <w:rPr>
                <w:sz w:val="18"/>
              </w:rPr>
              <w:t>Read</w:t>
            </w:r>
          </w:p>
        </w:tc>
        <w:tc>
          <w:tcPr>
            <w:tcW w:type="dxa" w:w="3005"/>
          </w:tcPr>
          <w:p>
            <w:pPr>
              <w:spacing w:after="40"/>
            </w:pPr>
            <w:r>
              <w:rPr>
                <w:sz w:val="18"/>
              </w:rPr>
              <w:t>x 1259–1290</w:t>
              <w:br/>
              <w:t>y 639–649</w:t>
            </w:r>
          </w:p>
        </w:tc>
        <w:tc>
          <w:tcPr>
            <w:tcW w:type="dxa" w:w="3402"/>
          </w:tcPr>
          <w:p>
            <w:pPr>
              <w:spacing w:after="40"/>
            </w:pPr>
            <w:r>
              <w:rPr>
                <w:sz w:val="18"/>
              </w:rPr>
              <w:t>unten, rechts</w:t>
              <w:br/>
              <w:t>x 66.8–68.5 %</w:t>
              <w:br/>
              <w:t>y 73.6–74.8 %</w:t>
            </w:r>
          </w:p>
        </w:tc>
      </w:tr>
      <w:tr>
        <w:trPr>
          <w:cantSplit/>
        </w:trPr>
        <w:tc>
          <w:tcPr>
            <w:tcW w:type="dxa" w:w="3288"/>
          </w:tcPr>
          <w:p>
            <w:pPr>
              <w:spacing w:after="40"/>
            </w:pPr>
            <w:r>
              <w:rPr>
                <w:sz w:val="18"/>
              </w:rPr>
              <w:t>Success</w:t>
            </w:r>
          </w:p>
        </w:tc>
        <w:tc>
          <w:tcPr>
            <w:tcW w:type="dxa" w:w="3005"/>
          </w:tcPr>
          <w:p>
            <w:pPr>
              <w:spacing w:after="40"/>
            </w:pPr>
            <w:r>
              <w:rPr>
                <w:sz w:val="18"/>
              </w:rPr>
              <w:t>x 1464–1514</w:t>
              <w:br/>
              <w:t>y 639–649</w:t>
            </w:r>
          </w:p>
        </w:tc>
        <w:tc>
          <w:tcPr>
            <w:tcW w:type="dxa" w:w="3402"/>
          </w:tcPr>
          <w:p>
            <w:pPr>
              <w:spacing w:after="40"/>
            </w:pPr>
            <w:r>
              <w:rPr>
                <w:sz w:val="18"/>
              </w:rPr>
              <w:t>unten, rechts</w:t>
              <w:br/>
              <w:t>x 77.7–80.4 %</w:t>
              <w:br/>
              <w:t>y 73.6–74.8 %</w:t>
            </w:r>
          </w:p>
        </w:tc>
      </w:tr>
      <w:tr>
        <w:trPr>
          <w:cantSplit/>
        </w:trPr>
        <w:tc>
          <w:tcPr>
            <w:tcW w:type="dxa" w:w="3288"/>
          </w:tcPr>
          <w:p>
            <w:pPr>
              <w:spacing w:after="40"/>
            </w:pPr>
            <w:r>
              <w:rPr>
                <w:sz w:val="18"/>
              </w:rPr>
              <w:t>System</w:t>
            </w:r>
          </w:p>
        </w:tc>
        <w:tc>
          <w:tcPr>
            <w:tcW w:type="dxa" w:w="3005"/>
          </w:tcPr>
          <w:p>
            <w:pPr>
              <w:spacing w:after="40"/>
            </w:pPr>
            <w:r>
              <w:rPr>
                <w:sz w:val="18"/>
              </w:rPr>
              <w:t>x 243–287</w:t>
              <w:br/>
              <w:t>y 672–685</w:t>
            </w:r>
          </w:p>
        </w:tc>
        <w:tc>
          <w:tcPr>
            <w:tcW w:type="dxa" w:w="3402"/>
          </w:tcPr>
          <w:p>
            <w:pPr>
              <w:spacing w:after="40"/>
            </w:pPr>
            <w:r>
              <w:rPr>
                <w:sz w:val="18"/>
              </w:rPr>
              <w:t>unten, links</w:t>
              <w:br/>
              <w:t>x 12.9–15.2 %</w:t>
              <w:br/>
              <w:t>y 77.4–78.9 %</w:t>
            </w:r>
          </w:p>
        </w:tc>
      </w:tr>
      <w:tr>
        <w:trPr>
          <w:cantSplit/>
        </w:trPr>
        <w:tc>
          <w:tcPr>
            <w:tcW w:type="dxa" w:w="3288"/>
          </w:tcPr>
          <w:p>
            <w:pPr>
              <w:spacing w:after="40"/>
            </w:pPr>
            <w:r>
              <w:rPr>
                <w:sz w:val="18"/>
              </w:rPr>
              <w:t>Information</w:t>
            </w:r>
          </w:p>
        </w:tc>
        <w:tc>
          <w:tcPr>
            <w:tcW w:type="dxa" w:w="3005"/>
          </w:tcPr>
          <w:p>
            <w:pPr>
              <w:spacing w:after="40"/>
            </w:pPr>
            <w:r>
              <w:rPr>
                <w:sz w:val="18"/>
              </w:rPr>
              <w:t>x 292–361</w:t>
              <w:br/>
              <w:t>y 672–682</w:t>
            </w:r>
          </w:p>
        </w:tc>
        <w:tc>
          <w:tcPr>
            <w:tcW w:type="dxa" w:w="3402"/>
          </w:tcPr>
          <w:p>
            <w:pPr>
              <w:spacing w:after="40"/>
            </w:pPr>
            <w:r>
              <w:rPr>
                <w:sz w:val="18"/>
              </w:rPr>
              <w:t>unten, links</w:t>
              <w:br/>
              <w:t>x 15.5–19.2 %</w:t>
              <w:br/>
              <w:t>y 77.4–78.6 %</w:t>
            </w:r>
          </w:p>
        </w:tc>
      </w:tr>
      <w:tr>
        <w:trPr>
          <w:cantSplit/>
        </w:trPr>
        <w:tc>
          <w:tcPr>
            <w:tcW w:type="dxa" w:w="3288"/>
          </w:tcPr>
          <w:p>
            <w:pPr>
              <w:spacing w:after="40"/>
            </w:pPr>
            <w:r>
              <w:rPr>
                <w:sz w:val="18"/>
              </w:rPr>
              <w:t>Read</w:t>
            </w:r>
          </w:p>
        </w:tc>
        <w:tc>
          <w:tcPr>
            <w:tcW w:type="dxa" w:w="3005"/>
          </w:tcPr>
          <w:p>
            <w:pPr>
              <w:spacing w:after="40"/>
            </w:pPr>
            <w:r>
              <w:rPr>
                <w:sz w:val="18"/>
              </w:rPr>
              <w:t>x 1259–1290</w:t>
              <w:br/>
              <w:t>y 672–682</w:t>
            </w:r>
          </w:p>
        </w:tc>
        <w:tc>
          <w:tcPr>
            <w:tcW w:type="dxa" w:w="3402"/>
          </w:tcPr>
          <w:p>
            <w:pPr>
              <w:spacing w:after="40"/>
            </w:pPr>
            <w:r>
              <w:rPr>
                <w:sz w:val="18"/>
              </w:rPr>
              <w:t>unten, rechts</w:t>
              <w:br/>
              <w:t>x 66.8–68.5 %</w:t>
              <w:br/>
              <w:t>y 77.4–78.6 %</w:t>
            </w:r>
          </w:p>
        </w:tc>
      </w:tr>
      <w:tr>
        <w:trPr>
          <w:cantSplit/>
        </w:trPr>
        <w:tc>
          <w:tcPr>
            <w:tcW w:type="dxa" w:w="3288"/>
          </w:tcPr>
          <w:p>
            <w:pPr>
              <w:spacing w:after="40"/>
            </w:pPr>
            <w:r>
              <w:rPr>
                <w:sz w:val="18"/>
              </w:rPr>
              <w:t>Success</w:t>
            </w:r>
          </w:p>
        </w:tc>
        <w:tc>
          <w:tcPr>
            <w:tcW w:type="dxa" w:w="3005"/>
          </w:tcPr>
          <w:p>
            <w:pPr>
              <w:spacing w:after="40"/>
            </w:pPr>
            <w:r>
              <w:rPr>
                <w:sz w:val="18"/>
              </w:rPr>
              <w:t>x 1464–1514</w:t>
              <w:br/>
              <w:t>y 672–682</w:t>
            </w:r>
          </w:p>
        </w:tc>
        <w:tc>
          <w:tcPr>
            <w:tcW w:type="dxa" w:w="3402"/>
          </w:tcPr>
          <w:p>
            <w:pPr>
              <w:spacing w:after="40"/>
            </w:pPr>
            <w:r>
              <w:rPr>
                <w:sz w:val="18"/>
              </w:rPr>
              <w:t>unten, rechts</w:t>
              <w:br/>
              <w:t>x 77.7–80.4 %</w:t>
              <w:br/>
              <w:t>y 77.4–78.6 %</w:t>
            </w:r>
          </w:p>
        </w:tc>
      </w:tr>
      <w:tr>
        <w:trPr>
          <w:cantSplit/>
        </w:trPr>
        <w:tc>
          <w:tcPr>
            <w:tcW w:type="dxa" w:w="3288"/>
          </w:tcPr>
          <w:p>
            <w:pPr>
              <w:spacing w:after="40"/>
            </w:pPr>
            <w:r>
              <w:rPr>
                <w:sz w:val="18"/>
              </w:rPr>
              <w:t>Import</w:t>
            </w:r>
          </w:p>
        </w:tc>
        <w:tc>
          <w:tcPr>
            <w:tcW w:type="dxa" w:w="3005"/>
          </w:tcPr>
          <w:p>
            <w:pPr>
              <w:spacing w:after="40"/>
            </w:pPr>
            <w:r>
              <w:rPr>
                <w:sz w:val="18"/>
              </w:rPr>
              <w:t>x 19–58</w:t>
              <w:br/>
              <w:t>y 708–721</w:t>
            </w:r>
          </w:p>
        </w:tc>
        <w:tc>
          <w:tcPr>
            <w:tcW w:type="dxa" w:w="3402"/>
          </w:tcPr>
          <w:p>
            <w:pPr>
              <w:spacing w:after="40"/>
            </w:pPr>
            <w:r>
              <w:rPr>
                <w:sz w:val="18"/>
              </w:rPr>
              <w:t>unten, links</w:t>
              <w:br/>
              <w:t>x 1.0–3.1 %</w:t>
              <w:br/>
              <w:t>y 81.6–83.1 %</w:t>
            </w:r>
          </w:p>
        </w:tc>
      </w:tr>
      <w:tr>
        <w:trPr>
          <w:cantSplit/>
        </w:trPr>
        <w:tc>
          <w:tcPr>
            <w:tcW w:type="dxa" w:w="3288"/>
          </w:tcPr>
          <w:p>
            <w:pPr>
              <w:spacing w:after="40"/>
            </w:pPr>
            <w:r>
              <w:rPr>
                <w:sz w:val="18"/>
              </w:rPr>
              <w:t>System</w:t>
            </w:r>
          </w:p>
        </w:tc>
        <w:tc>
          <w:tcPr>
            <w:tcW w:type="dxa" w:w="3005"/>
          </w:tcPr>
          <w:p>
            <w:pPr>
              <w:spacing w:after="40"/>
            </w:pPr>
            <w:r>
              <w:rPr>
                <w:sz w:val="18"/>
              </w:rPr>
              <w:t>x 243–287</w:t>
              <w:br/>
              <w:t>y 705–718</w:t>
            </w:r>
          </w:p>
        </w:tc>
        <w:tc>
          <w:tcPr>
            <w:tcW w:type="dxa" w:w="3402"/>
          </w:tcPr>
          <w:p>
            <w:pPr>
              <w:spacing w:after="40"/>
            </w:pPr>
            <w:r>
              <w:rPr>
                <w:sz w:val="18"/>
              </w:rPr>
              <w:t>unten, links</w:t>
              <w:br/>
              <w:t>x 12.9–15.2 %</w:t>
              <w:br/>
              <w:t>y 81.2–82.7 %</w:t>
            </w:r>
          </w:p>
        </w:tc>
      </w:tr>
      <w:tr>
        <w:trPr>
          <w:cantSplit/>
        </w:trPr>
        <w:tc>
          <w:tcPr>
            <w:tcW w:type="dxa" w:w="3288"/>
          </w:tcPr>
          <w:p>
            <w:pPr>
              <w:spacing w:after="40"/>
            </w:pPr>
            <w:r>
              <w:rPr>
                <w:sz w:val="18"/>
              </w:rPr>
              <w:t>Information</w:t>
            </w:r>
          </w:p>
        </w:tc>
        <w:tc>
          <w:tcPr>
            <w:tcW w:type="dxa" w:w="3005"/>
          </w:tcPr>
          <w:p>
            <w:pPr>
              <w:spacing w:after="40"/>
            </w:pPr>
            <w:r>
              <w:rPr>
                <w:sz w:val="18"/>
              </w:rPr>
              <w:t>x 292–361</w:t>
              <w:br/>
              <w:t>y 705–715</w:t>
            </w:r>
          </w:p>
        </w:tc>
        <w:tc>
          <w:tcPr>
            <w:tcW w:type="dxa" w:w="3402"/>
          </w:tcPr>
          <w:p>
            <w:pPr>
              <w:spacing w:after="40"/>
            </w:pPr>
            <w:r>
              <w:rPr>
                <w:sz w:val="18"/>
              </w:rPr>
              <w:t>unten, links</w:t>
              <w:br/>
              <w:t>x 15.5–19.2 %</w:t>
              <w:br/>
              <w:t>y 81.2–82.4 %</w:t>
            </w:r>
          </w:p>
        </w:tc>
      </w:tr>
      <w:tr>
        <w:trPr>
          <w:cantSplit/>
        </w:trPr>
        <w:tc>
          <w:tcPr>
            <w:tcW w:type="dxa" w:w="3288"/>
          </w:tcPr>
          <w:p>
            <w:pPr>
              <w:spacing w:after="40"/>
            </w:pPr>
            <w:r>
              <w:rPr>
                <w:sz w:val="18"/>
              </w:rPr>
              <w:t>Read</w:t>
            </w:r>
          </w:p>
        </w:tc>
        <w:tc>
          <w:tcPr>
            <w:tcW w:type="dxa" w:w="3005"/>
          </w:tcPr>
          <w:p>
            <w:pPr>
              <w:spacing w:after="40"/>
            </w:pPr>
            <w:r>
              <w:rPr>
                <w:sz w:val="18"/>
              </w:rPr>
              <w:t>x 1259–1290</w:t>
              <w:br/>
              <w:t>y 705–715</w:t>
            </w:r>
          </w:p>
        </w:tc>
        <w:tc>
          <w:tcPr>
            <w:tcW w:type="dxa" w:w="3402"/>
          </w:tcPr>
          <w:p>
            <w:pPr>
              <w:spacing w:after="40"/>
            </w:pPr>
            <w:r>
              <w:rPr>
                <w:sz w:val="18"/>
              </w:rPr>
              <w:t>unten, rechts</w:t>
              <w:br/>
              <w:t>x 66.8–68.5 %</w:t>
              <w:br/>
              <w:t>y 81.2–82.4 %</w:t>
            </w:r>
          </w:p>
        </w:tc>
      </w:tr>
      <w:tr>
        <w:trPr>
          <w:cantSplit/>
        </w:trPr>
        <w:tc>
          <w:tcPr>
            <w:tcW w:type="dxa" w:w="3288"/>
          </w:tcPr>
          <w:p>
            <w:pPr>
              <w:spacing w:after="40"/>
            </w:pPr>
            <w:r>
              <w:rPr>
                <w:sz w:val="18"/>
              </w:rPr>
              <w:t>Success</w:t>
            </w:r>
          </w:p>
        </w:tc>
        <w:tc>
          <w:tcPr>
            <w:tcW w:type="dxa" w:w="3005"/>
          </w:tcPr>
          <w:p>
            <w:pPr>
              <w:spacing w:after="40"/>
            </w:pPr>
            <w:r>
              <w:rPr>
                <w:sz w:val="18"/>
              </w:rPr>
              <w:t>x 1464–1514</w:t>
              <w:br/>
              <w:t>y 705–715</w:t>
            </w:r>
          </w:p>
        </w:tc>
        <w:tc>
          <w:tcPr>
            <w:tcW w:type="dxa" w:w="3402"/>
          </w:tcPr>
          <w:p>
            <w:pPr>
              <w:spacing w:after="40"/>
            </w:pPr>
            <w:r>
              <w:rPr>
                <w:sz w:val="18"/>
              </w:rPr>
              <w:t>unten, rechts</w:t>
              <w:br/>
              <w:t>x 77.7–80.4 %</w:t>
              <w:br/>
              <w:t>y 81.2–82.4 %</w:t>
            </w:r>
          </w:p>
        </w:tc>
      </w:tr>
      <w:tr>
        <w:trPr>
          <w:cantSplit/>
        </w:trPr>
        <w:tc>
          <w:tcPr>
            <w:tcW w:type="dxa" w:w="3288"/>
          </w:tcPr>
          <w:p>
            <w:pPr>
              <w:spacing w:after="40"/>
            </w:pPr>
            <w:r>
              <w:rPr>
                <w:sz w:val="18"/>
              </w:rPr>
              <w:t>Read</w:t>
            </w:r>
          </w:p>
        </w:tc>
        <w:tc>
          <w:tcPr>
            <w:tcW w:type="dxa" w:w="3005"/>
          </w:tcPr>
          <w:p>
            <w:pPr>
              <w:spacing w:after="40"/>
            </w:pPr>
            <w:r>
              <w:rPr>
                <w:sz w:val="18"/>
              </w:rPr>
              <w:t>x 1259–1290</w:t>
              <w:br/>
              <w:t>y 738–748</w:t>
            </w:r>
          </w:p>
        </w:tc>
        <w:tc>
          <w:tcPr>
            <w:tcW w:type="dxa" w:w="3402"/>
          </w:tcPr>
          <w:p>
            <w:pPr>
              <w:spacing w:after="40"/>
            </w:pPr>
            <w:r>
              <w:rPr>
                <w:sz w:val="18"/>
              </w:rPr>
              <w:t>unten, rechts</w:t>
              <w:br/>
              <w:t>x 66.8–68.5 %</w:t>
              <w:br/>
              <w:t>y 85.0–86.2 %</w:t>
            </w:r>
          </w:p>
        </w:tc>
      </w:tr>
      <w:tr>
        <w:trPr>
          <w:cantSplit/>
        </w:trPr>
        <w:tc>
          <w:tcPr>
            <w:tcW w:type="dxa" w:w="3288"/>
          </w:tcPr>
          <w:p>
            <w:pPr>
              <w:spacing w:after="40"/>
            </w:pPr>
            <w:r>
              <w:rPr>
                <w:sz w:val="18"/>
              </w:rPr>
              <w:t>Success</w:t>
            </w:r>
          </w:p>
        </w:tc>
        <w:tc>
          <w:tcPr>
            <w:tcW w:type="dxa" w:w="3005"/>
          </w:tcPr>
          <w:p>
            <w:pPr>
              <w:spacing w:after="40"/>
            </w:pPr>
            <w:r>
              <w:rPr>
                <w:sz w:val="18"/>
              </w:rPr>
              <w:t>x 1464–1514</w:t>
              <w:br/>
              <w:t>y 738–748</w:t>
            </w:r>
          </w:p>
        </w:tc>
        <w:tc>
          <w:tcPr>
            <w:tcW w:type="dxa" w:w="3402"/>
          </w:tcPr>
          <w:p>
            <w:pPr>
              <w:spacing w:after="40"/>
            </w:pPr>
            <w:r>
              <w:rPr>
                <w:sz w:val="18"/>
              </w:rPr>
              <w:t>unten, rechts</w:t>
              <w:br/>
              <w:t>x 77.7–80.4 %</w:t>
              <w:br/>
              <w:t>y 85.0–86.2 %</w:t>
            </w:r>
          </w:p>
        </w:tc>
      </w:tr>
      <w:tr>
        <w:trPr>
          <w:cantSplit/>
        </w:trPr>
        <w:tc>
          <w:tcPr>
            <w:tcW w:type="dxa" w:w="3288"/>
          </w:tcPr>
          <w:p>
            <w:pPr>
              <w:spacing w:after="40"/>
            </w:pPr>
            <w:r>
              <w:rPr>
                <w:sz w:val="18"/>
              </w:rPr>
              <w:t>Update</w:t>
            </w:r>
          </w:p>
        </w:tc>
        <w:tc>
          <w:tcPr>
            <w:tcW w:type="dxa" w:w="3005"/>
          </w:tcPr>
          <w:p>
            <w:pPr>
              <w:spacing w:after="40"/>
            </w:pPr>
            <w:r>
              <w:rPr>
                <w:sz w:val="18"/>
              </w:rPr>
              <w:t>x 1260–1303</w:t>
              <w:br/>
              <w:t>y 770–783</w:t>
            </w:r>
          </w:p>
        </w:tc>
        <w:tc>
          <w:tcPr>
            <w:tcW w:type="dxa" w:w="3402"/>
          </w:tcPr>
          <w:p>
            <w:pPr>
              <w:spacing w:after="40"/>
            </w:pPr>
            <w:r>
              <w:rPr>
                <w:sz w:val="18"/>
              </w:rPr>
              <w:t>unten, rechts</w:t>
              <w:br/>
              <w:t>x 66.9–69.2 %</w:t>
              <w:br/>
              <w:t>y 88.7–90.2 %</w:t>
            </w:r>
          </w:p>
        </w:tc>
      </w:tr>
      <w:tr>
        <w:trPr>
          <w:cantSplit/>
        </w:trPr>
        <w:tc>
          <w:tcPr>
            <w:tcW w:type="dxa" w:w="3288"/>
          </w:tcPr>
          <w:p>
            <w:pPr>
              <w:spacing w:after="40"/>
            </w:pPr>
            <w:r>
              <w:rPr>
                <w:sz w:val="18"/>
              </w:rPr>
              <w:t>Success</w:t>
            </w:r>
          </w:p>
        </w:tc>
        <w:tc>
          <w:tcPr>
            <w:tcW w:type="dxa" w:w="3005"/>
          </w:tcPr>
          <w:p>
            <w:pPr>
              <w:spacing w:after="40"/>
            </w:pPr>
            <w:r>
              <w:rPr>
                <w:sz w:val="18"/>
              </w:rPr>
              <w:t>x 1464–1514</w:t>
              <w:br/>
              <w:t>y 771–781</w:t>
            </w:r>
          </w:p>
        </w:tc>
        <w:tc>
          <w:tcPr>
            <w:tcW w:type="dxa" w:w="3402"/>
          </w:tcPr>
          <w:p>
            <w:pPr>
              <w:spacing w:after="40"/>
            </w:pPr>
            <w:r>
              <w:rPr>
                <w:sz w:val="18"/>
              </w:rPr>
              <w:t>unten, rechts</w:t>
              <w:br/>
              <w:t>x 77.7–80.4 %</w:t>
              <w:br/>
              <w:t>y 88.8–90.0 %</w:t>
            </w:r>
          </w:p>
        </w:tc>
      </w:tr>
      <w:tr>
        <w:trPr>
          <w:cantSplit/>
        </w:trPr>
        <w:tc>
          <w:tcPr>
            <w:tcW w:type="dxa" w:w="3288"/>
          </w:tcPr>
          <w:p>
            <w:pPr>
              <w:spacing w:after="40"/>
            </w:pPr>
            <w:r>
              <w:rPr>
                <w:sz w:val="18"/>
              </w:rPr>
              <w:t>Security</w:t>
            </w:r>
          </w:p>
        </w:tc>
        <w:tc>
          <w:tcPr>
            <w:tcW w:type="dxa" w:w="3005"/>
          </w:tcPr>
          <w:p>
            <w:pPr>
              <w:spacing w:after="40"/>
            </w:pPr>
            <w:r>
              <w:rPr>
                <w:sz w:val="18"/>
              </w:rPr>
              <w:t>x 18–68</w:t>
              <w:br/>
              <w:t>y 791–804</w:t>
            </w:r>
          </w:p>
        </w:tc>
        <w:tc>
          <w:tcPr>
            <w:tcW w:type="dxa" w:w="3402"/>
          </w:tcPr>
          <w:p>
            <w:pPr>
              <w:spacing w:after="40"/>
            </w:pPr>
            <w:r>
              <w:rPr>
                <w:sz w:val="18"/>
              </w:rPr>
              <w:t>unten, links</w:t>
              <w:br/>
              <w:t>x 1.0–3.6 %</w:t>
              <w:br/>
              <w:t>y 91.1–92.6 %</w:t>
            </w:r>
          </w:p>
        </w:tc>
      </w:tr>
      <w:tr>
        <w:trPr>
          <w:cantSplit/>
        </w:trPr>
        <w:tc>
          <w:tcPr>
            <w:tcW w:type="dxa" w:w="3288"/>
          </w:tcPr>
          <w:p>
            <w:pPr>
              <w:spacing w:after="40"/>
            </w:pPr>
            <w:r>
              <w:rPr>
                <w:sz w:val="18"/>
              </w:rPr>
              <w:t>Read</w:t>
            </w:r>
          </w:p>
        </w:tc>
        <w:tc>
          <w:tcPr>
            <w:tcW w:type="dxa" w:w="3005"/>
          </w:tcPr>
          <w:p>
            <w:pPr>
              <w:spacing w:after="40"/>
            </w:pPr>
            <w:r>
              <w:rPr>
                <w:sz w:val="18"/>
              </w:rPr>
              <w:t>x 1259–1290</w:t>
              <w:br/>
              <w:t>y 804–814</w:t>
            </w:r>
          </w:p>
        </w:tc>
        <w:tc>
          <w:tcPr>
            <w:tcW w:type="dxa" w:w="3402"/>
          </w:tcPr>
          <w:p>
            <w:pPr>
              <w:spacing w:after="40"/>
            </w:pPr>
            <w:r>
              <w:rPr>
                <w:sz w:val="18"/>
              </w:rPr>
              <w:t>unten, rechts</w:t>
              <w:br/>
              <w:t>x 66.8–68.5 %</w:t>
              <w:br/>
              <w:t>y 92.6–93.8 %</w:t>
            </w:r>
          </w:p>
        </w:tc>
      </w:tr>
      <w:tr>
        <w:trPr>
          <w:cantSplit/>
        </w:trPr>
        <w:tc>
          <w:tcPr>
            <w:tcW w:type="dxa" w:w="3288"/>
          </w:tcPr>
          <w:p>
            <w:pPr>
              <w:spacing w:after="40"/>
            </w:pPr>
            <w:r>
              <w:rPr>
                <w:sz w:val="18"/>
              </w:rPr>
              <w:t>Failed</w:t>
            </w:r>
          </w:p>
        </w:tc>
        <w:tc>
          <w:tcPr>
            <w:tcW w:type="dxa" w:w="3005"/>
          </w:tcPr>
          <w:p>
            <w:pPr>
              <w:spacing w:after="40"/>
            </w:pPr>
            <w:r>
              <w:rPr>
                <w:sz w:val="18"/>
              </w:rPr>
              <w:t>x 1464–1500</w:t>
              <w:br/>
              <w:t>y 804–814</w:t>
            </w:r>
          </w:p>
        </w:tc>
        <w:tc>
          <w:tcPr>
            <w:tcW w:type="dxa" w:w="3402"/>
          </w:tcPr>
          <w:p>
            <w:pPr>
              <w:spacing w:after="40"/>
            </w:pPr>
            <w:r>
              <w:rPr>
                <w:sz w:val="18"/>
              </w:rPr>
              <w:t>unten, rechts</w:t>
              <w:br/>
              <w:t>x 77.7–79.6 %</w:t>
              <w:br/>
              <w:t>y 92.6–93.8 %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15: System: On-Premise Agents und Third-Party Drivers</w:t>
      </w:r>
    </w:p>
    <w:p>
      <w:r>
        <w:t>Bildformat: 1912 × 913 Pixel. Die folgenden Positionen beziehen sich auf dieses vollständige Bild.</w:t>
      </w:r>
    </w:p>
    <w:p>
      <w:pPr>
        <w:pStyle w:val="Heading2"/>
      </w:pPr>
      <w:r>
        <w:t>1. Gesamtaufbau und sichtbarer Zustand</w:t>
      </w:r>
    </w:p>
    <w:p>
      <w:pPr>
        <w:pStyle w:val="Heading3"/>
      </w:pPr>
      <w:r>
        <w:t>Gesamtansicht</w:t>
      </w:r>
    </w:p>
    <w:p>
      <w:r>
        <w:t>Die Systemseite besitzt eine obere Reihe mit mehreren Registerkarten. Im Hauptbereich steht ein Abschnitt zu On-Premise Agents. Darunter folgt ein Tabellenbereich für Third-Party Drivers.</w:t>
      </w:r>
    </w:p>
    <w:p>
      <w:pPr>
        <w:pStyle w:val="Heading3"/>
      </w:pPr>
      <w:r>
        <w:t>Registerkarten oben</w:t>
      </w:r>
    </w:p>
    <w:p>
      <w:r>
        <w:t>Sichtbare Registerkarten sind unter anderem Audit, Tasks, Data Integration, Security, Monitoring, IP Allowlist, Database Access, Tenant Configuration, SAP BW Bridge, Unified Customer Landscape und Workload Management. Einige Register besitzen ein kleines Dropdown-Symbol.</w:t>
      </w:r>
    </w:p>
    <w:p>
      <w:pPr>
        <w:pStyle w:val="Heading3"/>
      </w:pPr>
      <w:r>
        <w:t>Oberer Hauptbereich</w:t>
      </w:r>
    </w:p>
    <w:p>
      <w:r>
        <w:t>Der Abschnitt „On-Premise Agents“ enthält einen erklärenden Absatz zu SAP HANA Smart Data Integration und einem Data Provisioning Agent. Darunter stehen die Schaltflächen „Monitor Connections“ und „Refresh Agents“. Der dazwischenliegende Inhaltsbereich ist weitgehend leer.</w:t>
      </w:r>
    </w:p>
    <w:p>
      <w:pPr>
        <w:pStyle w:val="Heading3"/>
      </w:pPr>
      <w:r>
        <w:t>Unterer Hauptbereich</w:t>
      </w:r>
    </w:p>
    <w:p>
      <w:r>
        <w:t>„Third-Party Drivers“ besitzt eine eigene Werkzeugleiste mit mehreren Symbolen und einer Suche. Die Tabelle enthält die Spalten File Name, File Size und Creation Date. In der Tabellenfläche steht „No drivers exist.“. Die beiden Abschnitte sind durch einen deutlichen vertikalen Abstand getrennt.</w:t>
      </w:r>
    </w:p>
    <w:p>
      <w:pPr>
        <w:pStyle w:val="Heading2"/>
      </w:pPr>
      <w:r>
        <w:t>2. Räumliche Beschreibung von oben nach unten</w:t>
      </w:r>
    </w:p>
    <w:p>
      <w:pPr>
        <w:pStyle w:val="Heading3"/>
      </w:pPr>
      <w:r>
        <w:t>Registerleiste</w:t>
      </w:r>
    </w:p>
    <w:p>
      <w:r>
        <w:rPr>
          <w:b/>
        </w:rPr>
        <w:t xml:space="preserve">Ungefähre Bildregion: </w:t>
      </w:r>
      <w:r>
        <w:t>x 16–100 %, y 9–14 %</w:t>
      </w:r>
    </w:p>
    <w:p>
      <w:r>
        <w:t>Die Register sind horizontal angeordnet. Audit und Tasks stehen links, danach folgen die weiteren Systembereiche. Kleine nach unten gerichtete Pfeile erscheinen bei einzelnen Registerbezeichnungen.</w:t>
      </w:r>
    </w:p>
    <w:p>
      <w:pPr>
        <w:pStyle w:val="Heading3"/>
      </w:pPr>
      <w:r>
        <w:t>Agentenbereich</w:t>
      </w:r>
    </w:p>
    <w:p>
      <w:r>
        <w:rPr>
          <w:b/>
        </w:rPr>
        <w:t xml:space="preserve">Ungefähre Bildregion: </w:t>
      </w:r>
      <w:r>
        <w:t>x 16–97 %, y 14–70 %</w:t>
      </w:r>
    </w:p>
    <w:p>
      <w:r>
        <w:t>On-Premise Agents steht links über dem Abschnitt. Der Erklärungstext beginnt weiter rechts und läuft über mehrere Zeilen. Monitor Connections steht unter dem Text links, Refresh Agents weiter rechts. Der große Bereich darunter bleibt weitgehend leer.</w:t>
      </w:r>
    </w:p>
    <w:p>
      <w:pPr>
        <w:pStyle w:val="Heading3"/>
      </w:pPr>
      <w:r>
        <w:t>Treiberbereich</w:t>
      </w:r>
    </w:p>
    <w:p>
      <w:r>
        <w:rPr>
          <w:b/>
        </w:rPr>
        <w:t xml:space="preserve">Ungefähre Bildregion: </w:t>
      </w:r>
      <w:r>
        <w:t>x 16–97 %, y 74–100 %</w:t>
      </w:r>
    </w:p>
    <w:p>
      <w:r>
        <w:t>Third-Party Drivers steht links. Rechts darüber beziehungsweise daneben liegen kleine Werkzeugleistensymbole und Search. Die Tabelle enthält File Name links, File Size mittig und Creation Date rechts. No drivers exist. steht im leeren Tabellenkörper.</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Data Integration</w:t>
            </w:r>
          </w:p>
        </w:tc>
        <w:tc>
          <w:tcPr>
            <w:tcW w:type="dxa" w:w="3005"/>
          </w:tcPr>
          <w:p>
            <w:pPr>
              <w:spacing w:after="40"/>
            </w:pPr>
            <w:r>
              <w:rPr>
                <w:sz w:val="18"/>
              </w:rPr>
              <w:t>x 289–393</w:t>
              <w:br/>
              <w:t>y 101–114</w:t>
            </w:r>
          </w:p>
        </w:tc>
        <w:tc>
          <w:tcPr>
            <w:tcW w:type="dxa" w:w="3402"/>
          </w:tcPr>
          <w:p>
            <w:pPr>
              <w:spacing w:after="40"/>
            </w:pPr>
            <w:r>
              <w:rPr>
                <w:sz w:val="18"/>
              </w:rPr>
              <w:t>oben, links</w:t>
              <w:br/>
              <w:t>x 15.1–20.6 %</w:t>
              <w:br/>
              <w:t>y 11.1–12.5 %</w:t>
            </w:r>
          </w:p>
        </w:tc>
      </w:tr>
      <w:tr>
        <w:trPr>
          <w:cantSplit/>
        </w:trPr>
        <w:tc>
          <w:tcPr>
            <w:tcW w:type="dxa" w:w="3288"/>
          </w:tcPr>
          <w:p>
            <w:pPr>
              <w:spacing w:after="40"/>
            </w:pPr>
            <w:r>
              <w:rPr>
                <w:sz w:val="18"/>
              </w:rPr>
              <w:t>Security</w:t>
            </w:r>
          </w:p>
        </w:tc>
        <w:tc>
          <w:tcPr>
            <w:tcW w:type="dxa" w:w="3005"/>
          </w:tcPr>
          <w:p>
            <w:pPr>
              <w:spacing w:after="40"/>
            </w:pPr>
            <w:r>
              <w:rPr>
                <w:sz w:val="18"/>
              </w:rPr>
              <w:t>x 426–480</w:t>
              <w:br/>
              <w:t>y 101–114</w:t>
            </w:r>
          </w:p>
        </w:tc>
        <w:tc>
          <w:tcPr>
            <w:tcW w:type="dxa" w:w="3402"/>
          </w:tcPr>
          <w:p>
            <w:pPr>
              <w:spacing w:after="40"/>
            </w:pPr>
            <w:r>
              <w:rPr>
                <w:sz w:val="18"/>
              </w:rPr>
              <w:t>oben, links</w:t>
              <w:br/>
              <w:t>x 22.3–25.1 %</w:t>
              <w:br/>
              <w:t>y 11.1–12.5 %</w:t>
            </w:r>
          </w:p>
        </w:tc>
      </w:tr>
      <w:tr>
        <w:trPr>
          <w:cantSplit/>
        </w:trPr>
        <w:tc>
          <w:tcPr>
            <w:tcW w:type="dxa" w:w="3288"/>
          </w:tcPr>
          <w:p>
            <w:pPr>
              <w:spacing w:after="40"/>
            </w:pPr>
            <w:r>
              <w:rPr>
                <w:sz w:val="18"/>
              </w:rPr>
              <w:t>Audit</w:t>
            </w:r>
          </w:p>
        </w:tc>
        <w:tc>
          <w:tcPr>
            <w:tcW w:type="dxa" w:w="3005"/>
          </w:tcPr>
          <w:p>
            <w:pPr>
              <w:spacing w:after="40"/>
            </w:pPr>
            <w:r>
              <w:rPr>
                <w:sz w:val="18"/>
              </w:rPr>
              <w:t>x 513–548</w:t>
              <w:br/>
              <w:t>y 101–111</w:t>
            </w:r>
          </w:p>
        </w:tc>
        <w:tc>
          <w:tcPr>
            <w:tcW w:type="dxa" w:w="3402"/>
          </w:tcPr>
          <w:p>
            <w:pPr>
              <w:spacing w:after="40"/>
            </w:pPr>
            <w:r>
              <w:rPr>
                <w:sz w:val="18"/>
              </w:rPr>
              <w:t>oben, links</w:t>
              <w:br/>
              <w:t>x 26.8–28.7 %</w:t>
              <w:br/>
              <w:t>y 11.1–12.2 %</w:t>
            </w:r>
          </w:p>
        </w:tc>
      </w:tr>
      <w:tr>
        <w:trPr>
          <w:cantSplit/>
        </w:trPr>
        <w:tc>
          <w:tcPr>
            <w:tcW w:type="dxa" w:w="3288"/>
          </w:tcPr>
          <w:p>
            <w:pPr>
              <w:spacing w:after="40"/>
            </w:pPr>
            <w:r>
              <w:rPr>
                <w:sz w:val="18"/>
              </w:rPr>
              <w:t>Monitoring</w:t>
            </w:r>
          </w:p>
        </w:tc>
        <w:tc>
          <w:tcPr>
            <w:tcW w:type="dxa" w:w="3005"/>
          </w:tcPr>
          <w:p>
            <w:pPr>
              <w:spacing w:after="40"/>
            </w:pPr>
            <w:r>
              <w:rPr>
                <w:sz w:val="18"/>
              </w:rPr>
              <w:t>x 581–652</w:t>
              <w:br/>
              <w:t>y 101–114</w:t>
            </w:r>
          </w:p>
        </w:tc>
        <w:tc>
          <w:tcPr>
            <w:tcW w:type="dxa" w:w="3402"/>
          </w:tcPr>
          <w:p>
            <w:pPr>
              <w:spacing w:after="40"/>
            </w:pPr>
            <w:r>
              <w:rPr>
                <w:sz w:val="18"/>
              </w:rPr>
              <w:t>oben, links</w:t>
              <w:br/>
              <w:t>x 30.4–34.1 %</w:t>
              <w:br/>
              <w:t>y 11.1–12.5 %</w:t>
            </w:r>
          </w:p>
        </w:tc>
      </w:tr>
      <w:tr>
        <w:trPr>
          <w:cantSplit/>
        </w:trPr>
        <w:tc>
          <w:tcPr>
            <w:tcW w:type="dxa" w:w="3288"/>
          </w:tcPr>
          <w:p>
            <w:pPr>
              <w:spacing w:after="40"/>
            </w:pPr>
            <w:r>
              <w:rPr>
                <w:sz w:val="18"/>
              </w:rPr>
              <w:t>IP Allowlist</w:t>
            </w:r>
          </w:p>
        </w:tc>
        <w:tc>
          <w:tcPr>
            <w:tcW w:type="dxa" w:w="3005"/>
          </w:tcPr>
          <w:p>
            <w:pPr>
              <w:spacing w:after="40"/>
            </w:pPr>
            <w:r>
              <w:rPr>
                <w:sz w:val="18"/>
              </w:rPr>
              <w:t>x 685–758</w:t>
              <w:br/>
              <w:t>y 101–111</w:t>
            </w:r>
          </w:p>
        </w:tc>
        <w:tc>
          <w:tcPr>
            <w:tcW w:type="dxa" w:w="3402"/>
          </w:tcPr>
          <w:p>
            <w:pPr>
              <w:spacing w:after="40"/>
            </w:pPr>
            <w:r>
              <w:rPr>
                <w:sz w:val="18"/>
              </w:rPr>
              <w:t>oben, mittig</w:t>
              <w:br/>
              <w:t>x 35.8–39.6 %</w:t>
              <w:br/>
              <w:t>y 11.1–12.2 %</w:t>
            </w:r>
          </w:p>
        </w:tc>
      </w:tr>
      <w:tr>
        <w:trPr>
          <w:cantSplit/>
        </w:trPr>
        <w:tc>
          <w:tcPr>
            <w:tcW w:type="dxa" w:w="3288"/>
          </w:tcPr>
          <w:p>
            <w:pPr>
              <w:spacing w:after="40"/>
            </w:pPr>
            <w:r>
              <w:rPr>
                <w:sz w:val="18"/>
              </w:rPr>
              <w:t>Tasks</w:t>
            </w:r>
          </w:p>
        </w:tc>
        <w:tc>
          <w:tcPr>
            <w:tcW w:type="dxa" w:w="3005"/>
          </w:tcPr>
          <w:p>
            <w:pPr>
              <w:spacing w:after="40"/>
            </w:pPr>
            <w:r>
              <w:rPr>
                <w:sz w:val="18"/>
              </w:rPr>
              <w:t>x 824–860</w:t>
              <w:br/>
              <w:t>y 101–111</w:t>
            </w:r>
          </w:p>
        </w:tc>
        <w:tc>
          <w:tcPr>
            <w:tcW w:type="dxa" w:w="3402"/>
          </w:tcPr>
          <w:p>
            <w:pPr>
              <w:spacing w:after="40"/>
            </w:pPr>
            <w:r>
              <w:rPr>
                <w:sz w:val="18"/>
              </w:rPr>
              <w:t>oben, mittig</w:t>
              <w:br/>
              <w:t>x 43.1–45.0 %</w:t>
              <w:br/>
              <w:t>y 11.1–12.2 %</w:t>
            </w:r>
          </w:p>
        </w:tc>
      </w:tr>
      <w:tr>
        <w:trPr>
          <w:cantSplit/>
        </w:trPr>
        <w:tc>
          <w:tcPr>
            <w:tcW w:type="dxa" w:w="3288"/>
          </w:tcPr>
          <w:p>
            <w:pPr>
              <w:spacing w:after="40"/>
            </w:pPr>
            <w:r>
              <w:rPr>
                <w:sz w:val="18"/>
              </w:rPr>
              <w:t>Database Access</w:t>
            </w:r>
          </w:p>
        </w:tc>
        <w:tc>
          <w:tcPr>
            <w:tcW w:type="dxa" w:w="3005"/>
          </w:tcPr>
          <w:p>
            <w:pPr>
              <w:spacing w:after="40"/>
            </w:pPr>
            <w:r>
              <w:rPr>
                <w:sz w:val="18"/>
              </w:rPr>
              <w:t>x 893–1004</w:t>
              <w:br/>
              <w:t>y 101–111</w:t>
            </w:r>
          </w:p>
        </w:tc>
        <w:tc>
          <w:tcPr>
            <w:tcW w:type="dxa" w:w="3402"/>
          </w:tcPr>
          <w:p>
            <w:pPr>
              <w:spacing w:after="40"/>
            </w:pPr>
            <w:r>
              <w:rPr>
                <w:sz w:val="18"/>
              </w:rPr>
              <w:t>oben, mittig</w:t>
              <w:br/>
              <w:t>x 46.7–52.5 %</w:t>
              <w:br/>
              <w:t>y 11.1–12.2 %</w:t>
            </w:r>
          </w:p>
        </w:tc>
      </w:tr>
      <w:tr>
        <w:trPr>
          <w:cantSplit/>
        </w:trPr>
        <w:tc>
          <w:tcPr>
            <w:tcW w:type="dxa" w:w="3288"/>
          </w:tcPr>
          <w:p>
            <w:pPr>
              <w:spacing w:after="40"/>
            </w:pPr>
            <w:r>
              <w:rPr>
                <w:sz w:val="18"/>
              </w:rPr>
              <w:t>Tenant Configuration</w:t>
            </w:r>
          </w:p>
        </w:tc>
        <w:tc>
          <w:tcPr>
            <w:tcW w:type="dxa" w:w="3005"/>
          </w:tcPr>
          <w:p>
            <w:pPr>
              <w:spacing w:after="40"/>
            </w:pPr>
            <w:r>
              <w:rPr>
                <w:sz w:val="18"/>
              </w:rPr>
              <w:t>x 1070–1209</w:t>
              <w:br/>
              <w:t>y 101–114</w:t>
            </w:r>
          </w:p>
        </w:tc>
        <w:tc>
          <w:tcPr>
            <w:tcW w:type="dxa" w:w="3402"/>
          </w:tcPr>
          <w:p>
            <w:pPr>
              <w:spacing w:after="40"/>
            </w:pPr>
            <w:r>
              <w:rPr>
                <w:sz w:val="18"/>
              </w:rPr>
              <w:t>oben, mittig</w:t>
              <w:br/>
              <w:t>x 56.0–63.2 %</w:t>
              <w:br/>
              <w:t>y 11.1–12.5 %</w:t>
            </w:r>
          </w:p>
        </w:tc>
      </w:tr>
      <w:tr>
        <w:trPr>
          <w:cantSplit/>
        </w:trPr>
        <w:tc>
          <w:tcPr>
            <w:tcW w:type="dxa" w:w="3288"/>
          </w:tcPr>
          <w:p>
            <w:pPr>
              <w:spacing w:after="40"/>
            </w:pPr>
            <w:r>
              <w:rPr>
                <w:sz w:val="18"/>
              </w:rPr>
              <w:t>SAP BW Bridge</w:t>
            </w:r>
          </w:p>
        </w:tc>
        <w:tc>
          <w:tcPr>
            <w:tcW w:type="dxa" w:w="3005"/>
          </w:tcPr>
          <w:p>
            <w:pPr>
              <w:spacing w:after="40"/>
            </w:pPr>
            <w:r>
              <w:rPr>
                <w:sz w:val="18"/>
              </w:rPr>
              <w:t>x 1242–1342</w:t>
              <w:br/>
              <w:t>y 101–114</w:t>
            </w:r>
          </w:p>
        </w:tc>
        <w:tc>
          <w:tcPr>
            <w:tcW w:type="dxa" w:w="3402"/>
          </w:tcPr>
          <w:p>
            <w:pPr>
              <w:spacing w:after="40"/>
            </w:pPr>
            <w:r>
              <w:rPr>
                <w:sz w:val="18"/>
              </w:rPr>
              <w:t>oben, rechts</w:t>
              <w:br/>
              <w:t>x 65.0–70.2 %</w:t>
              <w:br/>
              <w:t>y 11.1–12.5 %</w:t>
            </w:r>
          </w:p>
        </w:tc>
      </w:tr>
      <w:tr>
        <w:trPr>
          <w:cantSplit/>
        </w:trPr>
        <w:tc>
          <w:tcPr>
            <w:tcW w:type="dxa" w:w="3288"/>
          </w:tcPr>
          <w:p>
            <w:pPr>
              <w:spacing w:after="40"/>
            </w:pPr>
            <w:r>
              <w:rPr>
                <w:sz w:val="18"/>
              </w:rPr>
              <w:t>Unified Customer Landscape</w:t>
            </w:r>
          </w:p>
        </w:tc>
        <w:tc>
          <w:tcPr>
            <w:tcW w:type="dxa" w:w="3005"/>
          </w:tcPr>
          <w:p>
            <w:pPr>
              <w:spacing w:after="40"/>
            </w:pPr>
            <w:r>
              <w:rPr>
                <w:sz w:val="18"/>
              </w:rPr>
              <w:t>x 1376–1566</w:t>
              <w:br/>
              <w:t>y 101–114</w:t>
            </w:r>
          </w:p>
        </w:tc>
        <w:tc>
          <w:tcPr>
            <w:tcW w:type="dxa" w:w="3402"/>
          </w:tcPr>
          <w:p>
            <w:pPr>
              <w:spacing w:after="40"/>
            </w:pPr>
            <w:r>
              <w:rPr>
                <w:sz w:val="18"/>
              </w:rPr>
              <w:t>oben, rechts</w:t>
              <w:br/>
              <w:t>x 71.9–81.9 %</w:t>
              <w:br/>
              <w:t>y 11.1–12.5 %</w:t>
            </w:r>
          </w:p>
        </w:tc>
      </w:tr>
      <w:tr>
        <w:trPr>
          <w:cantSplit/>
        </w:trPr>
        <w:tc>
          <w:tcPr>
            <w:tcW w:type="dxa" w:w="3288"/>
          </w:tcPr>
          <w:p>
            <w:pPr>
              <w:spacing w:after="40"/>
            </w:pPr>
            <w:r>
              <w:rPr>
                <w:sz w:val="18"/>
              </w:rPr>
              <w:t>Workload Management</w:t>
            </w:r>
          </w:p>
        </w:tc>
        <w:tc>
          <w:tcPr>
            <w:tcW w:type="dxa" w:w="3005"/>
          </w:tcPr>
          <w:p>
            <w:pPr>
              <w:spacing w:after="40"/>
            </w:pPr>
            <w:r>
              <w:rPr>
                <w:sz w:val="18"/>
              </w:rPr>
              <w:t>x 1598–1751</w:t>
              <w:br/>
              <w:t>y 101–114</w:t>
            </w:r>
          </w:p>
        </w:tc>
        <w:tc>
          <w:tcPr>
            <w:tcW w:type="dxa" w:w="3402"/>
          </w:tcPr>
          <w:p>
            <w:pPr>
              <w:spacing w:after="40"/>
            </w:pPr>
            <w:r>
              <w:rPr>
                <w:sz w:val="18"/>
              </w:rPr>
              <w:t>oben, rechts</w:t>
              <w:br/>
              <w:t>x 83.6–91.6 %</w:t>
              <w:br/>
              <w:t>y 11.1–12.5 %</w:t>
            </w:r>
          </w:p>
        </w:tc>
      </w:tr>
      <w:tr>
        <w:trPr>
          <w:cantSplit/>
        </w:trPr>
        <w:tc>
          <w:tcPr>
            <w:tcW w:type="dxa" w:w="3288"/>
          </w:tcPr>
          <w:p>
            <w:pPr>
              <w:spacing w:after="40"/>
            </w:pPr>
            <w:r>
              <w:rPr>
                <w:sz w:val="18"/>
              </w:rPr>
              <w:t>More</w:t>
            </w:r>
          </w:p>
        </w:tc>
        <w:tc>
          <w:tcPr>
            <w:tcW w:type="dxa" w:w="3005"/>
          </w:tcPr>
          <w:p>
            <w:pPr>
              <w:spacing w:after="40"/>
            </w:pPr>
            <w:r>
              <w:rPr>
                <w:sz w:val="18"/>
              </w:rPr>
              <w:t>x 1819–1852</w:t>
              <w:br/>
              <w:t>y 101–111</w:t>
            </w:r>
          </w:p>
        </w:tc>
        <w:tc>
          <w:tcPr>
            <w:tcW w:type="dxa" w:w="3402"/>
          </w:tcPr>
          <w:p>
            <w:pPr>
              <w:spacing w:after="40"/>
            </w:pPr>
            <w:r>
              <w:rPr>
                <w:sz w:val="18"/>
              </w:rPr>
              <w:t>oben, rechts</w:t>
              <w:br/>
              <w:t>x 95.1–96.9 %</w:t>
              <w:br/>
              <w:t>y 11.1–12.2 %</w:t>
            </w:r>
          </w:p>
        </w:tc>
      </w:tr>
      <w:tr>
        <w:trPr>
          <w:cantSplit/>
        </w:trPr>
        <w:tc>
          <w:tcPr>
            <w:tcW w:type="dxa" w:w="3288"/>
          </w:tcPr>
          <w:p>
            <w:pPr>
              <w:spacing w:after="40"/>
            </w:pPr>
            <w:r>
              <w:rPr>
                <w:sz w:val="18"/>
              </w:rPr>
              <w:t>Elastic Compute Nodes</w:t>
            </w:r>
          </w:p>
        </w:tc>
        <w:tc>
          <w:tcPr>
            <w:tcW w:type="dxa" w:w="3005"/>
          </w:tcPr>
          <w:p>
            <w:pPr>
              <w:spacing w:after="40"/>
            </w:pPr>
            <w:r>
              <w:rPr>
                <w:sz w:val="18"/>
              </w:rPr>
              <w:t>x 46–189</w:t>
              <w:br/>
              <w:t>y 114–127</w:t>
            </w:r>
          </w:p>
        </w:tc>
        <w:tc>
          <w:tcPr>
            <w:tcW w:type="dxa" w:w="3402"/>
          </w:tcPr>
          <w:p>
            <w:pPr>
              <w:spacing w:after="40"/>
            </w:pPr>
            <w:r>
              <w:rPr>
                <w:sz w:val="18"/>
              </w:rPr>
              <w:t>oben, links</w:t>
              <w:br/>
              <w:t>x 2.4–9.9 %</w:t>
              <w:br/>
              <w:t>y 12.5–13.9 %</w:t>
            </w:r>
          </w:p>
        </w:tc>
      </w:tr>
      <w:tr>
        <w:trPr>
          <w:cantSplit/>
        </w:trPr>
        <w:tc>
          <w:tcPr>
            <w:tcW w:type="dxa" w:w="3288"/>
          </w:tcPr>
          <w:p>
            <w:pPr>
              <w:spacing w:after="40"/>
            </w:pPr>
            <w:r>
              <w:rPr>
                <w:sz w:val="18"/>
              </w:rPr>
              <w:t>Data Integration</w:t>
            </w:r>
          </w:p>
        </w:tc>
        <w:tc>
          <w:tcPr>
            <w:tcW w:type="dxa" w:w="3005"/>
          </w:tcPr>
          <w:p>
            <w:pPr>
              <w:spacing w:after="40"/>
            </w:pPr>
            <w:r>
              <w:rPr>
                <w:sz w:val="18"/>
              </w:rPr>
              <w:t>x 46–144</w:t>
              <w:br/>
              <w:t>y 150–163</w:t>
            </w:r>
          </w:p>
        </w:tc>
        <w:tc>
          <w:tcPr>
            <w:tcW w:type="dxa" w:w="3402"/>
          </w:tcPr>
          <w:p>
            <w:pPr>
              <w:spacing w:after="40"/>
            </w:pPr>
            <w:r>
              <w:rPr>
                <w:sz w:val="18"/>
              </w:rPr>
              <w:t>oben, links</w:t>
              <w:br/>
              <w:t>x 2.4–7.5 %</w:t>
              <w:br/>
              <w:t>y 16.4–17.9 %</w:t>
            </w:r>
          </w:p>
        </w:tc>
      </w:tr>
      <w:tr>
        <w:trPr>
          <w:cantSplit/>
        </w:trPr>
        <w:tc>
          <w:tcPr>
            <w:tcW w:type="dxa" w:w="3288"/>
          </w:tcPr>
          <w:p>
            <w:pPr>
              <w:spacing w:after="40"/>
            </w:pPr>
            <w:r>
              <w:rPr>
                <w:sz w:val="18"/>
              </w:rPr>
              <w:t>On-Premise Agents</w:t>
            </w:r>
          </w:p>
        </w:tc>
        <w:tc>
          <w:tcPr>
            <w:tcW w:type="dxa" w:w="3005"/>
          </w:tcPr>
          <w:p>
            <w:pPr>
              <w:spacing w:after="40"/>
            </w:pPr>
            <w:r>
              <w:rPr>
                <w:sz w:val="18"/>
              </w:rPr>
              <w:t>x 302–446</w:t>
              <w:br/>
              <w:t>y 162–177</w:t>
            </w:r>
          </w:p>
        </w:tc>
        <w:tc>
          <w:tcPr>
            <w:tcW w:type="dxa" w:w="3402"/>
          </w:tcPr>
          <w:p>
            <w:pPr>
              <w:spacing w:after="40"/>
            </w:pPr>
            <w:r>
              <w:rPr>
                <w:sz w:val="18"/>
              </w:rPr>
              <w:t>oben, links</w:t>
              <w:br/>
              <w:t>x 15.8–23.3 %</w:t>
              <w:br/>
              <w:t>y 17.8–19.4 %</w:t>
            </w:r>
          </w:p>
        </w:tc>
      </w:tr>
      <w:tr>
        <w:trPr>
          <w:cantSplit/>
        </w:trPr>
        <w:tc>
          <w:tcPr>
            <w:tcW w:type="dxa" w:w="3288"/>
          </w:tcPr>
          <w:p>
            <w:pPr>
              <w:spacing w:after="40"/>
            </w:pPr>
            <w:r>
              <w:rPr>
                <w:sz w:val="18"/>
              </w:rPr>
              <w:t>SAP HANA</w:t>
            </w:r>
          </w:p>
        </w:tc>
        <w:tc>
          <w:tcPr>
            <w:tcW w:type="dxa" w:w="3005"/>
          </w:tcPr>
          <w:p>
            <w:pPr>
              <w:spacing w:after="40"/>
            </w:pPr>
            <w:r>
              <w:rPr>
                <w:sz w:val="18"/>
              </w:rPr>
              <w:t>x 960–1026</w:t>
              <w:br/>
              <w:t>y 179–189</w:t>
            </w:r>
          </w:p>
        </w:tc>
        <w:tc>
          <w:tcPr>
            <w:tcW w:type="dxa" w:w="3402"/>
          </w:tcPr>
          <w:p>
            <w:pPr>
              <w:spacing w:after="40"/>
            </w:pPr>
            <w:r>
              <w:rPr>
                <w:sz w:val="18"/>
              </w:rPr>
              <w:t>oben, mittig</w:t>
              <w:br/>
              <w:t>x 50.2–53.7 %</w:t>
              <w:br/>
              <w:t>y 19.6–20.7 %</w:t>
            </w:r>
          </w:p>
        </w:tc>
      </w:tr>
      <w:tr>
        <w:trPr>
          <w:cantSplit/>
        </w:trPr>
        <w:tc>
          <w:tcPr>
            <w:tcW w:type="dxa" w:w="3288"/>
          </w:tcPr>
          <w:p>
            <w:pPr>
              <w:spacing w:after="40"/>
            </w:pPr>
            <w:r>
              <w:rPr>
                <w:sz w:val="18"/>
              </w:rPr>
              <w:t>data integration</w:t>
            </w:r>
          </w:p>
        </w:tc>
        <w:tc>
          <w:tcPr>
            <w:tcW w:type="dxa" w:w="3005"/>
          </w:tcPr>
          <w:p>
            <w:pPr>
              <w:spacing w:after="40"/>
            </w:pPr>
            <w:r>
              <w:rPr>
                <w:sz w:val="18"/>
              </w:rPr>
              <w:t>x 1068–1164</w:t>
              <w:br/>
              <w:t>y 179–192</w:t>
            </w:r>
          </w:p>
        </w:tc>
        <w:tc>
          <w:tcPr>
            <w:tcW w:type="dxa" w:w="3402"/>
          </w:tcPr>
          <w:p>
            <w:pPr>
              <w:spacing w:after="40"/>
            </w:pPr>
            <w:r>
              <w:rPr>
                <w:sz w:val="18"/>
              </w:rPr>
              <w:t>oben, mittig</w:t>
              <w:br/>
              <w:t>x 55.9–60.9 %</w:t>
              <w:br/>
              <w:t>y 19.6–21.0 %</w:t>
            </w:r>
          </w:p>
        </w:tc>
      </w:tr>
      <w:tr>
        <w:trPr>
          <w:cantSplit/>
        </w:trPr>
        <w:tc>
          <w:tcPr>
            <w:tcW w:type="dxa" w:w="3288"/>
          </w:tcPr>
          <w:p>
            <w:pPr>
              <w:spacing w:after="40"/>
            </w:pPr>
            <w:r>
              <w:rPr>
                <w:sz w:val="18"/>
              </w:rPr>
              <w:t>connections.</w:t>
            </w:r>
          </w:p>
        </w:tc>
        <w:tc>
          <w:tcPr>
            <w:tcW w:type="dxa" w:w="3005"/>
          </w:tcPr>
          <w:p>
            <w:pPr>
              <w:spacing w:after="40"/>
            </w:pPr>
            <w:r>
              <w:rPr>
                <w:sz w:val="18"/>
              </w:rPr>
              <w:t>x 1534–1610</w:t>
              <w:br/>
              <w:t>y 179–189</w:t>
            </w:r>
          </w:p>
        </w:tc>
        <w:tc>
          <w:tcPr>
            <w:tcW w:type="dxa" w:w="3402"/>
          </w:tcPr>
          <w:p>
            <w:pPr>
              <w:spacing w:after="40"/>
            </w:pPr>
            <w:r>
              <w:rPr>
                <w:sz w:val="18"/>
              </w:rPr>
              <w:t>oben, rechts</w:t>
              <w:br/>
              <w:t>x 80.2–84.2 %</w:t>
              <w:br/>
              <w:t>y 19.6–20.7 %</w:t>
            </w:r>
          </w:p>
        </w:tc>
      </w:tr>
      <w:tr>
        <w:trPr>
          <w:cantSplit/>
        </w:trPr>
        <w:tc>
          <w:tcPr>
            <w:tcW w:type="dxa" w:w="3288"/>
          </w:tcPr>
          <w:p>
            <w:pPr>
              <w:spacing w:after="40"/>
            </w:pPr>
            <w:r>
              <w:rPr>
                <w:sz w:val="18"/>
              </w:rPr>
              <w:t>from</w:t>
            </w:r>
          </w:p>
        </w:tc>
        <w:tc>
          <w:tcPr>
            <w:tcW w:type="dxa" w:w="3005"/>
          </w:tcPr>
          <w:p>
            <w:pPr>
              <w:spacing w:after="40"/>
            </w:pPr>
            <w:r>
              <w:rPr>
                <w:sz w:val="18"/>
              </w:rPr>
              <w:t>x 1143–1170</w:t>
              <w:br/>
              <w:t>y 195–205</w:t>
            </w:r>
          </w:p>
        </w:tc>
        <w:tc>
          <w:tcPr>
            <w:tcW w:type="dxa" w:w="3402"/>
          </w:tcPr>
          <w:p>
            <w:pPr>
              <w:spacing w:after="40"/>
            </w:pPr>
            <w:r>
              <w:rPr>
                <w:sz w:val="18"/>
              </w:rPr>
              <w:t>oben, mittig</w:t>
              <w:br/>
              <w:t>x 59.8–61.2 %</w:t>
              <w:br/>
              <w:t>y 21.4–22.5 %</w:t>
            </w:r>
          </w:p>
        </w:tc>
      </w:tr>
      <w:tr>
        <w:trPr>
          <w:cantSplit/>
        </w:trPr>
        <w:tc>
          <w:tcPr>
            <w:tcW w:type="dxa" w:w="3288"/>
          </w:tcPr>
          <w:p>
            <w:pPr>
              <w:spacing w:after="40"/>
            </w:pPr>
            <w:r>
              <w:rPr>
                <w:sz w:val="18"/>
              </w:rPr>
              <w:t>connections</w:t>
            </w:r>
          </w:p>
        </w:tc>
        <w:tc>
          <w:tcPr>
            <w:tcW w:type="dxa" w:w="3005"/>
          </w:tcPr>
          <w:p>
            <w:pPr>
              <w:spacing w:after="40"/>
            </w:pPr>
            <w:r>
              <w:rPr>
                <w:sz w:val="18"/>
              </w:rPr>
              <w:t>x 1358–1431</w:t>
              <w:br/>
              <w:t>y 195–205</w:t>
            </w:r>
          </w:p>
        </w:tc>
        <w:tc>
          <w:tcPr>
            <w:tcW w:type="dxa" w:w="3402"/>
          </w:tcPr>
          <w:p>
            <w:pPr>
              <w:spacing w:after="40"/>
            </w:pPr>
            <w:r>
              <w:rPr>
                <w:sz w:val="18"/>
              </w:rPr>
              <w:t>oben, rechts</w:t>
              <w:br/>
              <w:t>x 71.0–74.8 %</w:t>
              <w:br/>
              <w:t>y 21.4–22.5 %</w:t>
            </w:r>
          </w:p>
        </w:tc>
      </w:tr>
      <w:tr>
        <w:trPr>
          <w:cantSplit/>
        </w:trPr>
        <w:tc>
          <w:tcPr>
            <w:tcW w:type="dxa" w:w="3288"/>
          </w:tcPr>
          <w:p>
            <w:pPr>
              <w:spacing w:after="40"/>
            </w:pPr>
            <w:r>
              <w:rPr>
                <w:sz w:val="18"/>
              </w:rPr>
              <w:t>SAP HANA</w:t>
            </w:r>
          </w:p>
        </w:tc>
        <w:tc>
          <w:tcPr>
            <w:tcW w:type="dxa" w:w="3005"/>
          </w:tcPr>
          <w:p>
            <w:pPr>
              <w:spacing w:after="40"/>
            </w:pPr>
            <w:r>
              <w:rPr>
                <w:sz w:val="18"/>
              </w:rPr>
              <w:t>x 1452–1518</w:t>
              <w:br/>
              <w:t>y 195–205</w:t>
            </w:r>
          </w:p>
        </w:tc>
        <w:tc>
          <w:tcPr>
            <w:tcW w:type="dxa" w:w="3402"/>
          </w:tcPr>
          <w:p>
            <w:pPr>
              <w:spacing w:after="40"/>
            </w:pPr>
            <w:r>
              <w:rPr>
                <w:sz w:val="18"/>
              </w:rPr>
              <w:t>oben, rechts</w:t>
              <w:br/>
              <w:t>x 75.9–79.4 %</w:t>
              <w:br/>
              <w:t>y 21.4–22.5 %</w:t>
            </w:r>
          </w:p>
        </w:tc>
      </w:tr>
      <w:tr>
        <w:trPr>
          <w:cantSplit/>
        </w:trPr>
        <w:tc>
          <w:tcPr>
            <w:tcW w:type="dxa" w:w="3288"/>
          </w:tcPr>
          <w:p>
            <w:pPr>
              <w:spacing w:after="40"/>
            </w:pPr>
            <w:r>
              <w:rPr>
                <w:sz w:val="18"/>
              </w:rPr>
              <w:t>Search</w:t>
            </w:r>
          </w:p>
        </w:tc>
        <w:tc>
          <w:tcPr>
            <w:tcW w:type="dxa" w:w="3005"/>
          </w:tcPr>
          <w:p>
            <w:pPr>
              <w:spacing w:after="40"/>
            </w:pPr>
            <w:r>
              <w:rPr>
                <w:sz w:val="18"/>
              </w:rPr>
              <w:t>x 46–88</w:t>
              <w:br/>
              <w:t>y 238–248</w:t>
            </w:r>
          </w:p>
        </w:tc>
        <w:tc>
          <w:tcPr>
            <w:tcW w:type="dxa" w:w="3402"/>
          </w:tcPr>
          <w:p>
            <w:pPr>
              <w:spacing w:after="40"/>
            </w:pPr>
            <w:r>
              <w:rPr>
                <w:sz w:val="18"/>
              </w:rPr>
              <w:t>oben, links</w:t>
              <w:br/>
              <w:t>x 2.4–4.6 %</w:t>
              <w:br/>
              <w:t>y 26.1–27.2 %</w:t>
            </w:r>
          </w:p>
        </w:tc>
      </w:tr>
      <w:tr>
        <w:trPr>
          <w:cantSplit/>
        </w:trPr>
        <w:tc>
          <w:tcPr>
            <w:tcW w:type="dxa" w:w="3288"/>
          </w:tcPr>
          <w:p>
            <w:pPr>
              <w:spacing w:after="40"/>
            </w:pPr>
            <w:r>
              <w:rPr>
                <w:sz w:val="18"/>
              </w:rPr>
              <w:t>Connections</w:t>
            </w:r>
          </w:p>
        </w:tc>
        <w:tc>
          <w:tcPr>
            <w:tcW w:type="dxa" w:w="3005"/>
          </w:tcPr>
          <w:p>
            <w:pPr>
              <w:spacing w:after="40"/>
            </w:pPr>
            <w:r>
              <w:rPr>
                <w:sz w:val="18"/>
              </w:rPr>
              <w:t>x 962–1045</w:t>
              <w:br/>
              <w:t>y 236–246</w:t>
            </w:r>
          </w:p>
        </w:tc>
        <w:tc>
          <w:tcPr>
            <w:tcW w:type="dxa" w:w="3402"/>
          </w:tcPr>
          <w:p>
            <w:pPr>
              <w:spacing w:after="40"/>
            </w:pPr>
            <w:r>
              <w:rPr>
                <w:sz w:val="18"/>
              </w:rPr>
              <w:t>oben, mittig</w:t>
              <w:br/>
              <w:t>x 50.3–54.7 %</w:t>
              <w:br/>
              <w:t>y 25.8–26.9 %</w:t>
            </w:r>
          </w:p>
        </w:tc>
      </w:tr>
      <w:tr>
        <w:trPr>
          <w:cantSplit/>
        </w:trPr>
        <w:tc>
          <w:tcPr>
            <w:tcW w:type="dxa" w:w="3288"/>
          </w:tcPr>
          <w:p>
            <w:pPr>
              <w:spacing w:after="40"/>
            </w:pPr>
            <w:r>
              <w:rPr>
                <w:sz w:val="18"/>
              </w:rPr>
              <w:t>Refresh Agents</w:t>
            </w:r>
          </w:p>
        </w:tc>
        <w:tc>
          <w:tcPr>
            <w:tcW w:type="dxa" w:w="3005"/>
          </w:tcPr>
          <w:p>
            <w:pPr>
              <w:spacing w:after="40"/>
            </w:pPr>
            <w:r>
              <w:rPr>
                <w:sz w:val="18"/>
              </w:rPr>
              <w:t>x 1660–1752</w:t>
              <w:br/>
              <w:t>y 236–249</w:t>
            </w:r>
          </w:p>
        </w:tc>
        <w:tc>
          <w:tcPr>
            <w:tcW w:type="dxa" w:w="3402"/>
          </w:tcPr>
          <w:p>
            <w:pPr>
              <w:spacing w:after="40"/>
            </w:pPr>
            <w:r>
              <w:rPr>
                <w:sz w:val="18"/>
              </w:rPr>
              <w:t>oben, rechts</w:t>
              <w:br/>
              <w:t>x 86.8–91.6 %</w:t>
              <w:br/>
              <w:t>y 25.8–27.3 %</w:t>
            </w:r>
          </w:p>
        </w:tc>
      </w:tr>
      <w:tr>
        <w:trPr>
          <w:cantSplit/>
        </w:trPr>
        <w:tc>
          <w:tcPr>
            <w:tcW w:type="dxa" w:w="3288"/>
          </w:tcPr>
          <w:p>
            <w:pPr>
              <w:spacing w:after="40"/>
            </w:pPr>
            <w:r>
              <w:rPr>
                <w:sz w:val="18"/>
              </w:rPr>
              <w:t>Apps</w:t>
            </w:r>
          </w:p>
        </w:tc>
        <w:tc>
          <w:tcPr>
            <w:tcW w:type="dxa" w:w="3005"/>
          </w:tcPr>
          <w:p>
            <w:pPr>
              <w:spacing w:after="40"/>
            </w:pPr>
            <w:r>
              <w:rPr>
                <w:sz w:val="18"/>
              </w:rPr>
              <w:t>x 21–52</w:t>
              <w:br/>
              <w:t>y 320–333</w:t>
            </w:r>
          </w:p>
        </w:tc>
        <w:tc>
          <w:tcPr>
            <w:tcW w:type="dxa" w:w="3402"/>
          </w:tcPr>
          <w:p>
            <w:pPr>
              <w:spacing w:after="40"/>
            </w:pPr>
            <w:r>
              <w:rPr>
                <w:sz w:val="18"/>
              </w:rPr>
              <w:t>auf mittlerer Höhe, links</w:t>
              <w:br/>
              <w:t>x 1.1–2.7 %</w:t>
              <w:br/>
              <w:t>y 35.0–36.5 %</w:t>
            </w:r>
          </w:p>
        </w:tc>
      </w:tr>
      <w:tr>
        <w:trPr>
          <w:cantSplit/>
        </w:trPr>
        <w:tc>
          <w:tcPr>
            <w:tcW w:type="dxa" w:w="3288"/>
          </w:tcPr>
          <w:p>
            <w:pPr>
              <w:spacing w:after="40"/>
            </w:pPr>
            <w:r>
              <w:rPr>
                <w:sz w:val="18"/>
              </w:rPr>
              <w:t>Semantic Onboarding</w:t>
            </w:r>
          </w:p>
        </w:tc>
        <w:tc>
          <w:tcPr>
            <w:tcW w:type="dxa" w:w="3005"/>
          </w:tcPr>
          <w:p>
            <w:pPr>
              <w:spacing w:after="40"/>
            </w:pPr>
            <w:r>
              <w:rPr>
                <w:sz w:val="18"/>
              </w:rPr>
              <w:t>x 45–179</w:t>
              <w:br/>
              <w:t>y 356–369</w:t>
            </w:r>
          </w:p>
        </w:tc>
        <w:tc>
          <w:tcPr>
            <w:tcW w:type="dxa" w:w="3402"/>
          </w:tcPr>
          <w:p>
            <w:pPr>
              <w:spacing w:after="40"/>
            </w:pPr>
            <w:r>
              <w:rPr>
                <w:sz w:val="18"/>
              </w:rPr>
              <w:t>auf mittlerer Höhe, links</w:t>
              <w:br/>
              <w:t>x 2.4–9.4 %</w:t>
              <w:br/>
              <w:t>y 39.0–40.4 %</w:t>
            </w:r>
          </w:p>
        </w:tc>
      </w:tr>
      <w:tr>
        <w:trPr>
          <w:cantSplit/>
        </w:trPr>
        <w:tc>
          <w:tcPr>
            <w:tcW w:type="dxa" w:w="3288"/>
          </w:tcPr>
          <w:p>
            <w:pPr>
              <w:spacing w:after="40"/>
            </w:pPr>
            <w:r>
              <w:rPr>
                <w:sz w:val="18"/>
              </w:rPr>
              <w:t>Business Builder</w:t>
            </w:r>
          </w:p>
        </w:tc>
        <w:tc>
          <w:tcPr>
            <w:tcW w:type="dxa" w:w="3005"/>
          </w:tcPr>
          <w:p>
            <w:pPr>
              <w:spacing w:after="40"/>
            </w:pPr>
            <w:r>
              <w:rPr>
                <w:sz w:val="18"/>
              </w:rPr>
              <w:t>x 46–148</w:t>
              <w:br/>
              <w:t>y 392–402</w:t>
            </w:r>
          </w:p>
        </w:tc>
        <w:tc>
          <w:tcPr>
            <w:tcW w:type="dxa" w:w="3402"/>
          </w:tcPr>
          <w:p>
            <w:pPr>
              <w:spacing w:after="40"/>
            </w:pPr>
            <w:r>
              <w:rPr>
                <w:sz w:val="18"/>
              </w:rPr>
              <w:t>auf mittlerer Höhe, links</w:t>
              <w:br/>
              <w:t>x 2.4–7.7 %</w:t>
              <w:br/>
              <w:t>y 42.9–44.0 %</w:t>
            </w:r>
          </w:p>
        </w:tc>
      </w:tr>
      <w:tr>
        <w:trPr>
          <w:cantSplit/>
        </w:trPr>
        <w:tc>
          <w:tcPr>
            <w:tcW w:type="dxa" w:w="3288"/>
          </w:tcPr>
          <w:p>
            <w:pPr>
              <w:spacing w:after="40"/>
            </w:pPr>
            <w:r>
              <w:rPr>
                <w:sz w:val="18"/>
              </w:rPr>
              <w:t>Data Builder</w:t>
            </w:r>
          </w:p>
        </w:tc>
        <w:tc>
          <w:tcPr>
            <w:tcW w:type="dxa" w:w="3005"/>
          </w:tcPr>
          <w:p>
            <w:pPr>
              <w:spacing w:after="40"/>
            </w:pPr>
            <w:r>
              <w:rPr>
                <w:sz w:val="18"/>
              </w:rPr>
              <w:t>x 46–122</w:t>
              <w:br/>
              <w:t>y 428–438</w:t>
            </w:r>
          </w:p>
        </w:tc>
        <w:tc>
          <w:tcPr>
            <w:tcW w:type="dxa" w:w="3402"/>
          </w:tcPr>
          <w:p>
            <w:pPr>
              <w:spacing w:after="40"/>
            </w:pPr>
            <w:r>
              <w:rPr>
                <w:sz w:val="18"/>
              </w:rPr>
              <w:t>auf mittlerer Höhe, links</w:t>
              <w:br/>
              <w:t>x 2.4–6.4 %</w:t>
              <w:br/>
              <w:t>y 46.9–48.0 %</w:t>
            </w:r>
          </w:p>
        </w:tc>
      </w:tr>
      <w:tr>
        <w:trPr>
          <w:cantSplit/>
        </w:trPr>
        <w:tc>
          <w:tcPr>
            <w:tcW w:type="dxa" w:w="3288"/>
          </w:tcPr>
          <w:p>
            <w:pPr>
              <w:spacing w:after="40"/>
            </w:pPr>
            <w:r>
              <w:rPr>
                <w:sz w:val="18"/>
              </w:rPr>
              <w:t>Connections</w:t>
            </w:r>
          </w:p>
        </w:tc>
        <w:tc>
          <w:tcPr>
            <w:tcW w:type="dxa" w:w="3005"/>
          </w:tcPr>
          <w:p>
            <w:pPr>
              <w:spacing w:after="40"/>
            </w:pPr>
            <w:r>
              <w:rPr>
                <w:sz w:val="18"/>
              </w:rPr>
              <w:t>x 45–122</w:t>
              <w:br/>
              <w:t>y 464–474</w:t>
            </w:r>
          </w:p>
        </w:tc>
        <w:tc>
          <w:tcPr>
            <w:tcW w:type="dxa" w:w="3402"/>
          </w:tcPr>
          <w:p>
            <w:pPr>
              <w:spacing w:after="40"/>
            </w:pPr>
            <w:r>
              <w:rPr>
                <w:sz w:val="18"/>
              </w:rPr>
              <w:t>auf mittlerer Höhe, links</w:t>
              <w:br/>
              <w:t>x 2.4–6.4 %</w:t>
              <w:br/>
              <w:t>y 50.8–51.9 %</w:t>
            </w:r>
          </w:p>
        </w:tc>
      </w:tr>
      <w:tr>
        <w:trPr>
          <w:cantSplit/>
        </w:trPr>
        <w:tc>
          <w:tcPr>
            <w:tcW w:type="dxa" w:w="3288"/>
          </w:tcPr>
          <w:p>
            <w:pPr>
              <w:spacing w:after="40"/>
            </w:pPr>
            <w:r>
              <w:rPr>
                <w:sz w:val="18"/>
              </w:rPr>
              <w:t>Utilities</w:t>
            </w:r>
          </w:p>
        </w:tc>
        <w:tc>
          <w:tcPr>
            <w:tcW w:type="dxa" w:w="3005"/>
          </w:tcPr>
          <w:p>
            <w:pPr>
              <w:spacing w:after="40"/>
            </w:pPr>
            <w:r>
              <w:rPr>
                <w:sz w:val="18"/>
              </w:rPr>
              <w:t>x 22–66</w:t>
              <w:br/>
              <w:t>y 510–520</w:t>
            </w:r>
          </w:p>
        </w:tc>
        <w:tc>
          <w:tcPr>
            <w:tcW w:type="dxa" w:w="3402"/>
          </w:tcPr>
          <w:p>
            <w:pPr>
              <w:spacing w:after="40"/>
            </w:pPr>
            <w:r>
              <w:rPr>
                <w:sz w:val="18"/>
              </w:rPr>
              <w:t>auf mittlerer Höhe, links</w:t>
              <w:br/>
              <w:t>x 1.2–3.5 %</w:t>
              <w:br/>
              <w:t>y 55.9–57.0 %</w:t>
            </w:r>
          </w:p>
        </w:tc>
      </w:tr>
      <w:tr>
        <w:trPr>
          <w:cantSplit/>
        </w:trPr>
        <w:tc>
          <w:tcPr>
            <w:tcW w:type="dxa" w:w="3288"/>
          </w:tcPr>
          <w:p>
            <w:pPr>
              <w:spacing w:after="40"/>
            </w:pPr>
            <w:r>
              <w:rPr>
                <w:sz w:val="18"/>
              </w:rPr>
              <w:t>Space Management</w:t>
            </w:r>
          </w:p>
        </w:tc>
        <w:tc>
          <w:tcPr>
            <w:tcW w:type="dxa" w:w="3005"/>
          </w:tcPr>
          <w:p>
            <w:pPr>
              <w:spacing w:after="40"/>
            </w:pPr>
            <w:r>
              <w:rPr>
                <w:sz w:val="18"/>
              </w:rPr>
              <w:t>x 45–168</w:t>
              <w:br/>
              <w:t>y 546–559</w:t>
            </w:r>
          </w:p>
        </w:tc>
        <w:tc>
          <w:tcPr>
            <w:tcW w:type="dxa" w:w="3402"/>
          </w:tcPr>
          <w:p>
            <w:pPr>
              <w:spacing w:after="40"/>
            </w:pPr>
            <w:r>
              <w:rPr>
                <w:sz w:val="18"/>
              </w:rPr>
              <w:t>auf mittlerer Höhe, links</w:t>
              <w:br/>
              <w:t>x 2.4–8.8 %</w:t>
              <w:br/>
              <w:t>y 59.8–61.2 %</w:t>
            </w:r>
          </w:p>
        </w:tc>
      </w:tr>
      <w:tr>
        <w:trPr>
          <w:cantSplit/>
        </w:trPr>
        <w:tc>
          <w:tcPr>
            <w:tcW w:type="dxa" w:w="3288"/>
          </w:tcPr>
          <w:p>
            <w:pPr>
              <w:spacing w:after="40"/>
            </w:pPr>
            <w:r>
              <w:rPr>
                <w:sz w:val="18"/>
              </w:rPr>
              <w:t>Translation</w:t>
            </w:r>
          </w:p>
        </w:tc>
        <w:tc>
          <w:tcPr>
            <w:tcW w:type="dxa" w:w="3005"/>
          </w:tcPr>
          <w:p>
            <w:pPr>
              <w:spacing w:after="40"/>
            </w:pPr>
            <w:r>
              <w:rPr>
                <w:sz w:val="18"/>
              </w:rPr>
              <w:t>x 45–112</w:t>
              <w:br/>
              <w:t>y 582–592</w:t>
            </w:r>
          </w:p>
        </w:tc>
        <w:tc>
          <w:tcPr>
            <w:tcW w:type="dxa" w:w="3402"/>
          </w:tcPr>
          <w:p>
            <w:pPr>
              <w:spacing w:after="40"/>
            </w:pPr>
            <w:r>
              <w:rPr>
                <w:sz w:val="18"/>
              </w:rPr>
              <w:t>auf mittlerer Höhe, links</w:t>
              <w:br/>
              <w:t>x 2.4–5.9 %</w:t>
              <w:br/>
              <w:t>y 63.7–64.8 %</w:t>
            </w:r>
          </w:p>
        </w:tc>
      </w:tr>
      <w:tr>
        <w:trPr>
          <w:cantSplit/>
        </w:trPr>
        <w:tc>
          <w:tcPr>
            <w:tcW w:type="dxa" w:w="3288"/>
          </w:tcPr>
          <w:p>
            <w:pPr>
              <w:spacing w:after="40"/>
            </w:pPr>
            <w:r>
              <w:rPr>
                <w:sz w:val="18"/>
              </w:rPr>
              <w:t>Transport</w:t>
            </w:r>
          </w:p>
        </w:tc>
        <w:tc>
          <w:tcPr>
            <w:tcW w:type="dxa" w:w="3005"/>
          </w:tcPr>
          <w:p>
            <w:pPr>
              <w:spacing w:after="40"/>
            </w:pPr>
            <w:r>
              <w:rPr>
                <w:sz w:val="18"/>
              </w:rPr>
              <w:t>x 45–103</w:t>
              <w:br/>
              <w:t>y 618–631</w:t>
            </w:r>
          </w:p>
        </w:tc>
        <w:tc>
          <w:tcPr>
            <w:tcW w:type="dxa" w:w="3402"/>
          </w:tcPr>
          <w:p>
            <w:pPr>
              <w:spacing w:after="40"/>
            </w:pPr>
            <w:r>
              <w:rPr>
                <w:sz w:val="18"/>
              </w:rPr>
              <w:t>unten, links</w:t>
              <w:br/>
              <w:t>x 2.4–5.4 %</w:t>
              <w:br/>
              <w:t>y 67.7–69.1 %</w:t>
            </w:r>
          </w:p>
        </w:tc>
      </w:tr>
      <w:tr>
        <w:trPr>
          <w:cantSplit/>
        </w:trPr>
        <w:tc>
          <w:tcPr>
            <w:tcW w:type="dxa" w:w="3288"/>
          </w:tcPr>
          <w:p>
            <w:pPr>
              <w:spacing w:after="40"/>
            </w:pPr>
            <w:r>
              <w:rPr>
                <w:sz w:val="18"/>
              </w:rPr>
              <w:t>Third-Party Drivers</w:t>
            </w:r>
          </w:p>
        </w:tc>
        <w:tc>
          <w:tcPr>
            <w:tcW w:type="dxa" w:w="3005"/>
          </w:tcPr>
          <w:p>
            <w:pPr>
              <w:spacing w:after="40"/>
            </w:pPr>
            <w:r>
              <w:rPr>
                <w:sz w:val="18"/>
              </w:rPr>
              <w:t>x 301–444</w:t>
              <w:br/>
              <w:t>y 680–695</w:t>
            </w:r>
          </w:p>
        </w:tc>
        <w:tc>
          <w:tcPr>
            <w:tcW w:type="dxa" w:w="3402"/>
          </w:tcPr>
          <w:p>
            <w:pPr>
              <w:spacing w:after="40"/>
            </w:pPr>
            <w:r>
              <w:rPr>
                <w:sz w:val="18"/>
              </w:rPr>
              <w:t>unten, links</w:t>
              <w:br/>
              <w:t>x 15.7–23.2 %</w:t>
              <w:br/>
              <w:t>y 74.5–76.1 %</w:t>
            </w:r>
          </w:p>
        </w:tc>
      </w:tr>
      <w:tr>
        <w:trPr>
          <w:cantSplit/>
        </w:trPr>
        <w:tc>
          <w:tcPr>
            <w:tcW w:type="dxa" w:w="3288"/>
          </w:tcPr>
          <w:p>
            <w:pPr>
              <w:spacing w:after="40"/>
            </w:pPr>
            <w:r>
              <w:rPr>
                <w:sz w:val="18"/>
              </w:rPr>
              <w:t>Search</w:t>
            </w:r>
          </w:p>
        </w:tc>
        <w:tc>
          <w:tcPr>
            <w:tcW w:type="dxa" w:w="3005"/>
          </w:tcPr>
          <w:p>
            <w:pPr>
              <w:spacing w:after="40"/>
            </w:pPr>
            <w:r>
              <w:rPr>
                <w:sz w:val="18"/>
              </w:rPr>
              <w:t>x 1608–1650</w:t>
              <w:br/>
              <w:t>y 695–705</w:t>
            </w:r>
          </w:p>
        </w:tc>
        <w:tc>
          <w:tcPr>
            <w:tcW w:type="dxa" w:w="3402"/>
          </w:tcPr>
          <w:p>
            <w:pPr>
              <w:spacing w:after="40"/>
            </w:pPr>
            <w:r>
              <w:rPr>
                <w:sz w:val="18"/>
              </w:rPr>
              <w:t>unten, rechts</w:t>
              <w:br/>
              <w:t>x 84.1–86.3 %</w:t>
              <w:br/>
              <w:t>y 76.1–77.2 %</w:t>
            </w:r>
          </w:p>
        </w:tc>
      </w:tr>
      <w:tr>
        <w:trPr>
          <w:cantSplit/>
        </w:trPr>
        <w:tc>
          <w:tcPr>
            <w:tcW w:type="dxa" w:w="3288"/>
          </w:tcPr>
          <w:p>
            <w:pPr>
              <w:spacing w:after="40"/>
            </w:pPr>
            <w:r>
              <w:rPr>
                <w:sz w:val="18"/>
              </w:rPr>
              <w:t>Security</w:t>
            </w:r>
          </w:p>
        </w:tc>
        <w:tc>
          <w:tcPr>
            <w:tcW w:type="dxa" w:w="3005"/>
          </w:tcPr>
          <w:p>
            <w:pPr>
              <w:spacing w:after="40"/>
            </w:pPr>
            <w:r>
              <w:rPr>
                <w:sz w:val="18"/>
              </w:rPr>
              <w:t>x 45–95</w:t>
              <w:br/>
              <w:t>y 737–750</w:t>
            </w:r>
          </w:p>
        </w:tc>
        <w:tc>
          <w:tcPr>
            <w:tcW w:type="dxa" w:w="3402"/>
          </w:tcPr>
          <w:p>
            <w:pPr>
              <w:spacing w:after="40"/>
            </w:pPr>
            <w:r>
              <w:rPr>
                <w:sz w:val="18"/>
              </w:rPr>
              <w:t>unten, links</w:t>
              <w:br/>
              <w:t>x 2.4–5.0 %</w:t>
              <w:br/>
              <w:t>y 80.7–82.1 %</w:t>
            </w:r>
          </w:p>
        </w:tc>
      </w:tr>
      <w:tr>
        <w:trPr>
          <w:cantSplit/>
        </w:trPr>
        <w:tc>
          <w:tcPr>
            <w:tcW w:type="dxa" w:w="3288"/>
          </w:tcPr>
          <w:p>
            <w:pPr>
              <w:spacing w:after="40"/>
            </w:pPr>
            <w:r>
              <w:rPr>
                <w:sz w:val="18"/>
              </w:rPr>
              <w:t>File Name</w:t>
            </w:r>
          </w:p>
        </w:tc>
        <w:tc>
          <w:tcPr>
            <w:tcW w:type="dxa" w:w="3005"/>
          </w:tcPr>
          <w:p>
            <w:pPr>
              <w:spacing w:after="40"/>
            </w:pPr>
            <w:r>
              <w:rPr>
                <w:sz w:val="18"/>
              </w:rPr>
              <w:t>x 752–813</w:t>
              <w:br/>
              <w:t>y 734–744</w:t>
            </w:r>
          </w:p>
        </w:tc>
        <w:tc>
          <w:tcPr>
            <w:tcW w:type="dxa" w:w="3402"/>
          </w:tcPr>
          <w:p>
            <w:pPr>
              <w:spacing w:after="40"/>
            </w:pPr>
            <w:r>
              <w:rPr>
                <w:sz w:val="18"/>
              </w:rPr>
              <w:t>unten, mittig</w:t>
              <w:br/>
              <w:t>x 39.3–42.5 %</w:t>
              <w:br/>
              <w:t>y 80.4–81.5 %</w:t>
            </w:r>
          </w:p>
        </w:tc>
      </w:tr>
      <w:tr>
        <w:trPr>
          <w:cantSplit/>
        </w:trPr>
        <w:tc>
          <w:tcPr>
            <w:tcW w:type="dxa" w:w="3288"/>
          </w:tcPr>
          <w:p>
            <w:pPr>
              <w:spacing w:after="40"/>
            </w:pPr>
            <w:r>
              <w:rPr>
                <w:sz w:val="18"/>
              </w:rPr>
              <w:t>File Size</w:t>
            </w:r>
          </w:p>
        </w:tc>
        <w:tc>
          <w:tcPr>
            <w:tcW w:type="dxa" w:w="3005"/>
          </w:tcPr>
          <w:p>
            <w:pPr>
              <w:spacing w:after="40"/>
            </w:pPr>
            <w:r>
              <w:rPr>
                <w:sz w:val="18"/>
              </w:rPr>
              <w:t>x 1304–1354</w:t>
              <w:br/>
              <w:t>y 734–744</w:t>
            </w:r>
          </w:p>
        </w:tc>
        <w:tc>
          <w:tcPr>
            <w:tcW w:type="dxa" w:w="3402"/>
          </w:tcPr>
          <w:p>
            <w:pPr>
              <w:spacing w:after="40"/>
            </w:pPr>
            <w:r>
              <w:rPr>
                <w:sz w:val="18"/>
              </w:rPr>
              <w:t>unten, rechts</w:t>
              <w:br/>
              <w:t>x 68.2–70.8 %</w:t>
              <w:br/>
              <w:t>y 80.4–81.5 %</w:t>
            </w:r>
          </w:p>
        </w:tc>
      </w:tr>
      <w:tr>
        <w:trPr>
          <w:cantSplit/>
        </w:trPr>
        <w:tc>
          <w:tcPr>
            <w:tcW w:type="dxa" w:w="3288"/>
          </w:tcPr>
          <w:p>
            <w:pPr>
              <w:spacing w:after="40"/>
            </w:pPr>
            <w:r>
              <w:rPr>
                <w:sz w:val="18"/>
              </w:rPr>
              <w:t>Creation Date</w:t>
            </w:r>
          </w:p>
        </w:tc>
        <w:tc>
          <w:tcPr>
            <w:tcW w:type="dxa" w:w="3005"/>
          </w:tcPr>
          <w:p>
            <w:pPr>
              <w:spacing w:after="40"/>
            </w:pPr>
            <w:r>
              <w:rPr>
                <w:sz w:val="18"/>
              </w:rPr>
              <w:t>x 1578–1663</w:t>
              <w:br/>
              <w:t>y 734–744</w:t>
            </w:r>
          </w:p>
        </w:tc>
        <w:tc>
          <w:tcPr>
            <w:tcW w:type="dxa" w:w="3402"/>
          </w:tcPr>
          <w:p>
            <w:pPr>
              <w:spacing w:after="40"/>
            </w:pPr>
            <w:r>
              <w:rPr>
                <w:sz w:val="18"/>
              </w:rPr>
              <w:t>unten, rechts</w:t>
              <w:br/>
              <w:t>x 82.6–87.0 %</w:t>
              <w:br/>
              <w:t>y 80.4–81.5 %</w:t>
            </w:r>
          </w:p>
        </w:tc>
      </w:tr>
      <w:tr>
        <w:trPr>
          <w:cantSplit/>
        </w:trPr>
        <w:tc>
          <w:tcPr>
            <w:tcW w:type="dxa" w:w="3288"/>
          </w:tcPr>
          <w:p>
            <w:pPr>
              <w:spacing w:after="40"/>
            </w:pPr>
            <w:r>
              <w:rPr>
                <w:sz w:val="18"/>
              </w:rPr>
              <w:t>System</w:t>
            </w:r>
          </w:p>
        </w:tc>
        <w:tc>
          <w:tcPr>
            <w:tcW w:type="dxa" w:w="3005"/>
          </w:tcPr>
          <w:p>
            <w:pPr>
              <w:spacing w:after="40"/>
            </w:pPr>
            <w:r>
              <w:rPr>
                <w:sz w:val="18"/>
              </w:rPr>
              <w:t>x 45–90</w:t>
              <w:br/>
              <w:t>y 809–822</w:t>
            </w:r>
          </w:p>
        </w:tc>
        <w:tc>
          <w:tcPr>
            <w:tcW w:type="dxa" w:w="3402"/>
          </w:tcPr>
          <w:p>
            <w:pPr>
              <w:spacing w:after="40"/>
            </w:pPr>
            <w:r>
              <w:rPr>
                <w:sz w:val="18"/>
              </w:rPr>
              <w:t>unten, links</w:t>
              <w:br/>
              <w:t>x 2.4–4.7 %</w:t>
              <w:br/>
              <w:t>y 88.6–90.0 %</w:t>
            </w:r>
          </w:p>
        </w:tc>
      </w:tr>
      <w:tr>
        <w:trPr>
          <w:cantSplit/>
        </w:trPr>
        <w:tc>
          <w:tcPr>
            <w:tcW w:type="dxa" w:w="3288"/>
          </w:tcPr>
          <w:p>
            <w:pPr>
              <w:spacing w:after="40"/>
            </w:pPr>
            <w:r>
              <w:rPr>
                <w:sz w:val="18"/>
              </w:rPr>
              <w:t>No drivers exist.</w:t>
            </w:r>
          </w:p>
        </w:tc>
        <w:tc>
          <w:tcPr>
            <w:tcW w:type="dxa" w:w="3005"/>
          </w:tcPr>
          <w:p>
            <w:pPr>
              <w:spacing w:after="40"/>
            </w:pPr>
            <w:r>
              <w:rPr>
                <w:sz w:val="18"/>
              </w:rPr>
              <w:t>x 1230–1327</w:t>
              <w:br/>
              <w:t>y 833–843</w:t>
            </w:r>
          </w:p>
        </w:tc>
        <w:tc>
          <w:tcPr>
            <w:tcW w:type="dxa" w:w="3402"/>
          </w:tcPr>
          <w:p>
            <w:pPr>
              <w:spacing w:after="40"/>
            </w:pPr>
            <w:r>
              <w:rPr>
                <w:sz w:val="18"/>
              </w:rPr>
              <w:t>unten, mittig</w:t>
              <w:br/>
              <w:t>x 64.3–69.4 %</w:t>
              <w:br/>
              <w:t>y 91.2–92.3 %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16: Tasks: Importaufgaben</w:t>
      </w:r>
    </w:p>
    <w:p>
      <w:r>
        <w:t>Bildformat: 1914 × 915 Pixel. Die folgenden Positionen beziehen sich auf dieses vollständige Bild.</w:t>
      </w:r>
    </w:p>
    <w:p>
      <w:pPr>
        <w:pStyle w:val="Heading2"/>
      </w:pPr>
      <w:r>
        <w:t>1. Gesamtaufbau und sichtbarer Zustand</w:t>
      </w:r>
    </w:p>
    <w:p>
      <w:pPr>
        <w:pStyle w:val="Heading3"/>
      </w:pPr>
      <w:r>
        <w:t>Gesamtansicht</w:t>
      </w:r>
    </w:p>
    <w:p>
      <w:r>
        <w:t>Der Screenshot zeigt eine Aufgabenliste als breite Tabelle. Die globale Navigation bleibt links sichtbar. Oben im Hauptbereich befinden sich kleine Aktionssymbole und eine Suchfunktion.</w:t>
      </w:r>
    </w:p>
    <w:p>
      <w:pPr>
        <w:pStyle w:val="Heading3"/>
      </w:pPr>
      <w:r>
        <w:t>Spalten</w:t>
      </w:r>
    </w:p>
    <w:p>
      <w:r>
        <w:t>Die Tabelle enthält Job ID, Status, Creation Time, Start Time, End Time, Type, Package Name, Created By und Correlation ID. Die Zeitspalten stehen nebeneinander im mittleren Bereich. Rechts folgen die Felder für Paket, Ersteller und Korrelationskennung.</w:t>
      </w:r>
    </w:p>
    <w:p>
      <w:pPr>
        <w:pStyle w:val="Heading3"/>
      </w:pPr>
      <w:r>
        <w:t>Sichtbare Werte</w:t>
      </w:r>
    </w:p>
    <w:p>
      <w:r>
        <w:t>In der Statusspalte sind sowohl Failed als auch Success sichtbar. In der Spalte Type steht wiederholt „Import“. Die Spalten Creation Time, Start Time und End Time enthalten jeweils Datum und Uhrzeit. Die geschwärzten Identifikatoren und personenbezogenen Felder werden nicht wiedergegeben.</w:t>
      </w:r>
    </w:p>
    <w:p>
      <w:pPr>
        <w:pStyle w:val="Heading3"/>
      </w:pPr>
      <w:r>
        <w:t>Darstellung</w:t>
      </w:r>
    </w:p>
    <w:p>
      <w:r>
        <w:t>Die Tabelle zeigt zahlreiche Aufgaben untereinander. Jeder Datensatz bildet eine eigene Zeile. Die Statusangaben stehen links von den Zeitspalten und sind dadurch leicht mit den jeweiligen Zeitangaben zuzuordnen. Ein Aufgaben-Detailfenster oder ein Fehlerdialog ist nicht geöffnet.</w:t>
      </w:r>
    </w:p>
    <w:p>
      <w:pPr>
        <w:pStyle w:val="Heading2"/>
      </w:pPr>
      <w:r>
        <w:t>2. Räumliche Beschreibung von oben nach unten</w:t>
      </w:r>
    </w:p>
    <w:p>
      <w:pPr>
        <w:pStyle w:val="Heading3"/>
      </w:pPr>
      <w:r>
        <w:t>Werkzeugleiste</w:t>
      </w:r>
    </w:p>
    <w:p>
      <w:r>
        <w:rPr>
          <w:b/>
        </w:rPr>
        <w:t xml:space="preserve">Ungefähre Bildregion: </w:t>
      </w:r>
      <w:r>
        <w:t>x 16–98 %, y 9–13 %</w:t>
      </w:r>
    </w:p>
    <w:p>
      <w:r>
        <w:t>Kleine Symbole stehen links im Kopfbereich, Search weiter rechts.</w:t>
      </w:r>
    </w:p>
    <w:p>
      <w:pPr>
        <w:pStyle w:val="Heading3"/>
      </w:pPr>
      <w:r>
        <w:t>Importtabelle</w:t>
      </w:r>
    </w:p>
    <w:p>
      <w:r>
        <w:rPr>
          <w:b/>
        </w:rPr>
        <w:t xml:space="preserve">Ungefähre Bildregion: </w:t>
      </w:r>
      <w:r>
        <w:t>x 16–100 %, y 13–100 %</w:t>
      </w:r>
    </w:p>
    <w:p>
      <w:r>
        <w:t>Job ID steht links, Status direkt daneben. Creation Time, Start Time und End Time folgen in drei nebeneinanderliegenden Zeitspalten. Type liegt rechts davon. Package Name, Created By und Correlation ID stehen im rechten Tabellenbereich. Failed und Success erscheinen in der Statusspalte, Import in der Typ-Spalte.</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Search</w:t>
            </w:r>
          </w:p>
        </w:tc>
        <w:tc>
          <w:tcPr>
            <w:tcW w:type="dxa" w:w="3005"/>
          </w:tcPr>
          <w:p>
            <w:pPr>
              <w:spacing w:after="40"/>
            </w:pPr>
            <w:r>
              <w:rPr>
                <w:sz w:val="18"/>
              </w:rPr>
              <w:t>x 1648–1689</w:t>
              <w:br/>
              <w:t>y 112–122</w:t>
            </w:r>
          </w:p>
        </w:tc>
        <w:tc>
          <w:tcPr>
            <w:tcW w:type="dxa" w:w="3402"/>
          </w:tcPr>
          <w:p>
            <w:pPr>
              <w:spacing w:after="40"/>
            </w:pPr>
            <w:r>
              <w:rPr>
                <w:sz w:val="18"/>
              </w:rPr>
              <w:t>oben, rechts</w:t>
              <w:br/>
              <w:t>x 86.1–88.2 %</w:t>
              <w:br/>
              <w:t>y 12.2–13.3 %</w:t>
            </w:r>
          </w:p>
        </w:tc>
      </w:tr>
      <w:tr>
        <w:trPr>
          <w:cantSplit/>
        </w:trPr>
        <w:tc>
          <w:tcPr>
            <w:tcW w:type="dxa" w:w="3288"/>
          </w:tcPr>
          <w:p>
            <w:pPr>
              <w:spacing w:after="40"/>
            </w:pPr>
            <w:r>
              <w:rPr>
                <w:sz w:val="18"/>
              </w:rPr>
              <w:t>Elastic Compute Nodes</w:t>
            </w:r>
          </w:p>
        </w:tc>
        <w:tc>
          <w:tcPr>
            <w:tcW w:type="dxa" w:w="3005"/>
          </w:tcPr>
          <w:p>
            <w:pPr>
              <w:spacing w:after="40"/>
            </w:pPr>
            <w:r>
              <w:rPr>
                <w:sz w:val="18"/>
              </w:rPr>
              <w:t>x 51–194</w:t>
              <w:br/>
              <w:t>y 117–130</w:t>
            </w:r>
          </w:p>
        </w:tc>
        <w:tc>
          <w:tcPr>
            <w:tcW w:type="dxa" w:w="3402"/>
          </w:tcPr>
          <w:p>
            <w:pPr>
              <w:spacing w:after="40"/>
            </w:pPr>
            <w:r>
              <w:rPr>
                <w:sz w:val="18"/>
              </w:rPr>
              <w:t>oben, links</w:t>
              <w:br/>
              <w:t>x 2.7–10.1 %</w:t>
              <w:br/>
              <w:t>y 12.8–14.2 %</w:t>
            </w:r>
          </w:p>
        </w:tc>
      </w:tr>
      <w:tr>
        <w:trPr>
          <w:cantSplit/>
        </w:trPr>
        <w:tc>
          <w:tcPr>
            <w:tcW w:type="dxa" w:w="3288"/>
          </w:tcPr>
          <w:p>
            <w:pPr>
              <w:spacing w:after="40"/>
            </w:pPr>
            <w:r>
              <w:rPr>
                <w:sz w:val="18"/>
              </w:rPr>
              <w:t>Data Integration</w:t>
            </w:r>
          </w:p>
        </w:tc>
        <w:tc>
          <w:tcPr>
            <w:tcW w:type="dxa" w:w="3005"/>
          </w:tcPr>
          <w:p>
            <w:pPr>
              <w:spacing w:after="40"/>
            </w:pPr>
            <w:r>
              <w:rPr>
                <w:sz w:val="18"/>
              </w:rPr>
              <w:t>x 51–148</w:t>
              <w:br/>
              <w:t>y 153–166</w:t>
            </w:r>
          </w:p>
        </w:tc>
        <w:tc>
          <w:tcPr>
            <w:tcW w:type="dxa" w:w="3402"/>
          </w:tcPr>
          <w:p>
            <w:pPr>
              <w:spacing w:after="40"/>
            </w:pPr>
            <w:r>
              <w:rPr>
                <w:sz w:val="18"/>
              </w:rPr>
              <w:t>oben, links</w:t>
              <w:br/>
              <w:t>x 2.7–7.7 %</w:t>
              <w:br/>
              <w:t>y 16.7–18.1 %</w:t>
            </w:r>
          </w:p>
        </w:tc>
      </w:tr>
      <w:tr>
        <w:trPr>
          <w:cantSplit/>
        </w:trPr>
        <w:tc>
          <w:tcPr>
            <w:tcW w:type="dxa" w:w="3288"/>
          </w:tcPr>
          <w:p>
            <w:pPr>
              <w:spacing w:after="40"/>
            </w:pPr>
            <w:r>
              <w:rPr>
                <w:sz w:val="18"/>
              </w:rPr>
              <w:t>Package Name</w:t>
            </w:r>
          </w:p>
        </w:tc>
        <w:tc>
          <w:tcPr>
            <w:tcW w:type="dxa" w:w="3005"/>
          </w:tcPr>
          <w:p>
            <w:pPr>
              <w:spacing w:after="40"/>
            </w:pPr>
            <w:r>
              <w:rPr>
                <w:sz w:val="18"/>
              </w:rPr>
              <w:t>x 498–590</w:t>
              <w:br/>
              <w:t>y 155–168</w:t>
            </w:r>
          </w:p>
        </w:tc>
        <w:tc>
          <w:tcPr>
            <w:tcW w:type="dxa" w:w="3402"/>
          </w:tcPr>
          <w:p>
            <w:pPr>
              <w:spacing w:after="40"/>
            </w:pPr>
            <w:r>
              <w:rPr>
                <w:sz w:val="18"/>
              </w:rPr>
              <w:t>oben, links</w:t>
              <w:br/>
              <w:t>x 26.0–30.8 %</w:t>
              <w:br/>
              <w:t>y 16.9–18.4 %</w:t>
            </w:r>
          </w:p>
        </w:tc>
      </w:tr>
      <w:tr>
        <w:trPr>
          <w:cantSplit/>
        </w:trPr>
        <w:tc>
          <w:tcPr>
            <w:tcW w:type="dxa" w:w="3288"/>
          </w:tcPr>
          <w:p>
            <w:pPr>
              <w:spacing w:after="40"/>
            </w:pPr>
            <w:r>
              <w:rPr>
                <w:sz w:val="18"/>
              </w:rPr>
              <w:t>Created By</w:t>
            </w:r>
          </w:p>
        </w:tc>
        <w:tc>
          <w:tcPr>
            <w:tcW w:type="dxa" w:w="3005"/>
          </w:tcPr>
          <w:p>
            <w:pPr>
              <w:spacing w:after="40"/>
            </w:pPr>
            <w:r>
              <w:rPr>
                <w:sz w:val="18"/>
              </w:rPr>
              <w:t>x 672–741</w:t>
              <w:br/>
              <w:t>y 155–168</w:t>
            </w:r>
          </w:p>
        </w:tc>
        <w:tc>
          <w:tcPr>
            <w:tcW w:type="dxa" w:w="3402"/>
          </w:tcPr>
          <w:p>
            <w:pPr>
              <w:spacing w:after="40"/>
            </w:pPr>
            <w:r>
              <w:rPr>
                <w:sz w:val="18"/>
              </w:rPr>
              <w:t>oben, mittig</w:t>
              <w:br/>
              <w:t>x 35.1–38.7 %</w:t>
              <w:br/>
              <w:t>y 16.9–18.4 %</w:t>
            </w:r>
          </w:p>
        </w:tc>
      </w:tr>
      <w:tr>
        <w:trPr>
          <w:cantSplit/>
        </w:trPr>
        <w:tc>
          <w:tcPr>
            <w:tcW w:type="dxa" w:w="3288"/>
          </w:tcPr>
          <w:p>
            <w:pPr>
              <w:spacing w:after="40"/>
            </w:pPr>
            <w:r>
              <w:rPr>
                <w:sz w:val="18"/>
              </w:rPr>
              <w:t>Job ID</w:t>
            </w:r>
          </w:p>
        </w:tc>
        <w:tc>
          <w:tcPr>
            <w:tcW w:type="dxa" w:w="3005"/>
          </w:tcPr>
          <w:p>
            <w:pPr>
              <w:spacing w:after="40"/>
            </w:pPr>
            <w:r>
              <w:rPr>
                <w:sz w:val="18"/>
              </w:rPr>
              <w:t>x 847–887</w:t>
              <w:br/>
              <w:t>y 155–165</w:t>
            </w:r>
          </w:p>
        </w:tc>
        <w:tc>
          <w:tcPr>
            <w:tcW w:type="dxa" w:w="3402"/>
          </w:tcPr>
          <w:p>
            <w:pPr>
              <w:spacing w:after="40"/>
            </w:pPr>
            <w:r>
              <w:rPr>
                <w:sz w:val="18"/>
              </w:rPr>
              <w:t>oben, mittig</w:t>
              <w:br/>
              <w:t>x 44.3–46.3 %</w:t>
              <w:br/>
              <w:t>y 16.9–18.0 %</w:t>
            </w:r>
          </w:p>
        </w:tc>
      </w:tr>
      <w:tr>
        <w:trPr>
          <w:cantSplit/>
        </w:trPr>
        <w:tc>
          <w:tcPr>
            <w:tcW w:type="dxa" w:w="3288"/>
          </w:tcPr>
          <w:p>
            <w:pPr>
              <w:spacing w:after="40"/>
            </w:pPr>
            <w:r>
              <w:rPr>
                <w:sz w:val="18"/>
              </w:rPr>
              <w:t>Status</w:t>
            </w:r>
          </w:p>
        </w:tc>
        <w:tc>
          <w:tcPr>
            <w:tcW w:type="dxa" w:w="3005"/>
          </w:tcPr>
          <w:p>
            <w:pPr>
              <w:spacing w:after="40"/>
            </w:pPr>
            <w:r>
              <w:rPr>
                <w:sz w:val="18"/>
              </w:rPr>
              <w:t>x 1015–1052</w:t>
              <w:br/>
              <w:t>y 155–165</w:t>
            </w:r>
          </w:p>
        </w:tc>
        <w:tc>
          <w:tcPr>
            <w:tcW w:type="dxa" w:w="3402"/>
          </w:tcPr>
          <w:p>
            <w:pPr>
              <w:spacing w:after="40"/>
            </w:pPr>
            <w:r>
              <w:rPr>
                <w:sz w:val="18"/>
              </w:rPr>
              <w:t>oben, mittig</w:t>
              <w:br/>
              <w:t>x 53.0–55.0 %</w:t>
              <w:br/>
              <w:t>y 16.9–18.0 %</w:t>
            </w:r>
          </w:p>
        </w:tc>
      </w:tr>
      <w:tr>
        <w:trPr>
          <w:cantSplit/>
        </w:trPr>
        <w:tc>
          <w:tcPr>
            <w:tcW w:type="dxa" w:w="3288"/>
          </w:tcPr>
          <w:p>
            <w:pPr>
              <w:spacing w:after="40"/>
            </w:pPr>
            <w:r>
              <w:rPr>
                <w:sz w:val="18"/>
              </w:rPr>
              <w:t>Creation Time</w:t>
            </w:r>
          </w:p>
        </w:tc>
        <w:tc>
          <w:tcPr>
            <w:tcW w:type="dxa" w:w="3005"/>
          </w:tcPr>
          <w:p>
            <w:pPr>
              <w:spacing w:after="40"/>
            </w:pPr>
            <w:r>
              <w:rPr>
                <w:sz w:val="18"/>
              </w:rPr>
              <w:t>x 1190–1274</w:t>
              <w:br/>
              <w:t>y 155–165</w:t>
            </w:r>
          </w:p>
        </w:tc>
        <w:tc>
          <w:tcPr>
            <w:tcW w:type="dxa" w:w="3402"/>
          </w:tcPr>
          <w:p>
            <w:pPr>
              <w:spacing w:after="40"/>
            </w:pPr>
            <w:r>
              <w:rPr>
                <w:sz w:val="18"/>
              </w:rPr>
              <w:t>oben, mittig</w:t>
              <w:br/>
              <w:t>x 62.1–66.6 %</w:t>
              <w:br/>
              <w:t>y 16.9–18.0 %</w:t>
            </w:r>
          </w:p>
        </w:tc>
      </w:tr>
      <w:tr>
        <w:trPr>
          <w:cantSplit/>
        </w:trPr>
        <w:tc>
          <w:tcPr>
            <w:tcW w:type="dxa" w:w="3288"/>
          </w:tcPr>
          <w:p>
            <w:pPr>
              <w:spacing w:after="40"/>
            </w:pPr>
            <w:r>
              <w:rPr>
                <w:sz w:val="18"/>
              </w:rPr>
              <w:t>Failed</w:t>
            </w:r>
          </w:p>
        </w:tc>
        <w:tc>
          <w:tcPr>
            <w:tcW w:type="dxa" w:w="3005"/>
          </w:tcPr>
          <w:p>
            <w:pPr>
              <w:spacing w:after="40"/>
            </w:pPr>
            <w:r>
              <w:rPr>
                <w:sz w:val="18"/>
              </w:rPr>
              <w:t>x 1047–1083</w:t>
              <w:br/>
              <w:t>y 188–198</w:t>
            </w:r>
          </w:p>
        </w:tc>
        <w:tc>
          <w:tcPr>
            <w:tcW w:type="dxa" w:w="3402"/>
          </w:tcPr>
          <w:p>
            <w:pPr>
              <w:spacing w:after="40"/>
            </w:pPr>
            <w:r>
              <w:rPr>
                <w:sz w:val="18"/>
              </w:rPr>
              <w:t>oben, mittig</w:t>
              <w:br/>
              <w:t>x 54.7–56.6 %</w:t>
              <w:br/>
              <w:t>y 20.5–21.6 %</w:t>
            </w:r>
          </w:p>
        </w:tc>
      </w:tr>
      <w:tr>
        <w:trPr>
          <w:cantSplit/>
        </w:trPr>
        <w:tc>
          <w:tcPr>
            <w:tcW w:type="dxa" w:w="3288"/>
          </w:tcPr>
          <w:p>
            <w:pPr>
              <w:spacing w:after="40"/>
            </w:pPr>
            <w:r>
              <w:rPr>
                <w:sz w:val="18"/>
              </w:rPr>
              <w:t>Success</w:t>
            </w:r>
          </w:p>
        </w:tc>
        <w:tc>
          <w:tcPr>
            <w:tcW w:type="dxa" w:w="3005"/>
          </w:tcPr>
          <w:p>
            <w:pPr>
              <w:spacing w:after="40"/>
            </w:pPr>
            <w:r>
              <w:rPr>
                <w:sz w:val="18"/>
              </w:rPr>
              <w:t>x 1047–1096</w:t>
              <w:br/>
              <w:t>y 221–231</w:t>
            </w:r>
          </w:p>
        </w:tc>
        <w:tc>
          <w:tcPr>
            <w:tcW w:type="dxa" w:w="3402"/>
          </w:tcPr>
          <w:p>
            <w:pPr>
              <w:spacing w:after="40"/>
            </w:pPr>
            <w:r>
              <w:rPr>
                <w:sz w:val="18"/>
              </w:rPr>
              <w:t>oben, mittig</w:t>
              <w:br/>
              <w:t>x 54.7–57.3 %</w:t>
              <w:br/>
              <w:t>y 24.2–25.2 %</w:t>
            </w:r>
          </w:p>
        </w:tc>
      </w:tr>
      <w:tr>
        <w:trPr>
          <w:cantSplit/>
        </w:trPr>
        <w:tc>
          <w:tcPr>
            <w:tcW w:type="dxa" w:w="3288"/>
          </w:tcPr>
          <w:p>
            <w:pPr>
              <w:spacing w:after="40"/>
            </w:pPr>
            <w:r>
              <w:rPr>
                <w:sz w:val="18"/>
              </w:rPr>
              <w:t>Search</w:t>
            </w:r>
          </w:p>
        </w:tc>
        <w:tc>
          <w:tcPr>
            <w:tcW w:type="dxa" w:w="3005"/>
          </w:tcPr>
          <w:p>
            <w:pPr>
              <w:spacing w:after="40"/>
            </w:pPr>
            <w:r>
              <w:rPr>
                <w:sz w:val="18"/>
              </w:rPr>
              <w:t>x 51–92</w:t>
              <w:br/>
              <w:t>y 241–251</w:t>
            </w:r>
          </w:p>
        </w:tc>
        <w:tc>
          <w:tcPr>
            <w:tcW w:type="dxa" w:w="3402"/>
          </w:tcPr>
          <w:p>
            <w:pPr>
              <w:spacing w:after="40"/>
            </w:pPr>
            <w:r>
              <w:rPr>
                <w:sz w:val="18"/>
              </w:rPr>
              <w:t>oben, links</w:t>
              <w:br/>
              <w:t>x 2.7–4.8 %</w:t>
              <w:br/>
              <w:t>y 26.3–27.4 %</w:t>
            </w:r>
          </w:p>
        </w:tc>
      </w:tr>
      <w:tr>
        <w:trPr>
          <w:cantSplit/>
        </w:trPr>
        <w:tc>
          <w:tcPr>
            <w:tcW w:type="dxa" w:w="3288"/>
          </w:tcPr>
          <w:p>
            <w:pPr>
              <w:spacing w:after="40"/>
            </w:pPr>
            <w:r>
              <w:rPr>
                <w:sz w:val="18"/>
              </w:rPr>
              <w:t>Failed</w:t>
            </w:r>
          </w:p>
        </w:tc>
        <w:tc>
          <w:tcPr>
            <w:tcW w:type="dxa" w:w="3005"/>
          </w:tcPr>
          <w:p>
            <w:pPr>
              <w:spacing w:after="40"/>
            </w:pPr>
            <w:r>
              <w:rPr>
                <w:sz w:val="18"/>
              </w:rPr>
              <w:t>x 1047–1083</w:t>
              <w:br/>
              <w:t>y 254–264</w:t>
            </w:r>
          </w:p>
        </w:tc>
        <w:tc>
          <w:tcPr>
            <w:tcW w:type="dxa" w:w="3402"/>
          </w:tcPr>
          <w:p>
            <w:pPr>
              <w:spacing w:after="40"/>
            </w:pPr>
            <w:r>
              <w:rPr>
                <w:sz w:val="18"/>
              </w:rPr>
              <w:t>oben, mittig</w:t>
              <w:br/>
              <w:t>x 54.7–56.6 %</w:t>
              <w:br/>
              <w:t>y 27.8–28.9 %</w:t>
            </w:r>
          </w:p>
        </w:tc>
      </w:tr>
      <w:tr>
        <w:trPr>
          <w:cantSplit/>
        </w:trPr>
        <w:tc>
          <w:tcPr>
            <w:tcW w:type="dxa" w:w="3288"/>
          </w:tcPr>
          <w:p>
            <w:pPr>
              <w:spacing w:after="40"/>
            </w:pPr>
            <w:r>
              <w:rPr>
                <w:sz w:val="18"/>
              </w:rPr>
              <w:t>Success</w:t>
            </w:r>
          </w:p>
        </w:tc>
        <w:tc>
          <w:tcPr>
            <w:tcW w:type="dxa" w:w="3005"/>
          </w:tcPr>
          <w:p>
            <w:pPr>
              <w:spacing w:after="40"/>
            </w:pPr>
            <w:r>
              <w:rPr>
                <w:sz w:val="18"/>
              </w:rPr>
              <w:t>x 1047–1096</w:t>
              <w:br/>
              <w:t>y 287–297</w:t>
            </w:r>
          </w:p>
        </w:tc>
        <w:tc>
          <w:tcPr>
            <w:tcW w:type="dxa" w:w="3402"/>
          </w:tcPr>
          <w:p>
            <w:pPr>
              <w:spacing w:after="40"/>
            </w:pPr>
            <w:r>
              <w:rPr>
                <w:sz w:val="18"/>
              </w:rPr>
              <w:t>oben, mittig</w:t>
              <w:br/>
              <w:t>x 54.7–57.3 %</w:t>
              <w:br/>
              <w:t>y 31.4–32.5 %</w:t>
            </w:r>
          </w:p>
        </w:tc>
      </w:tr>
      <w:tr>
        <w:trPr>
          <w:cantSplit/>
        </w:trPr>
        <w:tc>
          <w:tcPr>
            <w:tcW w:type="dxa" w:w="3288"/>
          </w:tcPr>
          <w:p>
            <w:pPr>
              <w:spacing w:after="40"/>
            </w:pPr>
            <w:r>
              <w:rPr>
                <w:sz w:val="18"/>
              </w:rPr>
              <w:t>Apps</w:t>
            </w:r>
          </w:p>
        </w:tc>
        <w:tc>
          <w:tcPr>
            <w:tcW w:type="dxa" w:w="3005"/>
          </w:tcPr>
          <w:p>
            <w:pPr>
              <w:spacing w:after="40"/>
            </w:pPr>
            <w:r>
              <w:rPr>
                <w:sz w:val="18"/>
              </w:rPr>
              <w:t>x 26–57</w:t>
              <w:br/>
              <w:t>y 323–336</w:t>
            </w:r>
          </w:p>
        </w:tc>
        <w:tc>
          <w:tcPr>
            <w:tcW w:type="dxa" w:w="3402"/>
          </w:tcPr>
          <w:p>
            <w:pPr>
              <w:spacing w:after="40"/>
            </w:pPr>
            <w:r>
              <w:rPr>
                <w:sz w:val="18"/>
              </w:rPr>
              <w:t>auf mittlerer Höhe, links</w:t>
              <w:br/>
              <w:t>x 1.4–3.0 %</w:t>
              <w:br/>
              <w:t>y 35.3–36.7 %</w:t>
            </w:r>
          </w:p>
        </w:tc>
      </w:tr>
      <w:tr>
        <w:trPr>
          <w:cantSplit/>
        </w:trPr>
        <w:tc>
          <w:tcPr>
            <w:tcW w:type="dxa" w:w="3288"/>
          </w:tcPr>
          <w:p>
            <w:pPr>
              <w:spacing w:after="40"/>
            </w:pPr>
            <w:r>
              <w:rPr>
                <w:sz w:val="18"/>
              </w:rPr>
              <w:t>Success</w:t>
            </w:r>
          </w:p>
        </w:tc>
        <w:tc>
          <w:tcPr>
            <w:tcW w:type="dxa" w:w="3005"/>
          </w:tcPr>
          <w:p>
            <w:pPr>
              <w:spacing w:after="40"/>
            </w:pPr>
            <w:r>
              <w:rPr>
                <w:sz w:val="18"/>
              </w:rPr>
              <w:t>x 1047–1096</w:t>
              <w:br/>
              <w:t>y 320–330</w:t>
            </w:r>
          </w:p>
        </w:tc>
        <w:tc>
          <w:tcPr>
            <w:tcW w:type="dxa" w:w="3402"/>
          </w:tcPr>
          <w:p>
            <w:pPr>
              <w:spacing w:after="40"/>
            </w:pPr>
            <w:r>
              <w:rPr>
                <w:sz w:val="18"/>
              </w:rPr>
              <w:t>auf mittlerer Höhe, mittig</w:t>
              <w:br/>
              <w:t>x 54.7–57.3 %</w:t>
              <w:br/>
              <w:t>y 35.0–36.1 %</w:t>
            </w:r>
          </w:p>
        </w:tc>
      </w:tr>
      <w:tr>
        <w:trPr>
          <w:cantSplit/>
        </w:trPr>
        <w:tc>
          <w:tcPr>
            <w:tcW w:type="dxa" w:w="3288"/>
          </w:tcPr>
          <w:p>
            <w:pPr>
              <w:spacing w:after="40"/>
            </w:pPr>
            <w:r>
              <w:rPr>
                <w:sz w:val="18"/>
              </w:rPr>
              <w:t>Success</w:t>
            </w:r>
          </w:p>
        </w:tc>
        <w:tc>
          <w:tcPr>
            <w:tcW w:type="dxa" w:w="3005"/>
          </w:tcPr>
          <w:p>
            <w:pPr>
              <w:spacing w:after="40"/>
            </w:pPr>
            <w:r>
              <w:rPr>
                <w:sz w:val="18"/>
              </w:rPr>
              <w:t>x 1047–1096</w:t>
              <w:br/>
              <w:t>y 353–363</w:t>
            </w:r>
          </w:p>
        </w:tc>
        <w:tc>
          <w:tcPr>
            <w:tcW w:type="dxa" w:w="3402"/>
          </w:tcPr>
          <w:p>
            <w:pPr>
              <w:spacing w:after="40"/>
            </w:pPr>
            <w:r>
              <w:rPr>
                <w:sz w:val="18"/>
              </w:rPr>
              <w:t>auf mittlerer Höhe, mittig</w:t>
              <w:br/>
              <w:t>x 54.7–57.3 %</w:t>
              <w:br/>
              <w:t>y 38.6–39.7 %</w:t>
            </w:r>
          </w:p>
        </w:tc>
      </w:tr>
      <w:tr>
        <w:trPr>
          <w:cantSplit/>
        </w:trPr>
        <w:tc>
          <w:tcPr>
            <w:tcW w:type="dxa" w:w="3288"/>
          </w:tcPr>
          <w:p>
            <w:pPr>
              <w:spacing w:after="40"/>
            </w:pPr>
            <w:r>
              <w:rPr>
                <w:sz w:val="18"/>
              </w:rPr>
              <w:t>Semantic Onboarding</w:t>
            </w:r>
          </w:p>
        </w:tc>
        <w:tc>
          <w:tcPr>
            <w:tcW w:type="dxa" w:w="3005"/>
          </w:tcPr>
          <w:p>
            <w:pPr>
              <w:spacing w:after="40"/>
            </w:pPr>
            <w:r>
              <w:rPr>
                <w:sz w:val="18"/>
              </w:rPr>
              <w:t>x 50–184</w:t>
              <w:br/>
              <w:t>y 359–372</w:t>
            </w:r>
          </w:p>
        </w:tc>
        <w:tc>
          <w:tcPr>
            <w:tcW w:type="dxa" w:w="3402"/>
          </w:tcPr>
          <w:p>
            <w:pPr>
              <w:spacing w:after="40"/>
            </w:pPr>
            <w:r>
              <w:rPr>
                <w:sz w:val="18"/>
              </w:rPr>
              <w:t>auf mittlerer Höhe, links</w:t>
              <w:br/>
              <w:t>x 2.6–9.6 %</w:t>
              <w:br/>
              <w:t>y 39.2–40.7 %</w:t>
            </w:r>
          </w:p>
        </w:tc>
      </w:tr>
      <w:tr>
        <w:trPr>
          <w:cantSplit/>
        </w:trPr>
        <w:tc>
          <w:tcPr>
            <w:tcW w:type="dxa" w:w="3288"/>
          </w:tcPr>
          <w:p>
            <w:pPr>
              <w:spacing w:after="40"/>
            </w:pPr>
            <w:r>
              <w:rPr>
                <w:sz w:val="18"/>
              </w:rPr>
              <w:t>Success</w:t>
            </w:r>
          </w:p>
        </w:tc>
        <w:tc>
          <w:tcPr>
            <w:tcW w:type="dxa" w:w="3005"/>
          </w:tcPr>
          <w:p>
            <w:pPr>
              <w:spacing w:after="40"/>
            </w:pPr>
            <w:r>
              <w:rPr>
                <w:sz w:val="18"/>
              </w:rPr>
              <w:t>x 1047–1096</w:t>
              <w:br/>
              <w:t>y 386–396</w:t>
            </w:r>
          </w:p>
        </w:tc>
        <w:tc>
          <w:tcPr>
            <w:tcW w:type="dxa" w:w="3402"/>
          </w:tcPr>
          <w:p>
            <w:pPr>
              <w:spacing w:after="40"/>
            </w:pPr>
            <w:r>
              <w:rPr>
                <w:sz w:val="18"/>
              </w:rPr>
              <w:t>auf mittlerer Höhe, mittig</w:t>
              <w:br/>
              <w:t>x 54.7–57.3 %</w:t>
              <w:br/>
              <w:t>y 42.2–43.3 %</w:t>
            </w:r>
          </w:p>
        </w:tc>
      </w:tr>
      <w:tr>
        <w:trPr>
          <w:cantSplit/>
        </w:trPr>
        <w:tc>
          <w:tcPr>
            <w:tcW w:type="dxa" w:w="3288"/>
          </w:tcPr>
          <w:p>
            <w:pPr>
              <w:spacing w:after="40"/>
            </w:pPr>
            <w:r>
              <w:rPr>
                <w:sz w:val="18"/>
              </w:rPr>
              <w:t>Business Builder</w:t>
            </w:r>
          </w:p>
        </w:tc>
        <w:tc>
          <w:tcPr>
            <w:tcW w:type="dxa" w:w="3005"/>
          </w:tcPr>
          <w:p>
            <w:pPr>
              <w:spacing w:after="40"/>
            </w:pPr>
            <w:r>
              <w:rPr>
                <w:sz w:val="18"/>
              </w:rPr>
              <w:t>x 51–153</w:t>
              <w:br/>
              <w:t>y 395–405</w:t>
            </w:r>
          </w:p>
        </w:tc>
        <w:tc>
          <w:tcPr>
            <w:tcW w:type="dxa" w:w="3402"/>
          </w:tcPr>
          <w:p>
            <w:pPr>
              <w:spacing w:after="40"/>
            </w:pPr>
            <w:r>
              <w:rPr>
                <w:sz w:val="18"/>
              </w:rPr>
              <w:t>auf mittlerer Höhe, links</w:t>
              <w:br/>
              <w:t>x 2.7–8.0 %</w:t>
              <w:br/>
              <w:t>y 43.2–44.3 %</w:t>
            </w:r>
          </w:p>
        </w:tc>
      </w:tr>
      <w:tr>
        <w:trPr>
          <w:cantSplit/>
        </w:trPr>
        <w:tc>
          <w:tcPr>
            <w:tcW w:type="dxa" w:w="3288"/>
          </w:tcPr>
          <w:p>
            <w:pPr>
              <w:spacing w:after="40"/>
            </w:pPr>
            <w:r>
              <w:rPr>
                <w:sz w:val="18"/>
              </w:rPr>
              <w:t>Success</w:t>
            </w:r>
          </w:p>
        </w:tc>
        <w:tc>
          <w:tcPr>
            <w:tcW w:type="dxa" w:w="3005"/>
          </w:tcPr>
          <w:p>
            <w:pPr>
              <w:spacing w:after="40"/>
            </w:pPr>
            <w:r>
              <w:rPr>
                <w:sz w:val="18"/>
              </w:rPr>
              <w:t>x 1047–1096</w:t>
              <w:br/>
              <w:t>y 419–429</w:t>
            </w:r>
          </w:p>
        </w:tc>
        <w:tc>
          <w:tcPr>
            <w:tcW w:type="dxa" w:w="3402"/>
          </w:tcPr>
          <w:p>
            <w:pPr>
              <w:spacing w:after="40"/>
            </w:pPr>
            <w:r>
              <w:rPr>
                <w:sz w:val="18"/>
              </w:rPr>
              <w:t>auf mittlerer Höhe, mittig</w:t>
              <w:br/>
              <w:t>x 54.7–57.3 %</w:t>
              <w:br/>
              <w:t>y 45.8–46.9 %</w:t>
            </w:r>
          </w:p>
        </w:tc>
      </w:tr>
      <w:tr>
        <w:trPr>
          <w:cantSplit/>
        </w:trPr>
        <w:tc>
          <w:tcPr>
            <w:tcW w:type="dxa" w:w="3288"/>
          </w:tcPr>
          <w:p>
            <w:pPr>
              <w:spacing w:after="40"/>
            </w:pPr>
            <w:r>
              <w:rPr>
                <w:sz w:val="18"/>
              </w:rPr>
              <w:t>Data Builder</w:t>
            </w:r>
          </w:p>
        </w:tc>
        <w:tc>
          <w:tcPr>
            <w:tcW w:type="dxa" w:w="3005"/>
          </w:tcPr>
          <w:p>
            <w:pPr>
              <w:spacing w:after="40"/>
            </w:pPr>
            <w:r>
              <w:rPr>
                <w:sz w:val="18"/>
              </w:rPr>
              <w:t>x 51–127</w:t>
              <w:br/>
              <w:t>y 431–441</w:t>
            </w:r>
          </w:p>
        </w:tc>
        <w:tc>
          <w:tcPr>
            <w:tcW w:type="dxa" w:w="3402"/>
          </w:tcPr>
          <w:p>
            <w:pPr>
              <w:spacing w:after="40"/>
            </w:pPr>
            <w:r>
              <w:rPr>
                <w:sz w:val="18"/>
              </w:rPr>
              <w:t>auf mittlerer Höhe, links</w:t>
              <w:br/>
              <w:t>x 2.7–6.6 %</w:t>
              <w:br/>
              <w:t>y 47.1–48.2 %</w:t>
            </w:r>
          </w:p>
        </w:tc>
      </w:tr>
      <w:tr>
        <w:trPr>
          <w:cantSplit/>
        </w:trPr>
        <w:tc>
          <w:tcPr>
            <w:tcW w:type="dxa" w:w="3288"/>
          </w:tcPr>
          <w:p>
            <w:pPr>
              <w:spacing w:after="40"/>
            </w:pPr>
            <w:r>
              <w:rPr>
                <w:sz w:val="18"/>
              </w:rPr>
              <w:t>Failed</w:t>
            </w:r>
          </w:p>
        </w:tc>
        <w:tc>
          <w:tcPr>
            <w:tcW w:type="dxa" w:w="3005"/>
          </w:tcPr>
          <w:p>
            <w:pPr>
              <w:spacing w:after="40"/>
            </w:pPr>
            <w:r>
              <w:rPr>
                <w:sz w:val="18"/>
              </w:rPr>
              <w:t>x 1047–1083</w:t>
              <w:br/>
              <w:t>y 452–462</w:t>
            </w:r>
          </w:p>
        </w:tc>
        <w:tc>
          <w:tcPr>
            <w:tcW w:type="dxa" w:w="3402"/>
          </w:tcPr>
          <w:p>
            <w:pPr>
              <w:spacing w:after="40"/>
            </w:pPr>
            <w:r>
              <w:rPr>
                <w:sz w:val="18"/>
              </w:rPr>
              <w:t>auf mittlerer Höhe, mittig</w:t>
              <w:br/>
              <w:t>x 54.7–56.6 %</w:t>
              <w:br/>
              <w:t>y 49.4–50.5 %</w:t>
            </w:r>
          </w:p>
        </w:tc>
      </w:tr>
      <w:tr>
        <w:trPr>
          <w:cantSplit/>
        </w:trPr>
        <w:tc>
          <w:tcPr>
            <w:tcW w:type="dxa" w:w="3288"/>
          </w:tcPr>
          <w:p>
            <w:pPr>
              <w:spacing w:after="40"/>
            </w:pPr>
            <w:r>
              <w:rPr>
                <w:sz w:val="18"/>
              </w:rPr>
              <w:t>Connections</w:t>
            </w:r>
          </w:p>
        </w:tc>
        <w:tc>
          <w:tcPr>
            <w:tcW w:type="dxa" w:w="3005"/>
          </w:tcPr>
          <w:p>
            <w:pPr>
              <w:spacing w:after="40"/>
            </w:pPr>
            <w:r>
              <w:rPr>
                <w:sz w:val="18"/>
              </w:rPr>
              <w:t>x 50–126</w:t>
              <w:br/>
              <w:t>y 467–477</w:t>
            </w:r>
          </w:p>
        </w:tc>
        <w:tc>
          <w:tcPr>
            <w:tcW w:type="dxa" w:w="3402"/>
          </w:tcPr>
          <w:p>
            <w:pPr>
              <w:spacing w:after="40"/>
            </w:pPr>
            <w:r>
              <w:rPr>
                <w:sz w:val="18"/>
              </w:rPr>
              <w:t>auf mittlerer Höhe, links</w:t>
              <w:br/>
              <w:t>x 2.6–6.6 %</w:t>
              <w:br/>
              <w:t>y 51.0–52.1 %</w:t>
            </w:r>
          </w:p>
        </w:tc>
      </w:tr>
      <w:tr>
        <w:trPr>
          <w:cantSplit/>
        </w:trPr>
        <w:tc>
          <w:tcPr>
            <w:tcW w:type="dxa" w:w="3288"/>
          </w:tcPr>
          <w:p>
            <w:pPr>
              <w:spacing w:after="40"/>
            </w:pPr>
            <w:r>
              <w:rPr>
                <w:sz w:val="18"/>
              </w:rPr>
              <w:t>Utilities</w:t>
            </w:r>
          </w:p>
        </w:tc>
        <w:tc>
          <w:tcPr>
            <w:tcW w:type="dxa" w:w="3005"/>
          </w:tcPr>
          <w:p>
            <w:pPr>
              <w:spacing w:after="40"/>
            </w:pPr>
            <w:r>
              <w:rPr>
                <w:sz w:val="18"/>
              </w:rPr>
              <w:t>x 27–71</w:t>
              <w:br/>
              <w:t>y 513–523</w:t>
            </w:r>
          </w:p>
        </w:tc>
        <w:tc>
          <w:tcPr>
            <w:tcW w:type="dxa" w:w="3402"/>
          </w:tcPr>
          <w:p>
            <w:pPr>
              <w:spacing w:after="40"/>
            </w:pPr>
            <w:r>
              <w:rPr>
                <w:sz w:val="18"/>
              </w:rPr>
              <w:t>auf mittlerer Höhe, links</w:t>
              <w:br/>
              <w:t>x 1.4–3.7 %</w:t>
              <w:br/>
              <w:t>y 56.1–57.2 %</w:t>
            </w:r>
          </w:p>
        </w:tc>
      </w:tr>
      <w:tr>
        <w:trPr>
          <w:cantSplit/>
        </w:trPr>
        <w:tc>
          <w:tcPr>
            <w:tcW w:type="dxa" w:w="3288"/>
          </w:tcPr>
          <w:p>
            <w:pPr>
              <w:spacing w:after="40"/>
            </w:pPr>
            <w:r>
              <w:rPr>
                <w:sz w:val="18"/>
              </w:rPr>
              <w:t>Success</w:t>
            </w:r>
          </w:p>
        </w:tc>
        <w:tc>
          <w:tcPr>
            <w:tcW w:type="dxa" w:w="3005"/>
          </w:tcPr>
          <w:p>
            <w:pPr>
              <w:spacing w:after="40"/>
            </w:pPr>
            <w:r>
              <w:rPr>
                <w:sz w:val="18"/>
              </w:rPr>
              <w:t>x 1047–1096</w:t>
              <w:br/>
              <w:t>y 518–528</w:t>
            </w:r>
          </w:p>
        </w:tc>
        <w:tc>
          <w:tcPr>
            <w:tcW w:type="dxa" w:w="3402"/>
          </w:tcPr>
          <w:p>
            <w:pPr>
              <w:spacing w:after="40"/>
            </w:pPr>
            <w:r>
              <w:rPr>
                <w:sz w:val="18"/>
              </w:rPr>
              <w:t>auf mittlerer Höhe, mittig</w:t>
              <w:br/>
              <w:t>x 54.7–57.3 %</w:t>
              <w:br/>
              <w:t>y 56.6–57.7 %</w:t>
            </w:r>
          </w:p>
        </w:tc>
      </w:tr>
      <w:tr>
        <w:trPr>
          <w:cantSplit/>
        </w:trPr>
        <w:tc>
          <w:tcPr>
            <w:tcW w:type="dxa" w:w="3288"/>
          </w:tcPr>
          <w:p>
            <w:pPr>
              <w:spacing w:after="40"/>
            </w:pPr>
            <w:r>
              <w:rPr>
                <w:sz w:val="18"/>
              </w:rPr>
              <w:t>Space Management</w:t>
            </w:r>
          </w:p>
        </w:tc>
        <w:tc>
          <w:tcPr>
            <w:tcW w:type="dxa" w:w="3005"/>
          </w:tcPr>
          <w:p>
            <w:pPr>
              <w:spacing w:after="40"/>
            </w:pPr>
            <w:r>
              <w:rPr>
                <w:sz w:val="18"/>
              </w:rPr>
              <w:t>x 50–173</w:t>
              <w:br/>
              <w:t>y 549–562</w:t>
            </w:r>
          </w:p>
        </w:tc>
        <w:tc>
          <w:tcPr>
            <w:tcW w:type="dxa" w:w="3402"/>
          </w:tcPr>
          <w:p>
            <w:pPr>
              <w:spacing w:after="40"/>
            </w:pPr>
            <w:r>
              <w:rPr>
                <w:sz w:val="18"/>
              </w:rPr>
              <w:t>auf mittlerer Höhe, links</w:t>
              <w:br/>
              <w:t>x 2.6–9.0 %</w:t>
              <w:br/>
              <w:t>y 60.0–61.4 %</w:t>
            </w:r>
          </w:p>
        </w:tc>
      </w:tr>
      <w:tr>
        <w:trPr>
          <w:cantSplit/>
        </w:trPr>
        <w:tc>
          <w:tcPr>
            <w:tcW w:type="dxa" w:w="3288"/>
          </w:tcPr>
          <w:p>
            <w:pPr>
              <w:spacing w:after="40"/>
            </w:pPr>
            <w:r>
              <w:rPr>
                <w:sz w:val="18"/>
              </w:rPr>
              <w:t>Failed</w:t>
            </w:r>
          </w:p>
        </w:tc>
        <w:tc>
          <w:tcPr>
            <w:tcW w:type="dxa" w:w="3005"/>
          </w:tcPr>
          <w:p>
            <w:pPr>
              <w:spacing w:after="40"/>
            </w:pPr>
            <w:r>
              <w:rPr>
                <w:sz w:val="18"/>
              </w:rPr>
              <w:t>x 1047–1083</w:t>
              <w:br/>
              <w:t>y 551–561</w:t>
            </w:r>
          </w:p>
        </w:tc>
        <w:tc>
          <w:tcPr>
            <w:tcW w:type="dxa" w:w="3402"/>
          </w:tcPr>
          <w:p>
            <w:pPr>
              <w:spacing w:after="40"/>
            </w:pPr>
            <w:r>
              <w:rPr>
                <w:sz w:val="18"/>
              </w:rPr>
              <w:t>auf mittlerer Höhe, mittig</w:t>
              <w:br/>
              <w:t>x 54.7–56.6 %</w:t>
              <w:br/>
              <w:t>y 60.2–61.3 %</w:t>
            </w:r>
          </w:p>
        </w:tc>
      </w:tr>
      <w:tr>
        <w:trPr>
          <w:cantSplit/>
        </w:trPr>
        <w:tc>
          <w:tcPr>
            <w:tcW w:type="dxa" w:w="3288"/>
          </w:tcPr>
          <w:p>
            <w:pPr>
              <w:spacing w:after="40"/>
            </w:pPr>
            <w:r>
              <w:rPr>
                <w:sz w:val="18"/>
              </w:rPr>
              <w:t>Translation</w:t>
            </w:r>
          </w:p>
        </w:tc>
        <w:tc>
          <w:tcPr>
            <w:tcW w:type="dxa" w:w="3005"/>
          </w:tcPr>
          <w:p>
            <w:pPr>
              <w:spacing w:after="40"/>
            </w:pPr>
            <w:r>
              <w:rPr>
                <w:sz w:val="18"/>
              </w:rPr>
              <w:t>x 50–117</w:t>
              <w:br/>
              <w:t>y 585–595</w:t>
            </w:r>
          </w:p>
        </w:tc>
        <w:tc>
          <w:tcPr>
            <w:tcW w:type="dxa" w:w="3402"/>
          </w:tcPr>
          <w:p>
            <w:pPr>
              <w:spacing w:after="40"/>
            </w:pPr>
            <w:r>
              <w:rPr>
                <w:sz w:val="18"/>
              </w:rPr>
              <w:t>auf mittlerer Höhe, links</w:t>
              <w:br/>
              <w:t>x 2.6–6.1 %</w:t>
              <w:br/>
              <w:t>y 63.9–65.0 %</w:t>
            </w:r>
          </w:p>
        </w:tc>
      </w:tr>
      <w:tr>
        <w:trPr>
          <w:cantSplit/>
        </w:trPr>
        <w:tc>
          <w:tcPr>
            <w:tcW w:type="dxa" w:w="3288"/>
          </w:tcPr>
          <w:p>
            <w:pPr>
              <w:spacing w:after="40"/>
            </w:pPr>
            <w:r>
              <w:rPr>
                <w:sz w:val="18"/>
              </w:rPr>
              <w:t>Success</w:t>
            </w:r>
          </w:p>
        </w:tc>
        <w:tc>
          <w:tcPr>
            <w:tcW w:type="dxa" w:w="3005"/>
          </w:tcPr>
          <w:p>
            <w:pPr>
              <w:spacing w:after="40"/>
            </w:pPr>
            <w:r>
              <w:rPr>
                <w:sz w:val="18"/>
              </w:rPr>
              <w:t>x 1047–1096</w:t>
              <w:br/>
              <w:t>y 584–594</w:t>
            </w:r>
          </w:p>
        </w:tc>
        <w:tc>
          <w:tcPr>
            <w:tcW w:type="dxa" w:w="3402"/>
          </w:tcPr>
          <w:p>
            <w:pPr>
              <w:spacing w:after="40"/>
            </w:pPr>
            <w:r>
              <w:rPr>
                <w:sz w:val="18"/>
              </w:rPr>
              <w:t>auf mittlerer Höhe, mittig</w:t>
              <w:br/>
              <w:t>x 54.7–57.3 %</w:t>
              <w:br/>
              <w:t>y 63.8–64.9 %</w:t>
            </w:r>
          </w:p>
        </w:tc>
      </w:tr>
      <w:tr>
        <w:trPr>
          <w:cantSplit/>
        </w:trPr>
        <w:tc>
          <w:tcPr>
            <w:tcW w:type="dxa" w:w="3288"/>
          </w:tcPr>
          <w:p>
            <w:pPr>
              <w:spacing w:after="40"/>
            </w:pPr>
            <w:r>
              <w:rPr>
                <w:sz w:val="18"/>
              </w:rPr>
              <w:t>Failed</w:t>
            </w:r>
          </w:p>
        </w:tc>
        <w:tc>
          <w:tcPr>
            <w:tcW w:type="dxa" w:w="3005"/>
          </w:tcPr>
          <w:p>
            <w:pPr>
              <w:spacing w:after="40"/>
            </w:pPr>
            <w:r>
              <w:rPr>
                <w:sz w:val="18"/>
              </w:rPr>
              <w:t>x 1047–1083</w:t>
              <w:br/>
              <w:t>y 617–627</w:t>
            </w:r>
          </w:p>
        </w:tc>
        <w:tc>
          <w:tcPr>
            <w:tcW w:type="dxa" w:w="3402"/>
          </w:tcPr>
          <w:p>
            <w:pPr>
              <w:spacing w:after="40"/>
            </w:pPr>
            <w:r>
              <w:rPr>
                <w:sz w:val="18"/>
              </w:rPr>
              <w:t>unten, mittig</w:t>
              <w:br/>
              <w:t>x 54.7–56.6 %</w:t>
              <w:br/>
              <w:t>y 67.4–68.5 %</w:t>
            </w:r>
          </w:p>
        </w:tc>
      </w:tr>
      <w:tr>
        <w:trPr>
          <w:cantSplit/>
        </w:trPr>
        <w:tc>
          <w:tcPr>
            <w:tcW w:type="dxa" w:w="3288"/>
          </w:tcPr>
          <w:p>
            <w:pPr>
              <w:spacing w:after="40"/>
            </w:pPr>
            <w:r>
              <w:rPr>
                <w:sz w:val="18"/>
              </w:rPr>
              <w:t>Transport</w:t>
            </w:r>
          </w:p>
        </w:tc>
        <w:tc>
          <w:tcPr>
            <w:tcW w:type="dxa" w:w="3005"/>
          </w:tcPr>
          <w:p>
            <w:pPr>
              <w:spacing w:after="40"/>
            </w:pPr>
            <w:r>
              <w:rPr>
                <w:sz w:val="18"/>
              </w:rPr>
              <w:t>x 50–108</w:t>
              <w:br/>
              <w:t>y 621–634</w:t>
            </w:r>
          </w:p>
        </w:tc>
        <w:tc>
          <w:tcPr>
            <w:tcW w:type="dxa" w:w="3402"/>
          </w:tcPr>
          <w:p>
            <w:pPr>
              <w:spacing w:after="40"/>
            </w:pPr>
            <w:r>
              <w:rPr>
                <w:sz w:val="18"/>
              </w:rPr>
              <w:t>unten, links</w:t>
              <w:br/>
              <w:t>x 2.6–5.6 %</w:t>
              <w:br/>
              <w:t>y 67.9–69.3 %</w:t>
            </w:r>
          </w:p>
        </w:tc>
      </w:tr>
      <w:tr>
        <w:trPr>
          <w:cantSplit/>
        </w:trPr>
        <w:tc>
          <w:tcPr>
            <w:tcW w:type="dxa" w:w="3288"/>
          </w:tcPr>
          <w:p>
            <w:pPr>
              <w:spacing w:after="40"/>
            </w:pPr>
            <w:r>
              <w:rPr>
                <w:sz w:val="18"/>
              </w:rPr>
              <w:t>Success</w:t>
            </w:r>
          </w:p>
        </w:tc>
        <w:tc>
          <w:tcPr>
            <w:tcW w:type="dxa" w:w="3005"/>
          </w:tcPr>
          <w:p>
            <w:pPr>
              <w:spacing w:after="40"/>
            </w:pPr>
            <w:r>
              <w:rPr>
                <w:sz w:val="18"/>
              </w:rPr>
              <w:t>x 1047–1096</w:t>
              <w:br/>
              <w:t>y 650–660</w:t>
            </w:r>
          </w:p>
        </w:tc>
        <w:tc>
          <w:tcPr>
            <w:tcW w:type="dxa" w:w="3402"/>
          </w:tcPr>
          <w:p>
            <w:pPr>
              <w:spacing w:after="40"/>
            </w:pPr>
            <w:r>
              <w:rPr>
                <w:sz w:val="18"/>
              </w:rPr>
              <w:t>unten, mittig</w:t>
              <w:br/>
              <w:t>x 54.7–57.3 %</w:t>
              <w:br/>
              <w:t>y 71.0–72.1 %</w:t>
            </w:r>
          </w:p>
        </w:tc>
      </w:tr>
      <w:tr>
        <w:trPr>
          <w:cantSplit/>
        </w:trPr>
        <w:tc>
          <w:tcPr>
            <w:tcW w:type="dxa" w:w="3288"/>
          </w:tcPr>
          <w:p>
            <w:pPr>
              <w:spacing w:after="40"/>
            </w:pPr>
            <w:r>
              <w:rPr>
                <w:sz w:val="18"/>
              </w:rPr>
              <w:t>Failed</w:t>
            </w:r>
          </w:p>
        </w:tc>
        <w:tc>
          <w:tcPr>
            <w:tcW w:type="dxa" w:w="3005"/>
          </w:tcPr>
          <w:p>
            <w:pPr>
              <w:spacing w:after="40"/>
            </w:pPr>
            <w:r>
              <w:rPr>
                <w:sz w:val="18"/>
              </w:rPr>
              <w:t>x 1047–1083</w:t>
              <w:br/>
              <w:t>y 683–693</w:t>
            </w:r>
          </w:p>
        </w:tc>
        <w:tc>
          <w:tcPr>
            <w:tcW w:type="dxa" w:w="3402"/>
          </w:tcPr>
          <w:p>
            <w:pPr>
              <w:spacing w:after="40"/>
            </w:pPr>
            <w:r>
              <w:rPr>
                <w:sz w:val="18"/>
              </w:rPr>
              <w:t>unten, mittig</w:t>
              <w:br/>
              <w:t>x 54.7–56.6 %</w:t>
              <w:br/>
              <w:t>y 74.6–75.7 %</w:t>
            </w:r>
          </w:p>
        </w:tc>
      </w:tr>
      <w:tr>
        <w:trPr>
          <w:cantSplit/>
        </w:trPr>
        <w:tc>
          <w:tcPr>
            <w:tcW w:type="dxa" w:w="3288"/>
          </w:tcPr>
          <w:p>
            <w:pPr>
              <w:spacing w:after="40"/>
            </w:pPr>
            <w:r>
              <w:rPr>
                <w:sz w:val="18"/>
              </w:rPr>
              <w:t>Success</w:t>
            </w:r>
          </w:p>
        </w:tc>
        <w:tc>
          <w:tcPr>
            <w:tcW w:type="dxa" w:w="3005"/>
          </w:tcPr>
          <w:p>
            <w:pPr>
              <w:spacing w:after="40"/>
            </w:pPr>
            <w:r>
              <w:rPr>
                <w:sz w:val="18"/>
              </w:rPr>
              <w:t>x 1047–1096</w:t>
              <w:br/>
              <w:t>y 716–726</w:t>
            </w:r>
          </w:p>
        </w:tc>
        <w:tc>
          <w:tcPr>
            <w:tcW w:type="dxa" w:w="3402"/>
          </w:tcPr>
          <w:p>
            <w:pPr>
              <w:spacing w:after="40"/>
            </w:pPr>
            <w:r>
              <w:rPr>
                <w:sz w:val="18"/>
              </w:rPr>
              <w:t>unten, mittig</w:t>
              <w:br/>
              <w:t>x 54.7–57.3 %</w:t>
              <w:br/>
              <w:t>y 78.3–79.3 %</w:t>
            </w:r>
          </w:p>
        </w:tc>
      </w:tr>
      <w:tr>
        <w:trPr>
          <w:cantSplit/>
        </w:trPr>
        <w:tc>
          <w:tcPr>
            <w:tcW w:type="dxa" w:w="3288"/>
          </w:tcPr>
          <w:p>
            <w:pPr>
              <w:spacing w:after="40"/>
            </w:pPr>
            <w:r>
              <w:rPr>
                <w:sz w:val="18"/>
              </w:rPr>
              <w:t>Import</w:t>
            </w:r>
          </w:p>
        </w:tc>
        <w:tc>
          <w:tcPr>
            <w:tcW w:type="dxa" w:w="3005"/>
          </w:tcPr>
          <w:p>
            <w:pPr>
              <w:spacing w:after="40"/>
            </w:pPr>
            <w:r>
              <w:rPr>
                <w:sz w:val="18"/>
              </w:rPr>
              <w:t>x 51–90</w:t>
              <w:br/>
              <w:t>y 729–742</w:t>
            </w:r>
          </w:p>
        </w:tc>
        <w:tc>
          <w:tcPr>
            <w:tcW w:type="dxa" w:w="3402"/>
          </w:tcPr>
          <w:p>
            <w:pPr>
              <w:spacing w:after="40"/>
            </w:pPr>
            <w:r>
              <w:rPr>
                <w:sz w:val="18"/>
              </w:rPr>
              <w:t>unten, links</w:t>
              <w:br/>
              <w:t>x 2.7–4.7 %</w:t>
              <w:br/>
              <w:t>y 79.7–81.1 %</w:t>
            </w:r>
          </w:p>
        </w:tc>
      </w:tr>
      <w:tr>
        <w:trPr>
          <w:cantSplit/>
        </w:trPr>
        <w:tc>
          <w:tcPr>
            <w:tcW w:type="dxa" w:w="3288"/>
          </w:tcPr>
          <w:p>
            <w:pPr>
              <w:spacing w:after="40"/>
            </w:pPr>
            <w:r>
              <w:rPr>
                <w:sz w:val="18"/>
              </w:rPr>
              <w:t>Failed</w:t>
            </w:r>
          </w:p>
        </w:tc>
        <w:tc>
          <w:tcPr>
            <w:tcW w:type="dxa" w:w="3005"/>
          </w:tcPr>
          <w:p>
            <w:pPr>
              <w:spacing w:after="40"/>
            </w:pPr>
            <w:r>
              <w:rPr>
                <w:sz w:val="18"/>
              </w:rPr>
              <w:t>x 1047–1083</w:t>
              <w:br/>
              <w:t>y 749–759</w:t>
            </w:r>
          </w:p>
        </w:tc>
        <w:tc>
          <w:tcPr>
            <w:tcW w:type="dxa" w:w="3402"/>
          </w:tcPr>
          <w:p>
            <w:pPr>
              <w:spacing w:after="40"/>
            </w:pPr>
            <w:r>
              <w:rPr>
                <w:sz w:val="18"/>
              </w:rPr>
              <w:t>unten, mittig</w:t>
              <w:br/>
              <w:t>x 54.7–56.6 %</w:t>
              <w:br/>
              <w:t>y 81.9–83.0 %</w:t>
            </w:r>
          </w:p>
        </w:tc>
      </w:tr>
      <w:tr>
        <w:trPr>
          <w:cantSplit/>
        </w:trPr>
        <w:tc>
          <w:tcPr>
            <w:tcW w:type="dxa" w:w="3288"/>
          </w:tcPr>
          <w:p>
            <w:pPr>
              <w:spacing w:after="40"/>
            </w:pPr>
            <w:r>
              <w:rPr>
                <w:sz w:val="18"/>
              </w:rPr>
              <w:t>Failed</w:t>
            </w:r>
          </w:p>
        </w:tc>
        <w:tc>
          <w:tcPr>
            <w:tcW w:type="dxa" w:w="3005"/>
          </w:tcPr>
          <w:p>
            <w:pPr>
              <w:spacing w:after="40"/>
            </w:pPr>
            <w:r>
              <w:rPr>
                <w:sz w:val="18"/>
              </w:rPr>
              <w:t>x 1047–1083</w:t>
              <w:br/>
              <w:t>y 782–792</w:t>
            </w:r>
          </w:p>
        </w:tc>
        <w:tc>
          <w:tcPr>
            <w:tcW w:type="dxa" w:w="3402"/>
          </w:tcPr>
          <w:p>
            <w:pPr>
              <w:spacing w:after="40"/>
            </w:pPr>
            <w:r>
              <w:rPr>
                <w:sz w:val="18"/>
              </w:rPr>
              <w:t>unten, mittig</w:t>
              <w:br/>
              <w:t>x 54.7–56.6 %</w:t>
              <w:br/>
              <w:t>y 85.5–86.6 %</w:t>
            </w:r>
          </w:p>
        </w:tc>
      </w:tr>
      <w:tr>
        <w:trPr>
          <w:cantSplit/>
        </w:trPr>
        <w:tc>
          <w:tcPr>
            <w:tcW w:type="dxa" w:w="3288"/>
          </w:tcPr>
          <w:p>
            <w:pPr>
              <w:spacing w:after="40"/>
            </w:pPr>
            <w:r>
              <w:rPr>
                <w:sz w:val="18"/>
              </w:rPr>
              <w:t>Data Sharing Cockpit</w:t>
            </w:r>
          </w:p>
        </w:tc>
        <w:tc>
          <w:tcPr>
            <w:tcW w:type="dxa" w:w="3005"/>
          </w:tcPr>
          <w:p>
            <w:pPr>
              <w:spacing w:after="40"/>
            </w:pPr>
            <w:r>
              <w:rPr>
                <w:sz w:val="18"/>
              </w:rPr>
              <w:t>x 51–180</w:t>
              <w:br/>
              <w:t>y 801–814</w:t>
            </w:r>
          </w:p>
        </w:tc>
        <w:tc>
          <w:tcPr>
            <w:tcW w:type="dxa" w:w="3402"/>
          </w:tcPr>
          <w:p>
            <w:pPr>
              <w:spacing w:after="40"/>
            </w:pPr>
            <w:r>
              <w:rPr>
                <w:sz w:val="18"/>
              </w:rPr>
              <w:t>unten, links</w:t>
              <w:br/>
              <w:t>x 2.7–9.4 %</w:t>
              <w:br/>
              <w:t>y 87.5–89.0 %</w:t>
            </w:r>
          </w:p>
        </w:tc>
      </w:tr>
      <w:tr>
        <w:trPr>
          <w:cantSplit/>
        </w:trPr>
        <w:tc>
          <w:tcPr>
            <w:tcW w:type="dxa" w:w="3288"/>
          </w:tcPr>
          <w:p>
            <w:pPr>
              <w:spacing w:after="40"/>
            </w:pPr>
            <w:r>
              <w:rPr>
                <w:sz w:val="18"/>
              </w:rPr>
              <w:t>Success</w:t>
            </w:r>
          </w:p>
        </w:tc>
        <w:tc>
          <w:tcPr>
            <w:tcW w:type="dxa" w:w="3005"/>
          </w:tcPr>
          <w:p>
            <w:pPr>
              <w:spacing w:after="40"/>
            </w:pPr>
            <w:r>
              <w:rPr>
                <w:sz w:val="18"/>
              </w:rPr>
              <w:t>x 1047–1096</w:t>
              <w:br/>
              <w:t>y 815–825</w:t>
            </w:r>
          </w:p>
        </w:tc>
        <w:tc>
          <w:tcPr>
            <w:tcW w:type="dxa" w:w="3402"/>
          </w:tcPr>
          <w:p>
            <w:pPr>
              <w:spacing w:after="40"/>
            </w:pPr>
            <w:r>
              <w:rPr>
                <w:sz w:val="18"/>
              </w:rPr>
              <w:t>unten, mittig</w:t>
              <w:br/>
              <w:t>x 54.7–57.3 %</w:t>
              <w:br/>
              <w:t>y 89.1–90.2 %</w:t>
            </w:r>
          </w:p>
        </w:tc>
      </w:tr>
      <w:tr>
        <w:trPr>
          <w:cantSplit/>
        </w:trPr>
        <w:tc>
          <w:tcPr>
            <w:tcW w:type="dxa" w:w="3288"/>
          </w:tcPr>
          <w:p>
            <w:pPr>
              <w:spacing w:after="40"/>
            </w:pPr>
            <w:r>
              <w:rPr>
                <w:sz w:val="18"/>
              </w:rPr>
              <w:t>Security</w:t>
            </w:r>
          </w:p>
        </w:tc>
        <w:tc>
          <w:tcPr>
            <w:tcW w:type="dxa" w:w="3005"/>
          </w:tcPr>
          <w:p>
            <w:pPr>
              <w:spacing w:after="40"/>
            </w:pPr>
            <w:r>
              <w:rPr>
                <w:sz w:val="18"/>
              </w:rPr>
              <w:t>x 50–100</w:t>
              <w:br/>
              <w:t>y 848–861</w:t>
            </w:r>
          </w:p>
        </w:tc>
        <w:tc>
          <w:tcPr>
            <w:tcW w:type="dxa" w:w="3402"/>
          </w:tcPr>
          <w:p>
            <w:pPr>
              <w:spacing w:after="40"/>
            </w:pPr>
            <w:r>
              <w:rPr>
                <w:sz w:val="18"/>
              </w:rPr>
              <w:t>unten, links</w:t>
              <w:br/>
              <w:t>x 2.6–5.2 %</w:t>
              <w:br/>
              <w:t>y 92.7–94.1 %</w:t>
            </w:r>
          </w:p>
        </w:tc>
      </w:tr>
      <w:tr>
        <w:trPr>
          <w:cantSplit/>
        </w:trPr>
        <w:tc>
          <w:tcPr>
            <w:tcW w:type="dxa" w:w="3288"/>
          </w:tcPr>
          <w:p>
            <w:pPr>
              <w:spacing w:after="40"/>
            </w:pPr>
            <w:r>
              <w:rPr>
                <w:sz w:val="18"/>
              </w:rPr>
              <w:t>Success</w:t>
            </w:r>
          </w:p>
        </w:tc>
        <w:tc>
          <w:tcPr>
            <w:tcW w:type="dxa" w:w="3005"/>
          </w:tcPr>
          <w:p>
            <w:pPr>
              <w:spacing w:after="40"/>
            </w:pPr>
            <w:r>
              <w:rPr>
                <w:sz w:val="18"/>
              </w:rPr>
              <w:t>x 1047–1096</w:t>
              <w:br/>
              <w:t>y 848–858</w:t>
            </w:r>
          </w:p>
        </w:tc>
        <w:tc>
          <w:tcPr>
            <w:tcW w:type="dxa" w:w="3402"/>
          </w:tcPr>
          <w:p>
            <w:pPr>
              <w:spacing w:after="40"/>
            </w:pPr>
            <w:r>
              <w:rPr>
                <w:sz w:val="18"/>
              </w:rPr>
              <w:t>unten, mittig</w:t>
              <w:br/>
              <w:t>x 54.7–57.3 %</w:t>
              <w:br/>
              <w:t>y 92.7–93.8 %</w:t>
            </w:r>
          </w:p>
        </w:tc>
      </w:tr>
      <w:tr>
        <w:trPr>
          <w:cantSplit/>
        </w:trPr>
        <w:tc>
          <w:tcPr>
            <w:tcW w:type="dxa" w:w="3288"/>
          </w:tcPr>
          <w:p>
            <w:pPr>
              <w:spacing w:after="40"/>
            </w:pPr>
            <w:r>
              <w:rPr>
                <w:sz w:val="18"/>
              </w:rPr>
              <w:t>System</w:t>
            </w:r>
          </w:p>
        </w:tc>
        <w:tc>
          <w:tcPr>
            <w:tcW w:type="dxa" w:w="3005"/>
          </w:tcPr>
          <w:p>
            <w:pPr>
              <w:spacing w:after="40"/>
            </w:pPr>
            <w:r>
              <w:rPr>
                <w:sz w:val="18"/>
              </w:rPr>
              <w:t>x 50–95</w:t>
              <w:br/>
              <w:t>y 884–897</w:t>
            </w:r>
          </w:p>
        </w:tc>
        <w:tc>
          <w:tcPr>
            <w:tcW w:type="dxa" w:w="3402"/>
          </w:tcPr>
          <w:p>
            <w:pPr>
              <w:spacing w:after="40"/>
            </w:pPr>
            <w:r>
              <w:rPr>
                <w:sz w:val="18"/>
              </w:rPr>
              <w:t>unten, links</w:t>
              <w:br/>
              <w:t>x 2.6–5.0 %</w:t>
              <w:br/>
              <w:t>y 96.6–98.0 %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17: Data Builder: Objektliste und Erstellungsaktionen</w:t>
      </w:r>
    </w:p>
    <w:p>
      <w:r>
        <w:t>Bildformat: 1909 × 904 Pixel. Die folgenden Positionen beziehen sich auf dieses vollständige Bild.</w:t>
      </w:r>
    </w:p>
    <w:p>
      <w:pPr>
        <w:pStyle w:val="Heading2"/>
      </w:pPr>
      <w:r>
        <w:t>1. Gesamtaufbau und sichtbarer Zustand</w:t>
      </w:r>
    </w:p>
    <w:p>
      <w:pPr>
        <w:pStyle w:val="Heading3"/>
      </w:pPr>
      <w:r>
        <w:t>Gesamtansicht</w:t>
      </w:r>
    </w:p>
    <w:p>
      <w:r>
        <w:t>Das Bild zeigt eine Data-Builder-Übersicht mit einem Begrüßungsbereich oben, einer Reihe von Objektkategorien und Erstellungsaktionen in der Mitte sowie einer Tabelle unten.</w:t>
      </w:r>
    </w:p>
    <w:p>
      <w:pPr>
        <w:pStyle w:val="Heading3"/>
      </w:pPr>
      <w:r>
        <w:t>Kopfbereich und Kategorien</w:t>
      </w:r>
    </w:p>
    <w:p>
      <w:r>
        <w:t>Oben steht „Welcome to the Data Builder“ mit einem kurzen erklärenden Absatz. Darunter sind die Kategorien All Files, Tables, Views, E/R Models, Flows, Task Chains, Data Access Controls, Analytic Models und Intelligent Lookups horizontal angeordnet.</w:t>
      </w:r>
    </w:p>
    <w:p>
      <w:pPr>
        <w:pStyle w:val="Heading3"/>
      </w:pPr>
      <w:r>
        <w:t>Erstellungsaktionen</w:t>
      </w:r>
    </w:p>
    <w:p>
      <w:r>
        <w:t>Unter den Kategorien stehen große Symbolaktionen mit Beschriftungen: New Table, New Graphical View, New SQL View, New Entity-Relationship Model, New Analytic Model, New Data Flow, New Replication Flow, New Transformation Flow, New Intelligent Lookup, New Task Chain und New Data Access Control. Die Aktionen sind in einer durchgehenden Reihe angeordnet.</w:t>
      </w:r>
    </w:p>
    <w:p>
      <w:pPr>
        <w:pStyle w:val="Heading3"/>
      </w:pPr>
      <w:r>
        <w:t>Unterer Bereich</w:t>
      </w:r>
    </w:p>
    <w:p>
      <w:r>
        <w:t>Unterhalb einer Such- und Werkzeugleiste folgt die Objektliste. Sichtbar sind Spalten für Type beziehungsweise Semantic Usage, Space, Folder, Status, Changed On und Favorite. Mehrere Zeilen sind als Folder gekennzeichnet; eine weitere Zeile zeigt einen View-Eintrag mit Relational Dataset und Deployed. Ein Menü ist in diesem Bild nicht aufgeklappt.</w:t>
      </w:r>
    </w:p>
    <w:p>
      <w:pPr>
        <w:pStyle w:val="Heading2"/>
      </w:pPr>
      <w:r>
        <w:t>2. Räumliche Beschreibung von oben nach unten</w:t>
      </w:r>
    </w:p>
    <w:p>
      <w:pPr>
        <w:pStyle w:val="Heading3"/>
      </w:pPr>
      <w:r>
        <w:t>Begrüßung und Kategorien</w:t>
      </w:r>
    </w:p>
    <w:p>
      <w:r>
        <w:rPr>
          <w:b/>
        </w:rPr>
        <w:t xml:space="preserve">Ungefähre Bildregion: </w:t>
      </w:r>
      <w:r>
        <w:t>x 16–98 %, y 11–31 %</w:t>
      </w:r>
    </w:p>
    <w:p>
      <w:r>
        <w:t>Welcome to the Data Builder steht links oben. Der erklärende Absatz liegt darunter. Die Kategorien bilden eine durchgehende horizontale Reihe unterhalb des Textes.</w:t>
      </w:r>
    </w:p>
    <w:p>
      <w:pPr>
        <w:pStyle w:val="Heading3"/>
      </w:pPr>
      <w:r>
        <w:t>Erstellungsaktionen</w:t>
      </w:r>
    </w:p>
    <w:p>
      <w:r>
        <w:rPr>
          <w:b/>
        </w:rPr>
        <w:t xml:space="preserve">Ungefähre Bildregion: </w:t>
      </w:r>
      <w:r>
        <w:t>x 16–98 %, y 34–44 %</w:t>
      </w:r>
    </w:p>
    <w:p>
      <w:r>
        <w:t>Große Symbole stehen jeweils oberhalb ihrer Beschriftungen. Die Aktionen laufen von New Table links bis New Data Access Control rechts. Längere Beschriftungen sind über mehrere Zeilen verteilt.</w:t>
      </w:r>
    </w:p>
    <w:p>
      <w:pPr>
        <w:pStyle w:val="Heading3"/>
      </w:pPr>
      <w:r>
        <w:t>Werkzeugleiste und Objekttabelle</w:t>
      </w:r>
    </w:p>
    <w:p>
      <w:r>
        <w:rPr>
          <w:b/>
        </w:rPr>
        <w:t xml:space="preserve">Ungefähre Bildregion: </w:t>
      </w:r>
      <w:r>
        <w:t>x 16–100 %, y 47–100 %</w:t>
      </w:r>
    </w:p>
    <w:p>
      <w:r>
        <w:t>Die Suche und kleinen Aktionssymbole liegen über List Objects In und der Tabellenkopfzeile. Die Tabelle zeigt Ordnerzeilen sowie unten einen View-Eintrag. Status und Änderungszeit liegen rechts, Favorite am äußersten rechten Rand.</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Data Builder</w:t>
            </w:r>
          </w:p>
        </w:tc>
        <w:tc>
          <w:tcPr>
            <w:tcW w:type="dxa" w:w="3005"/>
          </w:tcPr>
          <w:p>
            <w:pPr>
              <w:spacing w:after="40"/>
            </w:pPr>
            <w:r>
              <w:rPr>
                <w:sz w:val="18"/>
              </w:rPr>
              <w:t>x 222–297</w:t>
              <w:br/>
              <w:t>y 51–61</w:t>
            </w:r>
          </w:p>
        </w:tc>
        <w:tc>
          <w:tcPr>
            <w:tcW w:type="dxa" w:w="3402"/>
          </w:tcPr>
          <w:p>
            <w:pPr>
              <w:spacing w:after="40"/>
            </w:pPr>
            <w:r>
              <w:rPr>
                <w:sz w:val="18"/>
              </w:rPr>
              <w:t>oben, links</w:t>
              <w:br/>
              <w:t>x 11.6–15.6 %</w:t>
              <w:br/>
              <w:t>y 5.6–6.7 %</w:t>
            </w:r>
          </w:p>
        </w:tc>
      </w:tr>
      <w:tr>
        <w:trPr>
          <w:cantSplit/>
        </w:trPr>
        <w:tc>
          <w:tcPr>
            <w:tcW w:type="dxa" w:w="3288"/>
          </w:tcPr>
          <w:p>
            <w:pPr>
              <w:spacing w:after="40"/>
            </w:pPr>
            <w:r>
              <w:rPr>
                <w:sz w:val="18"/>
              </w:rPr>
              <w:t>Home</w:t>
            </w:r>
          </w:p>
        </w:tc>
        <w:tc>
          <w:tcPr>
            <w:tcW w:type="dxa" w:w="3005"/>
          </w:tcPr>
          <w:p>
            <w:pPr>
              <w:spacing w:after="40"/>
            </w:pPr>
            <w:r>
              <w:rPr>
                <w:sz w:val="18"/>
              </w:rPr>
              <w:t>x 46–83</w:t>
              <w:br/>
              <w:t>y 101–111</w:t>
            </w:r>
          </w:p>
        </w:tc>
        <w:tc>
          <w:tcPr>
            <w:tcW w:type="dxa" w:w="3402"/>
          </w:tcPr>
          <w:p>
            <w:pPr>
              <w:spacing w:after="40"/>
            </w:pPr>
            <w:r>
              <w:rPr>
                <w:sz w:val="18"/>
              </w:rPr>
              <w:t>oben, links</w:t>
              <w:br/>
              <w:t>x 2.4–4.3 %</w:t>
              <w:br/>
              <w:t>y 11.2–12.3 %</w:t>
            </w:r>
          </w:p>
        </w:tc>
      </w:tr>
      <w:tr>
        <w:trPr>
          <w:cantSplit/>
        </w:trPr>
        <w:tc>
          <w:tcPr>
            <w:tcW w:type="dxa" w:w="3288"/>
          </w:tcPr>
          <w:p>
            <w:pPr>
              <w:spacing w:after="40"/>
            </w:pPr>
            <w:r>
              <w:rPr>
                <w:sz w:val="18"/>
              </w:rPr>
              <w:t>Repository Explorer</w:t>
            </w:r>
          </w:p>
        </w:tc>
        <w:tc>
          <w:tcPr>
            <w:tcW w:type="dxa" w:w="3005"/>
          </w:tcPr>
          <w:p>
            <w:pPr>
              <w:spacing w:after="40"/>
            </w:pPr>
            <w:r>
              <w:rPr>
                <w:sz w:val="18"/>
              </w:rPr>
              <w:t>x 46–168</w:t>
              <w:br/>
              <w:t>y 137–150</w:t>
            </w:r>
          </w:p>
        </w:tc>
        <w:tc>
          <w:tcPr>
            <w:tcW w:type="dxa" w:w="3402"/>
          </w:tcPr>
          <w:p>
            <w:pPr>
              <w:spacing w:after="40"/>
            </w:pPr>
            <w:r>
              <w:rPr>
                <w:sz w:val="18"/>
              </w:rPr>
              <w:t>oben, links</w:t>
              <w:br/>
              <w:t>x 2.4–8.8 %</w:t>
              <w:br/>
              <w:t>y 15.2–16.6 %</w:t>
            </w:r>
          </w:p>
        </w:tc>
      </w:tr>
      <w:tr>
        <w:trPr>
          <w:cantSplit/>
        </w:trPr>
        <w:tc>
          <w:tcPr>
            <w:tcW w:type="dxa" w:w="3288"/>
          </w:tcPr>
          <w:p>
            <w:pPr>
              <w:spacing w:after="40"/>
            </w:pPr>
            <w:r>
              <w:rPr>
                <w:sz w:val="18"/>
              </w:rPr>
              <w:t>Welcome to the Data Builder</w:t>
            </w:r>
          </w:p>
        </w:tc>
        <w:tc>
          <w:tcPr>
            <w:tcW w:type="dxa" w:w="3005"/>
          </w:tcPr>
          <w:p>
            <w:pPr>
              <w:spacing w:after="40"/>
            </w:pPr>
            <w:r>
              <w:rPr>
                <w:sz w:val="18"/>
              </w:rPr>
              <w:t>x 302–643</w:t>
              <w:br/>
              <w:t>y 140–159</w:t>
            </w:r>
          </w:p>
        </w:tc>
        <w:tc>
          <w:tcPr>
            <w:tcW w:type="dxa" w:w="3402"/>
          </w:tcPr>
          <w:p>
            <w:pPr>
              <w:spacing w:after="40"/>
            </w:pPr>
            <w:r>
              <w:rPr>
                <w:sz w:val="18"/>
              </w:rPr>
              <w:t>oben, links</w:t>
              <w:br/>
              <w:t>x 15.8–33.7 %</w:t>
              <w:br/>
              <w:t>y 15.5–17.6 %</w:t>
            </w:r>
          </w:p>
        </w:tc>
      </w:tr>
      <w:tr>
        <w:trPr>
          <w:cantSplit/>
        </w:trPr>
        <w:tc>
          <w:tcPr>
            <w:tcW w:type="dxa" w:w="3288"/>
          </w:tcPr>
          <w:p>
            <w:pPr>
              <w:spacing w:after="40"/>
            </w:pPr>
            <w:r>
              <w:rPr>
                <w:sz w:val="18"/>
              </w:rPr>
              <w:t>Monitoring</w:t>
            </w:r>
          </w:p>
        </w:tc>
        <w:tc>
          <w:tcPr>
            <w:tcW w:type="dxa" w:w="3005"/>
          </w:tcPr>
          <w:p>
            <w:pPr>
              <w:spacing w:after="40"/>
            </w:pPr>
            <w:r>
              <w:rPr>
                <w:sz w:val="18"/>
              </w:rPr>
              <w:t>x 46–112</w:t>
              <w:br/>
              <w:t>y 173–186</w:t>
            </w:r>
          </w:p>
        </w:tc>
        <w:tc>
          <w:tcPr>
            <w:tcW w:type="dxa" w:w="3402"/>
          </w:tcPr>
          <w:p>
            <w:pPr>
              <w:spacing w:after="40"/>
            </w:pPr>
            <w:r>
              <w:rPr>
                <w:sz w:val="18"/>
              </w:rPr>
              <w:t>oben, links</w:t>
              <w:br/>
              <w:t>x 2.4–5.9 %</w:t>
              <w:br/>
              <w:t>y 19.1–20.6 %</w:t>
            </w:r>
          </w:p>
        </w:tc>
      </w:tr>
      <w:tr>
        <w:trPr>
          <w:cantSplit/>
        </w:trPr>
        <w:tc>
          <w:tcPr>
            <w:tcW w:type="dxa" w:w="3288"/>
          </w:tcPr>
          <w:p>
            <w:pPr>
              <w:spacing w:after="40"/>
            </w:pPr>
            <w:r>
              <w:rPr>
                <w:sz w:val="18"/>
              </w:rPr>
              <w:t>tables,</w:t>
            </w:r>
          </w:p>
        </w:tc>
        <w:tc>
          <w:tcPr>
            <w:tcW w:type="dxa" w:w="3005"/>
          </w:tcPr>
          <w:p>
            <w:pPr>
              <w:spacing w:after="40"/>
            </w:pPr>
            <w:r>
              <w:rPr>
                <w:sz w:val="18"/>
              </w:rPr>
              <w:t>x 394–435</w:t>
              <w:br/>
              <w:t>y 181–192</w:t>
            </w:r>
          </w:p>
        </w:tc>
        <w:tc>
          <w:tcPr>
            <w:tcW w:type="dxa" w:w="3402"/>
          </w:tcPr>
          <w:p>
            <w:pPr>
              <w:spacing w:after="40"/>
            </w:pPr>
            <w:r>
              <w:rPr>
                <w:sz w:val="18"/>
              </w:rPr>
              <w:t>oben, links</w:t>
              <w:br/>
              <w:t>x 20.7–22.8 %</w:t>
              <w:br/>
              <w:t>y 20.0–21.3 %</w:t>
            </w:r>
          </w:p>
        </w:tc>
      </w:tr>
      <w:tr>
        <w:trPr>
          <w:cantSplit/>
        </w:trPr>
        <w:tc>
          <w:tcPr>
            <w:tcW w:type="dxa" w:w="3288"/>
          </w:tcPr>
          <w:p>
            <w:pPr>
              <w:spacing w:after="40"/>
            </w:pPr>
            <w:r>
              <w:rPr>
                <w:sz w:val="18"/>
              </w:rPr>
              <w:t>views,</w:t>
            </w:r>
          </w:p>
        </w:tc>
        <w:tc>
          <w:tcPr>
            <w:tcW w:type="dxa" w:w="3005"/>
          </w:tcPr>
          <w:p>
            <w:pPr>
              <w:spacing w:after="40"/>
            </w:pPr>
            <w:r>
              <w:rPr>
                <w:sz w:val="18"/>
              </w:rPr>
              <w:t>x 587–624</w:t>
              <w:br/>
              <w:t>y 182–192</w:t>
            </w:r>
          </w:p>
        </w:tc>
        <w:tc>
          <w:tcPr>
            <w:tcW w:type="dxa" w:w="3402"/>
          </w:tcPr>
          <w:p>
            <w:pPr>
              <w:spacing w:after="40"/>
            </w:pPr>
            <w:r>
              <w:rPr>
                <w:sz w:val="18"/>
              </w:rPr>
              <w:t>oben, links</w:t>
              <w:br/>
              <w:t>x 30.7–32.7 %</w:t>
              <w:br/>
              <w:t>y 20.1–21.3 %</w:t>
            </w:r>
          </w:p>
        </w:tc>
      </w:tr>
      <w:tr>
        <w:trPr>
          <w:cantSplit/>
        </w:trPr>
        <w:tc>
          <w:tcPr>
            <w:tcW w:type="dxa" w:w="3288"/>
          </w:tcPr>
          <w:p>
            <w:pPr>
              <w:spacing w:after="40"/>
            </w:pPr>
            <w:r>
              <w:rPr>
                <w:sz w:val="18"/>
              </w:rPr>
              <w:t>analytic models</w:t>
            </w:r>
          </w:p>
        </w:tc>
        <w:tc>
          <w:tcPr>
            <w:tcW w:type="dxa" w:w="3005"/>
          </w:tcPr>
          <w:p>
            <w:pPr>
              <w:spacing w:after="40"/>
            </w:pPr>
            <w:r>
              <w:rPr>
                <w:sz w:val="18"/>
              </w:rPr>
              <w:t>x 834–929</w:t>
              <w:br/>
              <w:t>y 181–194</w:t>
            </w:r>
          </w:p>
        </w:tc>
        <w:tc>
          <w:tcPr>
            <w:tcW w:type="dxa" w:w="3402"/>
          </w:tcPr>
          <w:p>
            <w:pPr>
              <w:spacing w:after="40"/>
            </w:pPr>
            <w:r>
              <w:rPr>
                <w:sz w:val="18"/>
              </w:rPr>
              <w:t>oben, mittig</w:t>
              <w:br/>
              <w:t>x 43.7–48.7 %</w:t>
              <w:br/>
              <w:t>y 20.0–21.5 %</w:t>
            </w:r>
          </w:p>
        </w:tc>
      </w:tr>
      <w:tr>
        <w:trPr>
          <w:cantSplit/>
        </w:trPr>
        <w:tc>
          <w:tcPr>
            <w:tcW w:type="dxa" w:w="3288"/>
          </w:tcPr>
          <w:p>
            <w:pPr>
              <w:spacing w:after="40"/>
            </w:pPr>
            <w:r>
              <w:rPr>
                <w:sz w:val="18"/>
              </w:rPr>
              <w:t>apps,</w:t>
            </w:r>
          </w:p>
        </w:tc>
        <w:tc>
          <w:tcPr>
            <w:tcW w:type="dxa" w:w="3005"/>
          </w:tcPr>
          <w:p>
            <w:pPr>
              <w:spacing w:after="40"/>
            </w:pPr>
            <w:r>
              <w:rPr>
                <w:sz w:val="18"/>
              </w:rPr>
              <w:t>x 1398–1430</w:t>
              <w:br/>
              <w:t>y 184–194</w:t>
            </w:r>
          </w:p>
        </w:tc>
        <w:tc>
          <w:tcPr>
            <w:tcW w:type="dxa" w:w="3402"/>
          </w:tcPr>
          <w:p>
            <w:pPr>
              <w:spacing w:after="40"/>
            </w:pPr>
            <w:r>
              <w:rPr>
                <w:sz w:val="18"/>
              </w:rPr>
              <w:t>oben, rechts</w:t>
              <w:br/>
              <w:t>x 73.2–74.9 %</w:t>
              <w:br/>
              <w:t>y 20.4–21.5 %</w:t>
            </w:r>
          </w:p>
        </w:tc>
      </w:tr>
      <w:tr>
        <w:trPr>
          <w:cantSplit/>
        </w:trPr>
        <w:tc>
          <w:tcPr>
            <w:tcW w:type="dxa" w:w="3288"/>
          </w:tcPr>
          <w:p>
            <w:pPr>
              <w:spacing w:after="40"/>
            </w:pPr>
            <w:r>
              <w:rPr>
                <w:sz w:val="18"/>
              </w:rPr>
              <w:t>Catalog &amp; Marketplace</w:t>
            </w:r>
          </w:p>
        </w:tc>
        <w:tc>
          <w:tcPr>
            <w:tcW w:type="dxa" w:w="3005"/>
          </w:tcPr>
          <w:p>
            <w:pPr>
              <w:spacing w:after="40"/>
            </w:pPr>
            <w:r>
              <w:rPr>
                <w:sz w:val="18"/>
              </w:rPr>
              <w:t>x 46–187</w:t>
              <w:br/>
              <w:t>y 209–222</w:t>
            </w:r>
          </w:p>
        </w:tc>
        <w:tc>
          <w:tcPr>
            <w:tcW w:type="dxa" w:w="3402"/>
          </w:tcPr>
          <w:p>
            <w:pPr>
              <w:spacing w:after="40"/>
            </w:pPr>
            <w:r>
              <w:rPr>
                <w:sz w:val="18"/>
              </w:rPr>
              <w:t>oben, links</w:t>
              <w:br/>
              <w:t>x 2.4–9.8 %</w:t>
              <w:br/>
              <w:t>y 23.1–24.6 %</w:t>
            </w:r>
          </w:p>
        </w:tc>
      </w:tr>
      <w:tr>
        <w:trPr>
          <w:cantSplit/>
        </w:trPr>
        <w:tc>
          <w:tcPr>
            <w:tcW w:type="dxa" w:w="3288"/>
          </w:tcPr>
          <w:p>
            <w:pPr>
              <w:spacing w:after="40"/>
            </w:pPr>
            <w:r>
              <w:rPr>
                <w:sz w:val="18"/>
              </w:rPr>
              <w:t>Apps</w:t>
            </w:r>
          </w:p>
        </w:tc>
        <w:tc>
          <w:tcPr>
            <w:tcW w:type="dxa" w:w="3005"/>
          </w:tcPr>
          <w:p>
            <w:pPr>
              <w:spacing w:after="40"/>
            </w:pPr>
            <w:r>
              <w:rPr>
                <w:sz w:val="18"/>
              </w:rPr>
              <w:t>x 22–53</w:t>
              <w:br/>
              <w:t>y 255–268</w:t>
            </w:r>
          </w:p>
        </w:tc>
        <w:tc>
          <w:tcPr>
            <w:tcW w:type="dxa" w:w="3402"/>
          </w:tcPr>
          <w:p>
            <w:pPr>
              <w:spacing w:after="40"/>
            </w:pPr>
            <w:r>
              <w:rPr>
                <w:sz w:val="18"/>
              </w:rPr>
              <w:t>oben, links</w:t>
              <w:br/>
              <w:t>x 1.2–2.8 %</w:t>
              <w:br/>
              <w:t>y 28.2–29.6 %</w:t>
            </w:r>
          </w:p>
        </w:tc>
      </w:tr>
      <w:tr>
        <w:trPr>
          <w:cantSplit/>
        </w:trPr>
        <w:tc>
          <w:tcPr>
            <w:tcW w:type="dxa" w:w="3288"/>
          </w:tcPr>
          <w:p>
            <w:pPr>
              <w:spacing w:after="40"/>
            </w:pPr>
            <w:r>
              <w:rPr>
                <w:sz w:val="18"/>
              </w:rPr>
              <w:t>All Files</w:t>
            </w:r>
          </w:p>
        </w:tc>
        <w:tc>
          <w:tcPr>
            <w:tcW w:type="dxa" w:w="3005"/>
          </w:tcPr>
          <w:p>
            <w:pPr>
              <w:spacing w:after="40"/>
            </w:pPr>
            <w:r>
              <w:rPr>
                <w:sz w:val="18"/>
              </w:rPr>
              <w:t>x 290–342</w:t>
              <w:br/>
              <w:t>y 259–269</w:t>
            </w:r>
          </w:p>
        </w:tc>
        <w:tc>
          <w:tcPr>
            <w:tcW w:type="dxa" w:w="3402"/>
          </w:tcPr>
          <w:p>
            <w:pPr>
              <w:spacing w:after="40"/>
            </w:pPr>
            <w:r>
              <w:rPr>
                <w:sz w:val="18"/>
              </w:rPr>
              <w:t>oben, links</w:t>
              <w:br/>
              <w:t>x 15.2–17.9 %</w:t>
              <w:br/>
              <w:t>y 28.7–29.8 %</w:t>
            </w:r>
          </w:p>
        </w:tc>
      </w:tr>
      <w:tr>
        <w:trPr>
          <w:cantSplit/>
        </w:trPr>
        <w:tc>
          <w:tcPr>
            <w:tcW w:type="dxa" w:w="3288"/>
          </w:tcPr>
          <w:p>
            <w:pPr>
              <w:spacing w:after="40"/>
            </w:pPr>
            <w:r>
              <w:rPr>
                <w:sz w:val="18"/>
              </w:rPr>
              <w:t>Tables</w:t>
            </w:r>
          </w:p>
        </w:tc>
        <w:tc>
          <w:tcPr>
            <w:tcW w:type="dxa" w:w="3005"/>
          </w:tcPr>
          <w:p>
            <w:pPr>
              <w:spacing w:after="40"/>
            </w:pPr>
            <w:r>
              <w:rPr>
                <w:sz w:val="18"/>
              </w:rPr>
              <w:t>x 374–416</w:t>
              <w:br/>
              <w:t>y 259–269</w:t>
            </w:r>
          </w:p>
        </w:tc>
        <w:tc>
          <w:tcPr>
            <w:tcW w:type="dxa" w:w="3402"/>
          </w:tcPr>
          <w:p>
            <w:pPr>
              <w:spacing w:after="40"/>
            </w:pPr>
            <w:r>
              <w:rPr>
                <w:sz w:val="18"/>
              </w:rPr>
              <w:t>oben, links</w:t>
              <w:br/>
              <w:t>x 19.6–21.8 %</w:t>
              <w:br/>
              <w:t>y 28.7–29.8 %</w:t>
            </w:r>
          </w:p>
        </w:tc>
      </w:tr>
      <w:tr>
        <w:trPr>
          <w:cantSplit/>
        </w:trPr>
        <w:tc>
          <w:tcPr>
            <w:tcW w:type="dxa" w:w="3288"/>
          </w:tcPr>
          <w:p>
            <w:pPr>
              <w:spacing w:after="40"/>
            </w:pPr>
            <w:r>
              <w:rPr>
                <w:sz w:val="18"/>
              </w:rPr>
              <w:t>Views</w:t>
            </w:r>
          </w:p>
        </w:tc>
        <w:tc>
          <w:tcPr>
            <w:tcW w:type="dxa" w:w="3005"/>
          </w:tcPr>
          <w:p>
            <w:pPr>
              <w:spacing w:after="40"/>
            </w:pPr>
            <w:r>
              <w:rPr>
                <w:sz w:val="18"/>
              </w:rPr>
              <w:t>x 448–486</w:t>
              <w:br/>
              <w:t>y 259–269</w:t>
            </w:r>
          </w:p>
        </w:tc>
        <w:tc>
          <w:tcPr>
            <w:tcW w:type="dxa" w:w="3402"/>
          </w:tcPr>
          <w:p>
            <w:pPr>
              <w:spacing w:after="40"/>
            </w:pPr>
            <w:r>
              <w:rPr>
                <w:sz w:val="18"/>
              </w:rPr>
              <w:t>oben, links</w:t>
              <w:br/>
              <w:t>x 23.5–25.5 %</w:t>
              <w:br/>
              <w:t>y 28.7–29.8 %</w:t>
            </w:r>
          </w:p>
        </w:tc>
      </w:tr>
      <w:tr>
        <w:trPr>
          <w:cantSplit/>
        </w:trPr>
        <w:tc>
          <w:tcPr>
            <w:tcW w:type="dxa" w:w="3288"/>
          </w:tcPr>
          <w:p>
            <w:pPr>
              <w:spacing w:after="40"/>
            </w:pPr>
            <w:r>
              <w:rPr>
                <w:sz w:val="18"/>
              </w:rPr>
              <w:t>E/R Models</w:t>
            </w:r>
          </w:p>
        </w:tc>
        <w:tc>
          <w:tcPr>
            <w:tcW w:type="dxa" w:w="3005"/>
          </w:tcPr>
          <w:p>
            <w:pPr>
              <w:spacing w:after="40"/>
            </w:pPr>
            <w:r>
              <w:rPr>
                <w:sz w:val="18"/>
              </w:rPr>
              <w:t>x 520–593</w:t>
              <w:br/>
              <w:t>y 259–269</w:t>
            </w:r>
          </w:p>
        </w:tc>
        <w:tc>
          <w:tcPr>
            <w:tcW w:type="dxa" w:w="3402"/>
          </w:tcPr>
          <w:p>
            <w:pPr>
              <w:spacing w:after="40"/>
            </w:pPr>
            <w:r>
              <w:rPr>
                <w:sz w:val="18"/>
              </w:rPr>
              <w:t>oben, links</w:t>
              <w:br/>
              <w:t>x 27.2–31.1 %</w:t>
              <w:br/>
              <w:t>y 28.7–29.8 %</w:t>
            </w:r>
          </w:p>
        </w:tc>
      </w:tr>
      <w:tr>
        <w:trPr>
          <w:cantSplit/>
        </w:trPr>
        <w:tc>
          <w:tcPr>
            <w:tcW w:type="dxa" w:w="3288"/>
          </w:tcPr>
          <w:p>
            <w:pPr>
              <w:spacing w:after="40"/>
            </w:pPr>
            <w:r>
              <w:rPr>
                <w:sz w:val="18"/>
              </w:rPr>
              <w:t>Analytic Models</w:t>
            </w:r>
          </w:p>
        </w:tc>
        <w:tc>
          <w:tcPr>
            <w:tcW w:type="dxa" w:w="3005"/>
          </w:tcPr>
          <w:p>
            <w:pPr>
              <w:spacing w:after="40"/>
            </w:pPr>
            <w:r>
              <w:rPr>
                <w:sz w:val="18"/>
              </w:rPr>
              <w:t>x 626–731</w:t>
              <w:br/>
              <w:t>y 259–272</w:t>
            </w:r>
          </w:p>
        </w:tc>
        <w:tc>
          <w:tcPr>
            <w:tcW w:type="dxa" w:w="3402"/>
          </w:tcPr>
          <w:p>
            <w:pPr>
              <w:spacing w:after="40"/>
            </w:pPr>
            <w:r>
              <w:rPr>
                <w:sz w:val="18"/>
              </w:rPr>
              <w:t>oben, mittig</w:t>
              <w:br/>
              <w:t>x 32.8–38.3 %</w:t>
              <w:br/>
              <w:t>y 28.7–30.1 %</w:t>
            </w:r>
          </w:p>
        </w:tc>
      </w:tr>
      <w:tr>
        <w:trPr>
          <w:cantSplit/>
        </w:trPr>
        <w:tc>
          <w:tcPr>
            <w:tcW w:type="dxa" w:w="3288"/>
          </w:tcPr>
          <w:p>
            <w:pPr>
              <w:spacing w:after="40"/>
            </w:pPr>
            <w:r>
              <w:rPr>
                <w:sz w:val="18"/>
              </w:rPr>
              <w:t>Flows</w:t>
            </w:r>
          </w:p>
        </w:tc>
        <w:tc>
          <w:tcPr>
            <w:tcW w:type="dxa" w:w="3005"/>
          </w:tcPr>
          <w:p>
            <w:pPr>
              <w:spacing w:after="40"/>
            </w:pPr>
            <w:r>
              <w:rPr>
                <w:sz w:val="18"/>
              </w:rPr>
              <w:t>x 764–802</w:t>
              <w:br/>
              <w:t>y 259–269</w:t>
            </w:r>
          </w:p>
        </w:tc>
        <w:tc>
          <w:tcPr>
            <w:tcW w:type="dxa" w:w="3402"/>
          </w:tcPr>
          <w:p>
            <w:pPr>
              <w:spacing w:after="40"/>
            </w:pPr>
            <w:r>
              <w:rPr>
                <w:sz w:val="18"/>
              </w:rPr>
              <w:t>oben, mittig</w:t>
              <w:br/>
              <w:t>x 40.0–42.0 %</w:t>
              <w:br/>
              <w:t>y 28.7–29.8 %</w:t>
            </w:r>
          </w:p>
        </w:tc>
      </w:tr>
      <w:tr>
        <w:trPr>
          <w:cantSplit/>
        </w:trPr>
        <w:tc>
          <w:tcPr>
            <w:tcW w:type="dxa" w:w="3288"/>
          </w:tcPr>
          <w:p>
            <w:pPr>
              <w:spacing w:after="40"/>
            </w:pPr>
            <w:r>
              <w:rPr>
                <w:sz w:val="18"/>
              </w:rPr>
              <w:t>Intelligent Lookups</w:t>
            </w:r>
          </w:p>
        </w:tc>
        <w:tc>
          <w:tcPr>
            <w:tcW w:type="dxa" w:w="3005"/>
          </w:tcPr>
          <w:p>
            <w:pPr>
              <w:spacing w:after="40"/>
            </w:pPr>
            <w:r>
              <w:rPr>
                <w:sz w:val="18"/>
              </w:rPr>
              <w:t>x 834–960</w:t>
              <w:br/>
              <w:t>y 259–272</w:t>
            </w:r>
          </w:p>
        </w:tc>
        <w:tc>
          <w:tcPr>
            <w:tcW w:type="dxa" w:w="3402"/>
          </w:tcPr>
          <w:p>
            <w:pPr>
              <w:spacing w:after="40"/>
            </w:pPr>
            <w:r>
              <w:rPr>
                <w:sz w:val="18"/>
              </w:rPr>
              <w:t>oben, mittig</w:t>
              <w:br/>
              <w:t>x 43.7–50.3 %</w:t>
              <w:br/>
              <w:t>y 28.7–30.1 %</w:t>
            </w:r>
          </w:p>
        </w:tc>
      </w:tr>
      <w:tr>
        <w:trPr>
          <w:cantSplit/>
        </w:trPr>
        <w:tc>
          <w:tcPr>
            <w:tcW w:type="dxa" w:w="3288"/>
          </w:tcPr>
          <w:p>
            <w:pPr>
              <w:spacing w:after="40"/>
            </w:pPr>
            <w:r>
              <w:rPr>
                <w:sz w:val="18"/>
              </w:rPr>
              <w:t>Task Chains</w:t>
            </w:r>
          </w:p>
        </w:tc>
        <w:tc>
          <w:tcPr>
            <w:tcW w:type="dxa" w:w="3005"/>
          </w:tcPr>
          <w:p>
            <w:pPr>
              <w:spacing w:after="40"/>
            </w:pPr>
            <w:r>
              <w:rPr>
                <w:sz w:val="18"/>
              </w:rPr>
              <w:t>x 993–1072</w:t>
              <w:br/>
              <w:t>y 259–269</w:t>
            </w:r>
          </w:p>
        </w:tc>
        <w:tc>
          <w:tcPr>
            <w:tcW w:type="dxa" w:w="3402"/>
          </w:tcPr>
          <w:p>
            <w:pPr>
              <w:spacing w:after="40"/>
            </w:pPr>
            <w:r>
              <w:rPr>
                <w:sz w:val="18"/>
              </w:rPr>
              <w:t>oben, mittig</w:t>
              <w:br/>
              <w:t>x 52.0–56.2 %</w:t>
              <w:br/>
              <w:t>y 28.7–29.8 %</w:t>
            </w:r>
          </w:p>
        </w:tc>
      </w:tr>
      <w:tr>
        <w:trPr>
          <w:cantSplit/>
        </w:trPr>
        <w:tc>
          <w:tcPr>
            <w:tcW w:type="dxa" w:w="3288"/>
          </w:tcPr>
          <w:p>
            <w:pPr>
              <w:spacing w:after="40"/>
            </w:pPr>
            <w:r>
              <w:rPr>
                <w:sz w:val="18"/>
              </w:rPr>
              <w:t>Data Access Controls</w:t>
            </w:r>
          </w:p>
        </w:tc>
        <w:tc>
          <w:tcPr>
            <w:tcW w:type="dxa" w:w="3005"/>
          </w:tcPr>
          <w:p>
            <w:pPr>
              <w:spacing w:after="40"/>
            </w:pPr>
            <w:r>
              <w:rPr>
                <w:sz w:val="18"/>
              </w:rPr>
              <w:t>x 1105–1244</w:t>
              <w:br/>
              <w:t>y 259–269</w:t>
            </w:r>
          </w:p>
        </w:tc>
        <w:tc>
          <w:tcPr>
            <w:tcW w:type="dxa" w:w="3402"/>
          </w:tcPr>
          <w:p>
            <w:pPr>
              <w:spacing w:after="40"/>
            </w:pPr>
            <w:r>
              <w:rPr>
                <w:sz w:val="18"/>
              </w:rPr>
              <w:t>oben, mittig</w:t>
              <w:br/>
              <w:t>x 57.9–65.2 %</w:t>
              <w:br/>
              <w:t>y 28.7–29.8 %</w:t>
            </w:r>
          </w:p>
        </w:tc>
      </w:tr>
      <w:tr>
        <w:trPr>
          <w:cantSplit/>
        </w:trPr>
        <w:tc>
          <w:tcPr>
            <w:tcW w:type="dxa" w:w="3288"/>
          </w:tcPr>
          <w:p>
            <w:pPr>
              <w:spacing w:after="40"/>
            </w:pPr>
            <w:r>
              <w:rPr>
                <w:sz w:val="18"/>
              </w:rPr>
              <w:t>Semantic Onboarding</w:t>
            </w:r>
          </w:p>
        </w:tc>
        <w:tc>
          <w:tcPr>
            <w:tcW w:type="dxa" w:w="3005"/>
          </w:tcPr>
          <w:p>
            <w:pPr>
              <w:spacing w:after="40"/>
            </w:pPr>
            <w:r>
              <w:rPr>
                <w:sz w:val="18"/>
              </w:rPr>
              <w:t>x 46–180</w:t>
              <w:br/>
              <w:t>y 291–304</w:t>
            </w:r>
          </w:p>
        </w:tc>
        <w:tc>
          <w:tcPr>
            <w:tcW w:type="dxa" w:w="3402"/>
          </w:tcPr>
          <w:p>
            <w:pPr>
              <w:spacing w:after="40"/>
            </w:pPr>
            <w:r>
              <w:rPr>
                <w:sz w:val="18"/>
              </w:rPr>
              <w:t>oben, links</w:t>
              <w:br/>
              <w:t>x 2.4–9.4 %</w:t>
              <w:br/>
              <w:t>y 32.2–33.6 %</w:t>
            </w:r>
          </w:p>
        </w:tc>
      </w:tr>
      <w:tr>
        <w:trPr>
          <w:cantSplit/>
        </w:trPr>
        <w:tc>
          <w:tcPr>
            <w:tcW w:type="dxa" w:w="3288"/>
          </w:tcPr>
          <w:p>
            <w:pPr>
              <w:spacing w:after="40"/>
            </w:pPr>
            <w:r>
              <w:rPr>
                <w:sz w:val="18"/>
              </w:rPr>
              <w:t>Business Builder</w:t>
            </w:r>
          </w:p>
        </w:tc>
        <w:tc>
          <w:tcPr>
            <w:tcW w:type="dxa" w:w="3005"/>
          </w:tcPr>
          <w:p>
            <w:pPr>
              <w:spacing w:after="40"/>
            </w:pPr>
            <w:r>
              <w:rPr>
                <w:sz w:val="18"/>
              </w:rPr>
              <w:t>x 46–149</w:t>
              <w:br/>
              <w:t>y 327–337</w:t>
            </w:r>
          </w:p>
        </w:tc>
        <w:tc>
          <w:tcPr>
            <w:tcW w:type="dxa" w:w="3402"/>
          </w:tcPr>
          <w:p>
            <w:pPr>
              <w:spacing w:after="40"/>
            </w:pPr>
            <w:r>
              <w:rPr>
                <w:sz w:val="18"/>
              </w:rPr>
              <w:t>auf mittlerer Höhe, links</w:t>
              <w:br/>
              <w:t>x 2.4–7.8 %</w:t>
              <w:br/>
              <w:t>y 36.2–37.3 %</w:t>
            </w:r>
          </w:p>
        </w:tc>
      </w:tr>
      <w:tr>
        <w:trPr>
          <w:cantSplit/>
        </w:trPr>
        <w:tc>
          <w:tcPr>
            <w:tcW w:type="dxa" w:w="3288"/>
          </w:tcPr>
          <w:p>
            <w:pPr>
              <w:spacing w:after="40"/>
            </w:pPr>
            <w:r>
              <w:rPr>
                <w:sz w:val="18"/>
              </w:rPr>
              <w:t>Data Builder</w:t>
            </w:r>
          </w:p>
        </w:tc>
        <w:tc>
          <w:tcPr>
            <w:tcW w:type="dxa" w:w="3005"/>
          </w:tcPr>
          <w:p>
            <w:pPr>
              <w:spacing w:after="40"/>
            </w:pPr>
            <w:r>
              <w:rPr>
                <w:sz w:val="18"/>
              </w:rPr>
              <w:t>x 46–123</w:t>
              <w:br/>
              <w:t>y 363–373</w:t>
            </w:r>
          </w:p>
        </w:tc>
        <w:tc>
          <w:tcPr>
            <w:tcW w:type="dxa" w:w="3402"/>
          </w:tcPr>
          <w:p>
            <w:pPr>
              <w:spacing w:after="40"/>
            </w:pPr>
            <w:r>
              <w:rPr>
                <w:sz w:val="18"/>
              </w:rPr>
              <w:t>auf mittlerer Höhe, links</w:t>
              <w:br/>
              <w:t>x 2.4–6.4 %</w:t>
              <w:br/>
              <w:t>y 40.2–41.3 %</w:t>
            </w:r>
          </w:p>
        </w:tc>
      </w:tr>
      <w:tr>
        <w:trPr>
          <w:cantSplit/>
        </w:trPr>
        <w:tc>
          <w:tcPr>
            <w:tcW w:type="dxa" w:w="3288"/>
          </w:tcPr>
          <w:p>
            <w:pPr>
              <w:spacing w:after="40"/>
            </w:pPr>
            <w:r>
              <w:rPr>
                <w:sz w:val="18"/>
              </w:rPr>
              <w:t>Connections</w:t>
            </w:r>
          </w:p>
        </w:tc>
        <w:tc>
          <w:tcPr>
            <w:tcW w:type="dxa" w:w="3005"/>
          </w:tcPr>
          <w:p>
            <w:pPr>
              <w:spacing w:after="40"/>
            </w:pPr>
            <w:r>
              <w:rPr>
                <w:sz w:val="18"/>
              </w:rPr>
              <w:t>x 46–122</w:t>
              <w:br/>
              <w:t>y 399–409</w:t>
            </w:r>
          </w:p>
        </w:tc>
        <w:tc>
          <w:tcPr>
            <w:tcW w:type="dxa" w:w="3402"/>
          </w:tcPr>
          <w:p>
            <w:pPr>
              <w:spacing w:after="40"/>
            </w:pPr>
            <w:r>
              <w:rPr>
                <w:sz w:val="18"/>
              </w:rPr>
              <w:t>auf mittlerer Höhe, links</w:t>
              <w:br/>
              <w:t>x 2.4–6.4 %</w:t>
              <w:br/>
              <w:t>y 44.1–45.2 %</w:t>
            </w:r>
          </w:p>
        </w:tc>
      </w:tr>
      <w:tr>
        <w:trPr>
          <w:cantSplit/>
        </w:trPr>
        <w:tc>
          <w:tcPr>
            <w:tcW w:type="dxa" w:w="3288"/>
          </w:tcPr>
          <w:p>
            <w:pPr>
              <w:spacing w:after="40"/>
            </w:pPr>
            <w:r>
              <w:rPr>
                <w:sz w:val="18"/>
              </w:rPr>
              <w:t>New Table</w:t>
            </w:r>
          </w:p>
        </w:tc>
        <w:tc>
          <w:tcPr>
            <w:tcW w:type="dxa" w:w="3005"/>
          </w:tcPr>
          <w:p>
            <w:pPr>
              <w:spacing w:after="40"/>
            </w:pPr>
            <w:r>
              <w:rPr>
                <w:sz w:val="18"/>
              </w:rPr>
              <w:t>x 306–360</w:t>
              <w:br/>
              <w:t>y 394–402</w:t>
            </w:r>
          </w:p>
        </w:tc>
        <w:tc>
          <w:tcPr>
            <w:tcW w:type="dxa" w:w="3402"/>
          </w:tcPr>
          <w:p>
            <w:pPr>
              <w:spacing w:after="40"/>
            </w:pPr>
            <w:r>
              <w:rPr>
                <w:sz w:val="18"/>
              </w:rPr>
              <w:t>auf mittlerer Höhe, links</w:t>
              <w:br/>
              <w:t>x 16.0–18.9 %</w:t>
              <w:br/>
              <w:t>y 43.6–44.5 %</w:t>
            </w:r>
          </w:p>
        </w:tc>
      </w:tr>
      <w:tr>
        <w:trPr>
          <w:cantSplit/>
        </w:trPr>
        <w:tc>
          <w:tcPr>
            <w:tcW w:type="dxa" w:w="3288"/>
          </w:tcPr>
          <w:p>
            <w:pPr>
              <w:spacing w:after="40"/>
            </w:pPr>
            <w:r>
              <w:rPr>
                <w:sz w:val="18"/>
              </w:rPr>
              <w:t>New Graphical View</w:t>
            </w:r>
          </w:p>
        </w:tc>
        <w:tc>
          <w:tcPr>
            <w:tcW w:type="dxa" w:w="3005"/>
          </w:tcPr>
          <w:p>
            <w:pPr>
              <w:spacing w:after="40"/>
            </w:pPr>
            <w:r>
              <w:rPr>
                <w:sz w:val="18"/>
              </w:rPr>
              <w:t>x 420–525</w:t>
              <w:br/>
              <w:t>y 394–405</w:t>
            </w:r>
          </w:p>
        </w:tc>
        <w:tc>
          <w:tcPr>
            <w:tcW w:type="dxa" w:w="3402"/>
          </w:tcPr>
          <w:p>
            <w:pPr>
              <w:spacing w:after="40"/>
            </w:pPr>
            <w:r>
              <w:rPr>
                <w:sz w:val="18"/>
              </w:rPr>
              <w:t>auf mittlerer Höhe, links</w:t>
              <w:br/>
              <w:t>x 22.0–27.5 %</w:t>
              <w:br/>
              <w:t>y 43.6–44.8 %</w:t>
            </w:r>
          </w:p>
        </w:tc>
      </w:tr>
      <w:tr>
        <w:trPr>
          <w:cantSplit/>
        </w:trPr>
        <w:tc>
          <w:tcPr>
            <w:tcW w:type="dxa" w:w="3288"/>
          </w:tcPr>
          <w:p>
            <w:pPr>
              <w:spacing w:after="40"/>
            </w:pPr>
            <w:r>
              <w:rPr>
                <w:sz w:val="18"/>
              </w:rPr>
              <w:t>New SQL View</w:t>
            </w:r>
          </w:p>
        </w:tc>
        <w:tc>
          <w:tcPr>
            <w:tcW w:type="dxa" w:w="3005"/>
          </w:tcPr>
          <w:p>
            <w:pPr>
              <w:spacing w:after="40"/>
            </w:pPr>
            <w:r>
              <w:rPr>
                <w:sz w:val="18"/>
              </w:rPr>
              <w:t>x 573–650</w:t>
              <w:br/>
              <w:t>y 394–402</w:t>
            </w:r>
          </w:p>
        </w:tc>
        <w:tc>
          <w:tcPr>
            <w:tcW w:type="dxa" w:w="3402"/>
          </w:tcPr>
          <w:p>
            <w:pPr>
              <w:spacing w:after="40"/>
            </w:pPr>
            <w:r>
              <w:rPr>
                <w:sz w:val="18"/>
              </w:rPr>
              <w:t>auf mittlerer Höhe, links</w:t>
              <w:br/>
              <w:t>x 30.0–34.0 %</w:t>
              <w:br/>
              <w:t>y 43.6–44.5 %</w:t>
            </w:r>
          </w:p>
        </w:tc>
      </w:tr>
      <w:tr>
        <w:trPr>
          <w:cantSplit/>
        </w:trPr>
        <w:tc>
          <w:tcPr>
            <w:tcW w:type="dxa" w:w="3288"/>
          </w:tcPr>
          <w:p>
            <w:pPr>
              <w:spacing w:after="40"/>
            </w:pPr>
            <w:r>
              <w:rPr>
                <w:sz w:val="18"/>
              </w:rPr>
              <w:t>New Entity</w:t>
            </w:r>
          </w:p>
        </w:tc>
        <w:tc>
          <w:tcPr>
            <w:tcW w:type="dxa" w:w="3005"/>
          </w:tcPr>
          <w:p>
            <w:pPr>
              <w:spacing w:after="40"/>
            </w:pPr>
            <w:r>
              <w:rPr>
                <w:sz w:val="18"/>
              </w:rPr>
              <w:t>x 719–775</w:t>
              <w:br/>
              <w:t>y 394–405</w:t>
            </w:r>
          </w:p>
        </w:tc>
        <w:tc>
          <w:tcPr>
            <w:tcW w:type="dxa" w:w="3402"/>
          </w:tcPr>
          <w:p>
            <w:pPr>
              <w:spacing w:after="40"/>
            </w:pPr>
            <w:r>
              <w:rPr>
                <w:sz w:val="18"/>
              </w:rPr>
              <w:t>auf mittlerer Höhe, mittig</w:t>
              <w:br/>
              <w:t>x 37.7–40.6 %</w:t>
              <w:br/>
              <w:t>y 43.6–44.8 %</w:t>
            </w:r>
          </w:p>
        </w:tc>
      </w:tr>
      <w:tr>
        <w:trPr>
          <w:cantSplit/>
        </w:trPr>
        <w:tc>
          <w:tcPr>
            <w:tcW w:type="dxa" w:w="3288"/>
          </w:tcPr>
          <w:p>
            <w:pPr>
              <w:spacing w:after="40"/>
            </w:pPr>
            <w:r>
              <w:rPr>
                <w:sz w:val="18"/>
              </w:rPr>
              <w:t>New Analytic Model</w:t>
            </w:r>
          </w:p>
        </w:tc>
        <w:tc>
          <w:tcPr>
            <w:tcW w:type="dxa" w:w="3005"/>
          </w:tcPr>
          <w:p>
            <w:pPr>
              <w:spacing w:after="40"/>
            </w:pPr>
            <w:r>
              <w:rPr>
                <w:sz w:val="18"/>
              </w:rPr>
              <w:t>x 838–942</w:t>
              <w:br/>
              <w:t>y 394–405</w:t>
            </w:r>
          </w:p>
        </w:tc>
        <w:tc>
          <w:tcPr>
            <w:tcW w:type="dxa" w:w="3402"/>
          </w:tcPr>
          <w:p>
            <w:pPr>
              <w:spacing w:after="40"/>
            </w:pPr>
            <w:r>
              <w:rPr>
                <w:sz w:val="18"/>
              </w:rPr>
              <w:t>auf mittlerer Höhe, mittig</w:t>
              <w:br/>
              <w:t>x 43.9–49.3 %</w:t>
              <w:br/>
              <w:t>y 43.6–44.8 %</w:t>
            </w:r>
          </w:p>
        </w:tc>
      </w:tr>
      <w:tr>
        <w:trPr>
          <w:cantSplit/>
        </w:trPr>
        <w:tc>
          <w:tcPr>
            <w:tcW w:type="dxa" w:w="3288"/>
          </w:tcPr>
          <w:p>
            <w:pPr>
              <w:spacing w:after="40"/>
            </w:pPr>
            <w:r>
              <w:rPr>
                <w:sz w:val="18"/>
              </w:rPr>
              <w:t>New Data Flow</w:t>
            </w:r>
          </w:p>
        </w:tc>
        <w:tc>
          <w:tcPr>
            <w:tcW w:type="dxa" w:w="3005"/>
          </w:tcPr>
          <w:p>
            <w:pPr>
              <w:spacing w:after="40"/>
            </w:pPr>
            <w:r>
              <w:rPr>
                <w:sz w:val="18"/>
              </w:rPr>
              <w:t>x 989–1068</w:t>
              <w:br/>
              <w:t>y 394–402</w:t>
            </w:r>
          </w:p>
        </w:tc>
        <w:tc>
          <w:tcPr>
            <w:tcW w:type="dxa" w:w="3402"/>
          </w:tcPr>
          <w:p>
            <w:pPr>
              <w:spacing w:after="40"/>
            </w:pPr>
            <w:r>
              <w:rPr>
                <w:sz w:val="18"/>
              </w:rPr>
              <w:t>auf mittlerer Höhe, mittig</w:t>
              <w:br/>
              <w:t>x 51.8–56.0 %</w:t>
              <w:br/>
              <w:t>y 43.6–44.5 %</w:t>
            </w:r>
          </w:p>
        </w:tc>
      </w:tr>
      <w:tr>
        <w:trPr>
          <w:cantSplit/>
        </w:trPr>
        <w:tc>
          <w:tcPr>
            <w:tcW w:type="dxa" w:w="3288"/>
          </w:tcPr>
          <w:p>
            <w:pPr>
              <w:spacing w:after="40"/>
            </w:pPr>
            <w:r>
              <w:rPr>
                <w:sz w:val="18"/>
              </w:rPr>
              <w:t>New Replication</w:t>
            </w:r>
          </w:p>
        </w:tc>
        <w:tc>
          <w:tcPr>
            <w:tcW w:type="dxa" w:w="3005"/>
          </w:tcPr>
          <w:p>
            <w:pPr>
              <w:spacing w:after="40"/>
            </w:pPr>
            <w:r>
              <w:rPr>
                <w:sz w:val="18"/>
              </w:rPr>
              <w:t>x 1126–1210</w:t>
              <w:br/>
              <w:t>y 394–405</w:t>
            </w:r>
          </w:p>
        </w:tc>
        <w:tc>
          <w:tcPr>
            <w:tcW w:type="dxa" w:w="3402"/>
          </w:tcPr>
          <w:p>
            <w:pPr>
              <w:spacing w:after="40"/>
            </w:pPr>
            <w:r>
              <w:rPr>
                <w:sz w:val="18"/>
              </w:rPr>
              <w:t>auf mittlerer Höhe, mittig</w:t>
              <w:br/>
              <w:t>x 59.0–63.4 %</w:t>
              <w:br/>
              <w:t>y 43.6–44.8 %</w:t>
            </w:r>
          </w:p>
        </w:tc>
      </w:tr>
      <w:tr>
        <w:trPr>
          <w:cantSplit/>
        </w:trPr>
        <w:tc>
          <w:tcPr>
            <w:tcW w:type="dxa" w:w="3288"/>
          </w:tcPr>
          <w:p>
            <w:pPr>
              <w:spacing w:after="40"/>
            </w:pPr>
            <w:r>
              <w:rPr>
                <w:sz w:val="18"/>
              </w:rPr>
              <w:t>New Transformation</w:t>
            </w:r>
          </w:p>
        </w:tc>
        <w:tc>
          <w:tcPr>
            <w:tcW w:type="dxa" w:w="3005"/>
          </w:tcPr>
          <w:p>
            <w:pPr>
              <w:spacing w:after="40"/>
            </w:pPr>
            <w:r>
              <w:rPr>
                <w:sz w:val="18"/>
              </w:rPr>
              <w:t>x 1255–1359</w:t>
              <w:br/>
              <w:t>y 394–402</w:t>
            </w:r>
          </w:p>
        </w:tc>
        <w:tc>
          <w:tcPr>
            <w:tcW w:type="dxa" w:w="3402"/>
          </w:tcPr>
          <w:p>
            <w:pPr>
              <w:spacing w:after="40"/>
            </w:pPr>
            <w:r>
              <w:rPr>
                <w:sz w:val="18"/>
              </w:rPr>
              <w:t>auf mittlerer Höhe, rechts</w:t>
              <w:br/>
              <w:t>x 65.7–71.2 %</w:t>
              <w:br/>
              <w:t>y 43.6–44.5 %</w:t>
            </w:r>
          </w:p>
        </w:tc>
      </w:tr>
      <w:tr>
        <w:trPr>
          <w:cantSplit/>
        </w:trPr>
        <w:tc>
          <w:tcPr>
            <w:tcW w:type="dxa" w:w="3288"/>
          </w:tcPr>
          <w:p>
            <w:pPr>
              <w:spacing w:after="40"/>
            </w:pPr>
            <w:r>
              <w:rPr>
                <w:sz w:val="18"/>
              </w:rPr>
              <w:t>New Intelligent</w:t>
            </w:r>
          </w:p>
        </w:tc>
        <w:tc>
          <w:tcPr>
            <w:tcW w:type="dxa" w:w="3005"/>
          </w:tcPr>
          <w:p>
            <w:pPr>
              <w:spacing w:after="40"/>
            </w:pPr>
            <w:r>
              <w:rPr>
                <w:sz w:val="18"/>
              </w:rPr>
              <w:t>x 1407–1486</w:t>
              <w:br/>
              <w:t>y 394–405</w:t>
            </w:r>
          </w:p>
        </w:tc>
        <w:tc>
          <w:tcPr>
            <w:tcW w:type="dxa" w:w="3402"/>
          </w:tcPr>
          <w:p>
            <w:pPr>
              <w:spacing w:after="40"/>
            </w:pPr>
            <w:r>
              <w:rPr>
                <w:sz w:val="18"/>
              </w:rPr>
              <w:t>auf mittlerer Höhe, rechts</w:t>
              <w:br/>
              <w:t>x 73.7–77.8 %</w:t>
              <w:br/>
              <w:t>y 43.6–44.8 %</w:t>
            </w:r>
          </w:p>
        </w:tc>
      </w:tr>
      <w:tr>
        <w:trPr>
          <w:cantSplit/>
        </w:trPr>
        <w:tc>
          <w:tcPr>
            <w:tcW w:type="dxa" w:w="3288"/>
          </w:tcPr>
          <w:p>
            <w:pPr>
              <w:spacing w:after="40"/>
            </w:pPr>
            <w:r>
              <w:rPr>
                <w:sz w:val="18"/>
              </w:rPr>
              <w:t>New Task Chain</w:t>
            </w:r>
          </w:p>
        </w:tc>
        <w:tc>
          <w:tcPr>
            <w:tcW w:type="dxa" w:w="3005"/>
          </w:tcPr>
          <w:p>
            <w:pPr>
              <w:spacing w:after="40"/>
            </w:pPr>
            <w:r>
              <w:rPr>
                <w:sz w:val="18"/>
              </w:rPr>
              <w:t>x 1544–1627</w:t>
              <w:br/>
              <w:t>y 394–402</w:t>
            </w:r>
          </w:p>
        </w:tc>
        <w:tc>
          <w:tcPr>
            <w:tcW w:type="dxa" w:w="3402"/>
          </w:tcPr>
          <w:p>
            <w:pPr>
              <w:spacing w:after="40"/>
            </w:pPr>
            <w:r>
              <w:rPr>
                <w:sz w:val="18"/>
              </w:rPr>
              <w:t>auf mittlerer Höhe, rechts</w:t>
              <w:br/>
              <w:t>x 80.9–85.2 %</w:t>
              <w:br/>
              <w:t>y 43.6–44.5 %</w:t>
            </w:r>
          </w:p>
        </w:tc>
      </w:tr>
      <w:tr>
        <w:trPr>
          <w:cantSplit/>
        </w:trPr>
        <w:tc>
          <w:tcPr>
            <w:tcW w:type="dxa" w:w="3288"/>
          </w:tcPr>
          <w:p>
            <w:pPr>
              <w:spacing w:after="40"/>
            </w:pPr>
            <w:r>
              <w:rPr>
                <w:sz w:val="18"/>
              </w:rPr>
              <w:t>New Data Access</w:t>
            </w:r>
          </w:p>
        </w:tc>
        <w:tc>
          <w:tcPr>
            <w:tcW w:type="dxa" w:w="3005"/>
          </w:tcPr>
          <w:p>
            <w:pPr>
              <w:spacing w:after="40"/>
            </w:pPr>
            <w:r>
              <w:rPr>
                <w:sz w:val="18"/>
              </w:rPr>
              <w:t>x 1680–1770</w:t>
              <w:br/>
              <w:t>y 394–402</w:t>
            </w:r>
          </w:p>
        </w:tc>
        <w:tc>
          <w:tcPr>
            <w:tcW w:type="dxa" w:w="3402"/>
          </w:tcPr>
          <w:p>
            <w:pPr>
              <w:spacing w:after="40"/>
            </w:pPr>
            <w:r>
              <w:rPr>
                <w:sz w:val="18"/>
              </w:rPr>
              <w:t>auf mittlerer Höhe, rechts</w:t>
              <w:br/>
              <w:t>x 88.0–92.7 %</w:t>
              <w:br/>
              <w:t>y 43.6–44.5 %</w:t>
            </w:r>
          </w:p>
        </w:tc>
      </w:tr>
      <w:tr>
        <w:trPr>
          <w:cantSplit/>
        </w:trPr>
        <w:tc>
          <w:tcPr>
            <w:tcW w:type="dxa" w:w="3288"/>
          </w:tcPr>
          <w:p>
            <w:pPr>
              <w:spacing w:after="40"/>
            </w:pPr>
            <w:r>
              <w:rPr>
                <w:sz w:val="18"/>
              </w:rPr>
              <w:t>Relationship Model</w:t>
            </w:r>
          </w:p>
        </w:tc>
        <w:tc>
          <w:tcPr>
            <w:tcW w:type="dxa" w:w="3005"/>
          </w:tcPr>
          <w:p>
            <w:pPr>
              <w:spacing w:after="40"/>
            </w:pPr>
            <w:r>
              <w:rPr>
                <w:sz w:val="18"/>
              </w:rPr>
              <w:t>x 700–801</w:t>
              <w:br/>
              <w:t>y 408–419</w:t>
            </w:r>
          </w:p>
        </w:tc>
        <w:tc>
          <w:tcPr>
            <w:tcW w:type="dxa" w:w="3402"/>
          </w:tcPr>
          <w:p>
            <w:pPr>
              <w:spacing w:after="40"/>
            </w:pPr>
            <w:r>
              <w:rPr>
                <w:sz w:val="18"/>
              </w:rPr>
              <w:t>auf mittlerer Höhe, mittig</w:t>
              <w:br/>
              <w:t>x 36.7–42.0 %</w:t>
              <w:br/>
              <w:t>y 45.1–46.3 %</w:t>
            </w:r>
          </w:p>
        </w:tc>
      </w:tr>
      <w:tr>
        <w:trPr>
          <w:cantSplit/>
        </w:trPr>
        <w:tc>
          <w:tcPr>
            <w:tcW w:type="dxa" w:w="3288"/>
          </w:tcPr>
          <w:p>
            <w:pPr>
              <w:spacing w:after="40"/>
            </w:pPr>
            <w:r>
              <w:rPr>
                <w:sz w:val="18"/>
              </w:rPr>
              <w:t>Utilities</w:t>
            </w:r>
          </w:p>
        </w:tc>
        <w:tc>
          <w:tcPr>
            <w:tcW w:type="dxa" w:w="3005"/>
          </w:tcPr>
          <w:p>
            <w:pPr>
              <w:spacing w:after="40"/>
            </w:pPr>
            <w:r>
              <w:rPr>
                <w:sz w:val="18"/>
              </w:rPr>
              <w:t>x 23–67</w:t>
              <w:br/>
              <w:t>y 445–455</w:t>
            </w:r>
          </w:p>
        </w:tc>
        <w:tc>
          <w:tcPr>
            <w:tcW w:type="dxa" w:w="3402"/>
          </w:tcPr>
          <w:p>
            <w:pPr>
              <w:spacing w:after="40"/>
            </w:pPr>
            <w:r>
              <w:rPr>
                <w:sz w:val="18"/>
              </w:rPr>
              <w:t>auf mittlerer Höhe, links</w:t>
              <w:br/>
              <w:t>x 1.2–3.5 %</w:t>
              <w:br/>
              <w:t>y 49.2–50.3 %</w:t>
            </w:r>
          </w:p>
        </w:tc>
      </w:tr>
      <w:tr>
        <w:trPr>
          <w:cantSplit/>
        </w:trPr>
        <w:tc>
          <w:tcPr>
            <w:tcW w:type="dxa" w:w="3288"/>
          </w:tcPr>
          <w:p>
            <w:pPr>
              <w:spacing w:after="40"/>
            </w:pPr>
            <w:r>
              <w:rPr>
                <w:sz w:val="18"/>
              </w:rPr>
              <w:t>Search in:</w:t>
            </w:r>
          </w:p>
        </w:tc>
        <w:tc>
          <w:tcPr>
            <w:tcW w:type="dxa" w:w="3005"/>
          </w:tcPr>
          <w:p>
            <w:pPr>
              <w:spacing w:after="40"/>
            </w:pPr>
            <w:r>
              <w:rPr>
                <w:sz w:val="18"/>
              </w:rPr>
              <w:t>x 600–661</w:t>
              <w:br/>
              <w:t>y 464–474</w:t>
            </w:r>
          </w:p>
        </w:tc>
        <w:tc>
          <w:tcPr>
            <w:tcW w:type="dxa" w:w="3402"/>
          </w:tcPr>
          <w:p>
            <w:pPr>
              <w:spacing w:after="40"/>
            </w:pPr>
            <w:r>
              <w:rPr>
                <w:sz w:val="18"/>
              </w:rPr>
              <w:t>auf mittlerer Höhe, mittig</w:t>
              <w:br/>
              <w:t>x 31.5–34.6 %</w:t>
              <w:br/>
              <w:t>y 51.3–52.4 %</w:t>
            </w:r>
          </w:p>
        </w:tc>
      </w:tr>
      <w:tr>
        <w:trPr>
          <w:cantSplit/>
        </w:trPr>
        <w:tc>
          <w:tcPr>
            <w:tcW w:type="dxa" w:w="3288"/>
          </w:tcPr>
          <w:p>
            <w:pPr>
              <w:spacing w:after="40"/>
            </w:pPr>
            <w:r>
              <w:rPr>
                <w:sz w:val="18"/>
              </w:rPr>
              <w:t>"All"</w:t>
            </w:r>
          </w:p>
        </w:tc>
        <w:tc>
          <w:tcPr>
            <w:tcW w:type="dxa" w:w="3005"/>
          </w:tcPr>
          <w:p>
            <w:pPr>
              <w:spacing w:after="40"/>
            </w:pPr>
            <w:r>
              <w:rPr>
                <w:sz w:val="18"/>
              </w:rPr>
              <w:t>x 666–691</w:t>
              <w:br/>
              <w:t>y 464–474</w:t>
            </w:r>
          </w:p>
        </w:tc>
        <w:tc>
          <w:tcPr>
            <w:tcW w:type="dxa" w:w="3402"/>
          </w:tcPr>
          <w:p>
            <w:pPr>
              <w:spacing w:after="40"/>
            </w:pPr>
            <w:r>
              <w:rPr>
                <w:sz w:val="18"/>
              </w:rPr>
              <w:t>auf mittlerer Höhe, mittig</w:t>
              <w:br/>
              <w:t>x 34.9–36.2 %</w:t>
              <w:br/>
              <w:t>y 51.3–52.4 %</w:t>
            </w:r>
          </w:p>
        </w:tc>
      </w:tr>
      <w:tr>
        <w:trPr>
          <w:cantSplit/>
        </w:trPr>
        <w:tc>
          <w:tcPr>
            <w:tcW w:type="dxa" w:w="3288"/>
          </w:tcPr>
          <w:p>
            <w:pPr>
              <w:spacing w:after="40"/>
            </w:pPr>
            <w:r>
              <w:rPr>
                <w:sz w:val="18"/>
              </w:rPr>
              <w:t>Space Management</w:t>
            </w:r>
          </w:p>
        </w:tc>
        <w:tc>
          <w:tcPr>
            <w:tcW w:type="dxa" w:w="3005"/>
          </w:tcPr>
          <w:p>
            <w:pPr>
              <w:spacing w:after="40"/>
            </w:pPr>
            <w:r>
              <w:rPr>
                <w:sz w:val="18"/>
              </w:rPr>
              <w:t>x 46–169</w:t>
              <w:br/>
              <w:t>y 481–494</w:t>
            </w:r>
          </w:p>
        </w:tc>
        <w:tc>
          <w:tcPr>
            <w:tcW w:type="dxa" w:w="3402"/>
          </w:tcPr>
          <w:p>
            <w:pPr>
              <w:spacing w:after="40"/>
            </w:pPr>
            <w:r>
              <w:rPr>
                <w:sz w:val="18"/>
              </w:rPr>
              <w:t>auf mittlerer Höhe, links</w:t>
              <w:br/>
              <w:t>x 2.4–8.9 %</w:t>
              <w:br/>
              <w:t>y 53.2–54.6 %</w:t>
            </w:r>
          </w:p>
        </w:tc>
      </w:tr>
      <w:tr>
        <w:trPr>
          <w:cantSplit/>
        </w:trPr>
        <w:tc>
          <w:tcPr>
            <w:tcW w:type="dxa" w:w="3288"/>
          </w:tcPr>
          <w:p>
            <w:pPr>
              <w:spacing w:after="40"/>
            </w:pPr>
            <w:r>
              <w:rPr>
                <w:sz w:val="18"/>
              </w:rPr>
              <w:t>Translation</w:t>
            </w:r>
          </w:p>
        </w:tc>
        <w:tc>
          <w:tcPr>
            <w:tcW w:type="dxa" w:w="3005"/>
          </w:tcPr>
          <w:p>
            <w:pPr>
              <w:spacing w:after="40"/>
            </w:pPr>
            <w:r>
              <w:rPr>
                <w:sz w:val="18"/>
              </w:rPr>
              <w:t>x 46–113</w:t>
              <w:br/>
              <w:t>y 517–527</w:t>
            </w:r>
          </w:p>
        </w:tc>
        <w:tc>
          <w:tcPr>
            <w:tcW w:type="dxa" w:w="3402"/>
          </w:tcPr>
          <w:p>
            <w:pPr>
              <w:spacing w:after="40"/>
            </w:pPr>
            <w:r>
              <w:rPr>
                <w:sz w:val="18"/>
              </w:rPr>
              <w:t>auf mittlerer Höhe, links</w:t>
              <w:br/>
              <w:t>x 2.4–5.9 %</w:t>
              <w:br/>
              <w:t>y 57.2–58.3 %</w:t>
            </w:r>
          </w:p>
        </w:tc>
      </w:tr>
      <w:tr>
        <w:trPr>
          <w:cantSplit/>
        </w:trPr>
        <w:tc>
          <w:tcPr>
            <w:tcW w:type="dxa" w:w="3288"/>
          </w:tcPr>
          <w:p>
            <w:pPr>
              <w:spacing w:after="40"/>
            </w:pPr>
            <w:r>
              <w:rPr>
                <w:sz w:val="18"/>
              </w:rPr>
              <w:t>List Objects In:</w:t>
            </w:r>
          </w:p>
        </w:tc>
        <w:tc>
          <w:tcPr>
            <w:tcW w:type="dxa" w:w="3005"/>
          </w:tcPr>
          <w:p>
            <w:pPr>
              <w:spacing w:after="40"/>
            </w:pPr>
            <w:r>
              <w:rPr>
                <w:sz w:val="18"/>
              </w:rPr>
              <w:t>x 273–370</w:t>
              <w:br/>
              <w:t>y 531–544</w:t>
            </w:r>
          </w:p>
        </w:tc>
        <w:tc>
          <w:tcPr>
            <w:tcW w:type="dxa" w:w="3402"/>
          </w:tcPr>
          <w:p>
            <w:pPr>
              <w:spacing w:after="40"/>
            </w:pPr>
            <w:r>
              <w:rPr>
                <w:sz w:val="18"/>
              </w:rPr>
              <w:t>auf mittlerer Höhe, links</w:t>
              <w:br/>
              <w:t>x 14.3–19.4 %</w:t>
              <w:br/>
              <w:t>y 58.7–60.2 %</w:t>
            </w:r>
          </w:p>
        </w:tc>
      </w:tr>
      <w:tr>
        <w:trPr>
          <w:cantSplit/>
        </w:trPr>
        <w:tc>
          <w:tcPr>
            <w:tcW w:type="dxa" w:w="3288"/>
          </w:tcPr>
          <w:p>
            <w:pPr>
              <w:spacing w:after="40"/>
            </w:pPr>
            <w:r>
              <w:rPr>
                <w:sz w:val="18"/>
              </w:rPr>
              <w:t>Transport</w:t>
            </w:r>
          </w:p>
        </w:tc>
        <w:tc>
          <w:tcPr>
            <w:tcW w:type="dxa" w:w="3005"/>
          </w:tcPr>
          <w:p>
            <w:pPr>
              <w:spacing w:after="40"/>
            </w:pPr>
            <w:r>
              <w:rPr>
                <w:sz w:val="18"/>
              </w:rPr>
              <w:t>x 46–104</w:t>
              <w:br/>
              <w:t>y 553–566</w:t>
            </w:r>
          </w:p>
        </w:tc>
        <w:tc>
          <w:tcPr>
            <w:tcW w:type="dxa" w:w="3402"/>
          </w:tcPr>
          <w:p>
            <w:pPr>
              <w:spacing w:after="40"/>
            </w:pPr>
            <w:r>
              <w:rPr>
                <w:sz w:val="18"/>
              </w:rPr>
              <w:t>auf mittlerer Höhe, links</w:t>
              <w:br/>
              <w:t>x 2.4–5.4 %</w:t>
              <w:br/>
              <w:t>y 61.2–62.6 %</w:t>
            </w:r>
          </w:p>
        </w:tc>
      </w:tr>
      <w:tr>
        <w:trPr>
          <w:cantSplit/>
        </w:trPr>
        <w:tc>
          <w:tcPr>
            <w:tcW w:type="dxa" w:w="3288"/>
          </w:tcPr>
          <w:p>
            <w:pPr>
              <w:spacing w:after="40"/>
            </w:pPr>
            <w:r>
              <w:rPr>
                <w:sz w:val="18"/>
              </w:rPr>
              <w:t>(Semantic Usage)</w:t>
            </w:r>
          </w:p>
        </w:tc>
        <w:tc>
          <w:tcPr>
            <w:tcW w:type="dxa" w:w="3005"/>
          </w:tcPr>
          <w:p>
            <w:pPr>
              <w:spacing w:after="40"/>
            </w:pPr>
            <w:r>
              <w:rPr>
                <w:sz w:val="18"/>
              </w:rPr>
              <w:t>x 781–886</w:t>
              <w:br/>
              <w:t>y 559–581</w:t>
            </w:r>
          </w:p>
        </w:tc>
        <w:tc>
          <w:tcPr>
            <w:tcW w:type="dxa" w:w="3402"/>
          </w:tcPr>
          <w:p>
            <w:pPr>
              <w:spacing w:after="40"/>
            </w:pPr>
            <w:r>
              <w:rPr>
                <w:sz w:val="18"/>
              </w:rPr>
              <w:t>auf mittlerer Höhe, mittig</w:t>
              <w:br/>
              <w:t>x 40.9–46.4 %</w:t>
              <w:br/>
              <w:t>y 61.8–64.3 %</w:t>
            </w:r>
          </w:p>
        </w:tc>
      </w:tr>
      <w:tr>
        <w:trPr>
          <w:cantSplit/>
        </w:trPr>
        <w:tc>
          <w:tcPr>
            <w:tcW w:type="dxa" w:w="3288"/>
          </w:tcPr>
          <w:p>
            <w:pPr>
              <w:spacing w:after="40"/>
            </w:pPr>
            <w:r>
              <w:rPr>
                <w:sz w:val="18"/>
              </w:rPr>
              <w:t>Space</w:t>
            </w:r>
          </w:p>
        </w:tc>
        <w:tc>
          <w:tcPr>
            <w:tcW w:type="dxa" w:w="3005"/>
          </w:tcPr>
          <w:p>
            <w:pPr>
              <w:spacing w:after="40"/>
            </w:pPr>
            <w:r>
              <w:rPr>
                <w:sz w:val="18"/>
              </w:rPr>
              <w:t>x 936–973</w:t>
              <w:br/>
              <w:t>y 563–576</w:t>
            </w:r>
          </w:p>
        </w:tc>
        <w:tc>
          <w:tcPr>
            <w:tcW w:type="dxa" w:w="3402"/>
          </w:tcPr>
          <w:p>
            <w:pPr>
              <w:spacing w:after="40"/>
            </w:pPr>
            <w:r>
              <w:rPr>
                <w:sz w:val="18"/>
              </w:rPr>
              <w:t>auf mittlerer Höhe, mittig</w:t>
              <w:br/>
              <w:t>x 49.0–51.0 %</w:t>
              <w:br/>
              <w:t>y 62.3–63.7 %</w:t>
            </w:r>
          </w:p>
        </w:tc>
      </w:tr>
      <w:tr>
        <w:trPr>
          <w:cantSplit/>
        </w:trPr>
        <w:tc>
          <w:tcPr>
            <w:tcW w:type="dxa" w:w="3288"/>
          </w:tcPr>
          <w:p>
            <w:pPr>
              <w:spacing w:after="40"/>
            </w:pPr>
            <w:r>
              <w:rPr>
                <w:sz w:val="18"/>
              </w:rPr>
              <w:t>Status</w:t>
            </w:r>
          </w:p>
        </w:tc>
        <w:tc>
          <w:tcPr>
            <w:tcW w:type="dxa" w:w="3005"/>
          </w:tcPr>
          <w:p>
            <w:pPr>
              <w:spacing w:after="40"/>
            </w:pPr>
            <w:r>
              <w:rPr>
                <w:sz w:val="18"/>
              </w:rPr>
              <w:t>x 1318–1356</w:t>
              <w:br/>
              <w:t>y 563–573</w:t>
            </w:r>
          </w:p>
        </w:tc>
        <w:tc>
          <w:tcPr>
            <w:tcW w:type="dxa" w:w="3402"/>
          </w:tcPr>
          <w:p>
            <w:pPr>
              <w:spacing w:after="40"/>
            </w:pPr>
            <w:r>
              <w:rPr>
                <w:sz w:val="18"/>
              </w:rPr>
              <w:t>auf mittlerer Höhe, rechts</w:t>
              <w:br/>
              <w:t>x 69.0–71.0 %</w:t>
              <w:br/>
              <w:t>y 62.3–63.4 %</w:t>
            </w:r>
          </w:p>
        </w:tc>
      </w:tr>
      <w:tr>
        <w:trPr>
          <w:cantSplit/>
        </w:trPr>
        <w:tc>
          <w:tcPr>
            <w:tcW w:type="dxa" w:w="3288"/>
          </w:tcPr>
          <w:p>
            <w:pPr>
              <w:spacing w:after="40"/>
            </w:pPr>
            <w:r>
              <w:rPr>
                <w:sz w:val="18"/>
              </w:rPr>
              <w:t>Changed On</w:t>
            </w:r>
          </w:p>
        </w:tc>
        <w:tc>
          <w:tcPr>
            <w:tcW w:type="dxa" w:w="3005"/>
          </w:tcPr>
          <w:p>
            <w:pPr>
              <w:spacing w:after="40"/>
            </w:pPr>
            <w:r>
              <w:rPr>
                <w:sz w:val="18"/>
              </w:rPr>
              <w:t>x 1508–1586</w:t>
              <w:br/>
              <w:t>y 563–576</w:t>
            </w:r>
          </w:p>
        </w:tc>
        <w:tc>
          <w:tcPr>
            <w:tcW w:type="dxa" w:w="3402"/>
          </w:tcPr>
          <w:p>
            <w:pPr>
              <w:spacing w:after="40"/>
            </w:pPr>
            <w:r>
              <w:rPr>
                <w:sz w:val="18"/>
              </w:rPr>
              <w:t>auf mittlerer Höhe, rechts</w:t>
              <w:br/>
              <w:t>x 79.0–83.1 %</w:t>
              <w:br/>
              <w:t>y 62.3–63.7 %</w:t>
            </w:r>
          </w:p>
        </w:tc>
      </w:tr>
      <w:tr>
        <w:trPr>
          <w:cantSplit/>
        </w:trPr>
        <w:tc>
          <w:tcPr>
            <w:tcW w:type="dxa" w:w="3288"/>
          </w:tcPr>
          <w:p>
            <w:pPr>
              <w:spacing w:after="40"/>
            </w:pPr>
            <w:r>
              <w:rPr>
                <w:sz w:val="18"/>
              </w:rPr>
              <w:t>Favorite</w:t>
            </w:r>
          </w:p>
        </w:tc>
        <w:tc>
          <w:tcPr>
            <w:tcW w:type="dxa" w:w="3005"/>
          </w:tcPr>
          <w:p>
            <w:pPr>
              <w:spacing w:after="40"/>
            </w:pPr>
            <w:r>
              <w:rPr>
                <w:sz w:val="18"/>
              </w:rPr>
              <w:t>x 1700–1748</w:t>
              <w:br/>
              <w:t>y 563–573</w:t>
            </w:r>
          </w:p>
        </w:tc>
        <w:tc>
          <w:tcPr>
            <w:tcW w:type="dxa" w:w="3402"/>
          </w:tcPr>
          <w:p>
            <w:pPr>
              <w:spacing w:after="40"/>
            </w:pPr>
            <w:r>
              <w:rPr>
                <w:sz w:val="18"/>
              </w:rPr>
              <w:t>auf mittlerer Höhe, rechts</w:t>
              <w:br/>
              <w:t>x 89.0–91.6 %</w:t>
              <w:br/>
              <w:t>y 62.3–63.4 %</w:t>
            </w:r>
          </w:p>
        </w:tc>
      </w:tr>
      <w:tr>
        <w:trPr>
          <w:cantSplit/>
        </w:trPr>
        <w:tc>
          <w:tcPr>
            <w:tcW w:type="dxa" w:w="3288"/>
          </w:tcPr>
          <w:p>
            <w:pPr>
              <w:spacing w:after="40"/>
            </w:pPr>
            <w:r>
              <w:rPr>
                <w:sz w:val="18"/>
              </w:rPr>
              <w:t>Data Sharing Cockpit</w:t>
            </w:r>
          </w:p>
        </w:tc>
        <w:tc>
          <w:tcPr>
            <w:tcW w:type="dxa" w:w="3005"/>
          </w:tcPr>
          <w:p>
            <w:pPr>
              <w:spacing w:after="40"/>
            </w:pPr>
            <w:r>
              <w:rPr>
                <w:sz w:val="18"/>
              </w:rPr>
              <w:t>x 46–176</w:t>
              <w:br/>
              <w:t>y 589–602</w:t>
            </w:r>
          </w:p>
        </w:tc>
        <w:tc>
          <w:tcPr>
            <w:tcW w:type="dxa" w:w="3402"/>
          </w:tcPr>
          <w:p>
            <w:pPr>
              <w:spacing w:after="40"/>
            </w:pPr>
            <w:r>
              <w:rPr>
                <w:sz w:val="18"/>
              </w:rPr>
              <w:t>auf mittlerer Höhe, links</w:t>
              <w:br/>
              <w:t>x 2.4–9.2 %</w:t>
              <w:br/>
              <w:t>y 65.2–66.6 %</w:t>
            </w:r>
          </w:p>
        </w:tc>
      </w:tr>
      <w:tr>
        <w:trPr>
          <w:cantSplit/>
        </w:trPr>
        <w:tc>
          <w:tcPr>
            <w:tcW w:type="dxa" w:w="3288"/>
          </w:tcPr>
          <w:p>
            <w:pPr>
              <w:spacing w:after="40"/>
            </w:pPr>
            <w:r>
              <w:rPr>
                <w:sz w:val="18"/>
              </w:rPr>
              <w:t>Security</w:t>
            </w:r>
          </w:p>
        </w:tc>
        <w:tc>
          <w:tcPr>
            <w:tcW w:type="dxa" w:w="3005"/>
          </w:tcPr>
          <w:p>
            <w:pPr>
              <w:spacing w:after="40"/>
            </w:pPr>
            <w:r>
              <w:rPr>
                <w:sz w:val="18"/>
              </w:rPr>
              <w:t>x 46–96</w:t>
              <w:br/>
              <w:t>y 843–856</w:t>
            </w:r>
          </w:p>
        </w:tc>
        <w:tc>
          <w:tcPr>
            <w:tcW w:type="dxa" w:w="3402"/>
          </w:tcPr>
          <w:p>
            <w:pPr>
              <w:spacing w:after="40"/>
            </w:pPr>
            <w:r>
              <w:rPr>
                <w:sz w:val="18"/>
              </w:rPr>
              <w:t>unten, links</w:t>
              <w:br/>
              <w:t>x 2.4–5.0 %</w:t>
              <w:br/>
              <w:t>y 93.3–94.7 %</w:t>
            </w:r>
          </w:p>
        </w:tc>
      </w:tr>
      <w:tr>
        <w:trPr>
          <w:cantSplit/>
        </w:trPr>
        <w:tc>
          <w:tcPr>
            <w:tcW w:type="dxa" w:w="3288"/>
          </w:tcPr>
          <w:p>
            <w:pPr>
              <w:spacing w:after="40"/>
            </w:pPr>
            <w:r>
              <w:rPr>
                <w:sz w:val="18"/>
              </w:rPr>
              <w:t>System</w:t>
            </w:r>
          </w:p>
        </w:tc>
        <w:tc>
          <w:tcPr>
            <w:tcW w:type="dxa" w:w="3005"/>
          </w:tcPr>
          <w:p>
            <w:pPr>
              <w:spacing w:after="40"/>
            </w:pPr>
            <w:r>
              <w:rPr>
                <w:sz w:val="18"/>
              </w:rPr>
              <w:t>x 46–91</w:t>
              <w:br/>
              <w:t>y 879–892</w:t>
            </w:r>
          </w:p>
        </w:tc>
        <w:tc>
          <w:tcPr>
            <w:tcW w:type="dxa" w:w="3402"/>
          </w:tcPr>
          <w:p>
            <w:pPr>
              <w:spacing w:after="40"/>
            </w:pPr>
            <w:r>
              <w:rPr>
                <w:sz w:val="18"/>
              </w:rPr>
              <w:t>unten, links</w:t>
              <w:br/>
              <w:t>x 2.4–4.8 %</w:t>
              <w:br/>
              <w:t>y 97.2–98.7 %</w:t>
            </w:r>
          </w:p>
        </w:tc>
      </w:tr>
      <w:tr>
        <w:trPr>
          <w:cantSplit/>
        </w:trPr>
        <w:tc>
          <w:tcPr>
            <w:tcW w:type="dxa" w:w="3288"/>
          </w:tcPr>
          <w:p>
            <w:pPr>
              <w:spacing w:after="40"/>
            </w:pPr>
            <w:r>
              <w:rPr>
                <w:sz w:val="18"/>
              </w:rPr>
              <w:t>Deployed</w:t>
            </w:r>
          </w:p>
        </w:tc>
        <w:tc>
          <w:tcPr>
            <w:tcW w:type="dxa" w:w="3005"/>
          </w:tcPr>
          <w:p>
            <w:pPr>
              <w:spacing w:after="40"/>
            </w:pPr>
            <w:r>
              <w:rPr>
                <w:sz w:val="18"/>
              </w:rPr>
              <w:t>x 1336–1394</w:t>
              <w:br/>
              <w:t>y 885–898</w:t>
            </w:r>
          </w:p>
        </w:tc>
        <w:tc>
          <w:tcPr>
            <w:tcW w:type="dxa" w:w="3402"/>
          </w:tcPr>
          <w:p>
            <w:pPr>
              <w:spacing w:after="40"/>
            </w:pPr>
            <w:r>
              <w:rPr>
                <w:sz w:val="18"/>
              </w:rPr>
              <w:t>unten, rechts</w:t>
              <w:br/>
              <w:t>x 70.0–73.0 %</w:t>
              <w:br/>
              <w:t>y 97.9–99.3 %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18: Data Builder: geöffnetes Erstellungsmenü</w:t>
      </w:r>
    </w:p>
    <w:p>
      <w:r>
        <w:t>Bildformat: 1900 × 915 Pixel. Die folgenden Positionen beziehen sich auf dieses vollständige Bild.</w:t>
      </w:r>
    </w:p>
    <w:p>
      <w:pPr>
        <w:pStyle w:val="Heading2"/>
      </w:pPr>
      <w:r>
        <w:t>1. Gesamtaufbau und sichtbarer Zustand</w:t>
      </w:r>
    </w:p>
    <w:p>
      <w:pPr>
        <w:pStyle w:val="Heading3"/>
      </w:pPr>
      <w:r>
        <w:t>Gesamtansicht</w:t>
      </w:r>
    </w:p>
    <w:p>
      <w:r>
        <w:t>Die Grundansicht entspricht einer Data-Builder-Objektübersicht. Zusätzlich ist im oberen rechten Teil des Hauptbereichs ein vertikales Dropdown-Menü geöffnet. Dieses liegt über den darunterliegenden Erstellungsaktionen.</w:t>
      </w:r>
    </w:p>
    <w:p>
      <w:pPr>
        <w:pStyle w:val="Heading3"/>
      </w:pPr>
      <w:r>
        <w:t>Menü rechts oben</w:t>
      </w:r>
    </w:p>
    <w:p>
      <w:r>
        <w:t>Das Menü enthält Einträge mit kleinen Symbolen. Sichtbar sind Graphical View, SQL View, Entity-Relationship Model, Analytic Model, Data Flow, Replication Flow, Transformation Flow, Intelligent Lookup, Data Access Control, Currency Conversion Views, Unit Conversion Views und Task Chain. Die Einträge stehen einzeln untereinander.</w:t>
      </w:r>
    </w:p>
    <w:p>
      <w:pPr>
        <w:pStyle w:val="Heading3"/>
      </w:pPr>
      <w:r>
        <w:t>Hintergrund</w:t>
      </w:r>
    </w:p>
    <w:p>
      <w:r>
        <w:t>Hinter dem Menü sind die Begrüßungsüberschrift, die Kategorien All Files, Tables, Views, E/R Models, Flows, Task Chains, Data Access Controls, Analytic Models und Intelligent Lookups sowie die Reihe der Erstellungsaktionen sichtbar. Das Menü verdeckt einen Teil dieser Reihe, ohne die gesamte Seite zu überlagern.</w:t>
      </w:r>
    </w:p>
    <w:p>
      <w:pPr>
        <w:pStyle w:val="Heading3"/>
      </w:pPr>
      <w:r>
        <w:t>Unterer Bereich</w:t>
      </w:r>
    </w:p>
    <w:p>
      <w:r>
        <w:t>Die Objektliste bleibt im unteren Teil des Screenshots sichtbar. Sie enthält mehrere Ordnerzeilen, Datumsangaben und einen bereitgestellten View-Eintrag. Die globale Navigation steht links. Ein modaler Dialog ist nicht geöffnet; nur das Dropdown-Menü liegt über dem Seiteninhalt.</w:t>
      </w:r>
    </w:p>
    <w:p>
      <w:pPr>
        <w:pStyle w:val="Heading2"/>
      </w:pPr>
      <w:r>
        <w:t>2. Räumliche Beschreibung von oben nach unten</w:t>
      </w:r>
    </w:p>
    <w:p>
      <w:pPr>
        <w:pStyle w:val="Heading3"/>
      </w:pPr>
      <w:r>
        <w:t>Hintergrund</w:t>
      </w:r>
    </w:p>
    <w:p>
      <w:r>
        <w:rPr>
          <w:b/>
        </w:rPr>
        <w:t xml:space="preserve">Ungefähre Bildregion: </w:t>
      </w:r>
      <w:r>
        <w:t>x 16–98 %, y 11–100 %</w:t>
      </w:r>
    </w:p>
    <w:p>
      <w:r>
        <w:t>Die Begrüßung, Kategorien, Erstellungsaktionen und Objekttabelle bleiben sichtbar. Der rechte Teil der oberen Inhaltsfläche wird durch das geöffnete Menü überlagert.</w:t>
      </w:r>
    </w:p>
    <w:p>
      <w:pPr>
        <w:pStyle w:val="Heading3"/>
      </w:pPr>
      <w:r>
        <w:t>Geöffnetes Erstellungsmenü</w:t>
      </w:r>
    </w:p>
    <w:p>
      <w:r>
        <w:rPr>
          <w:b/>
        </w:rPr>
        <w:t xml:space="preserve">Ungefähre Bildregion: </w:t>
      </w:r>
      <w:r>
        <w:t>x 79–97 %, y 10–49 %</w:t>
      </w:r>
    </w:p>
    <w:p>
      <w:r>
        <w:t>Das schmale weiße Menü liegt oben rechts. Kleine Symbole stehen links vor den Einträgen. Die Einträge sind von oben nach unten gestapelt: Graphical View, SQL View, Entity-Relationship Model, Analytic Model, Data Flow, Replication Flow, Transformation Flow, Intelligent Lookup, Data Access Control, Currency Conversion Views, Unit Conversion Views und Task Chain. Der letzte Eintrag liegt knapp oberhalb der Tabellenwerkzeugleiste.</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Data Builder</w:t>
            </w:r>
          </w:p>
        </w:tc>
        <w:tc>
          <w:tcPr>
            <w:tcW w:type="dxa" w:w="3005"/>
          </w:tcPr>
          <w:p>
            <w:pPr>
              <w:spacing w:after="40"/>
            </w:pPr>
            <w:r>
              <w:rPr>
                <w:sz w:val="18"/>
              </w:rPr>
              <w:t>x 216–291</w:t>
              <w:br/>
              <w:t>y 56–66</w:t>
            </w:r>
          </w:p>
        </w:tc>
        <w:tc>
          <w:tcPr>
            <w:tcW w:type="dxa" w:w="3402"/>
          </w:tcPr>
          <w:p>
            <w:pPr>
              <w:spacing w:after="40"/>
            </w:pPr>
            <w:r>
              <w:rPr>
                <w:sz w:val="18"/>
              </w:rPr>
              <w:t>oben, links</w:t>
              <w:br/>
              <w:t>x 11.3–15.3 %</w:t>
              <w:br/>
              <w:t>y 6.1–7.2 %</w:t>
            </w:r>
          </w:p>
        </w:tc>
      </w:tr>
      <w:tr>
        <w:trPr>
          <w:cantSplit/>
        </w:trPr>
        <w:tc>
          <w:tcPr>
            <w:tcW w:type="dxa" w:w="3288"/>
          </w:tcPr>
          <w:p>
            <w:pPr>
              <w:spacing w:after="40"/>
            </w:pPr>
            <w:r>
              <w:rPr>
                <w:sz w:val="18"/>
              </w:rPr>
              <w:t>Local Table</w:t>
            </w:r>
          </w:p>
        </w:tc>
        <w:tc>
          <w:tcPr>
            <w:tcW w:type="dxa" w:w="3005"/>
          </w:tcPr>
          <w:p>
            <w:pPr>
              <w:spacing w:after="40"/>
            </w:pPr>
            <w:r>
              <w:rPr>
                <w:sz w:val="18"/>
              </w:rPr>
              <w:t>x 1342–1410</w:t>
              <w:br/>
              <w:t>y 77–87</w:t>
            </w:r>
          </w:p>
        </w:tc>
        <w:tc>
          <w:tcPr>
            <w:tcW w:type="dxa" w:w="3402"/>
          </w:tcPr>
          <w:p>
            <w:pPr>
              <w:spacing w:after="40"/>
            </w:pPr>
            <w:r>
              <w:rPr>
                <w:sz w:val="18"/>
              </w:rPr>
              <w:t>oben, rechts</w:t>
              <w:br/>
              <w:t>x 70.6–74.2 %</w:t>
              <w:br/>
              <w:t>y 8.4–9.5 %</w:t>
            </w:r>
          </w:p>
        </w:tc>
      </w:tr>
      <w:tr>
        <w:trPr>
          <w:cantSplit/>
        </w:trPr>
        <w:tc>
          <w:tcPr>
            <w:tcW w:type="dxa" w:w="3288"/>
          </w:tcPr>
          <w:p>
            <w:pPr>
              <w:spacing w:after="40"/>
            </w:pPr>
            <w:r>
              <w:rPr>
                <w:sz w:val="18"/>
              </w:rPr>
              <w:t>Home</w:t>
            </w:r>
          </w:p>
        </w:tc>
        <w:tc>
          <w:tcPr>
            <w:tcW w:type="dxa" w:w="3005"/>
          </w:tcPr>
          <w:p>
            <w:pPr>
              <w:spacing w:after="40"/>
            </w:pPr>
            <w:r>
              <w:rPr>
                <w:sz w:val="18"/>
              </w:rPr>
              <w:t>x 40–77</w:t>
              <w:br/>
              <w:t>y 106–116</w:t>
            </w:r>
          </w:p>
        </w:tc>
        <w:tc>
          <w:tcPr>
            <w:tcW w:type="dxa" w:w="3402"/>
          </w:tcPr>
          <w:p>
            <w:pPr>
              <w:spacing w:after="40"/>
            </w:pPr>
            <w:r>
              <w:rPr>
                <w:sz w:val="18"/>
              </w:rPr>
              <w:t>oben, links</w:t>
              <w:br/>
              <w:t>x 2.1–4.1 %</w:t>
              <w:br/>
              <w:t>y 11.6–12.7 %</w:t>
            </w:r>
          </w:p>
        </w:tc>
      </w:tr>
      <w:tr>
        <w:trPr>
          <w:cantSplit/>
        </w:trPr>
        <w:tc>
          <w:tcPr>
            <w:tcW w:type="dxa" w:w="3288"/>
          </w:tcPr>
          <w:p>
            <w:pPr>
              <w:spacing w:after="40"/>
            </w:pPr>
            <w:r>
              <w:rPr>
                <w:sz w:val="18"/>
              </w:rPr>
              <w:t>Graphical View</w:t>
            </w:r>
          </w:p>
        </w:tc>
        <w:tc>
          <w:tcPr>
            <w:tcW w:type="dxa" w:w="3005"/>
          </w:tcPr>
          <w:p>
            <w:pPr>
              <w:spacing w:after="40"/>
            </w:pPr>
            <w:r>
              <w:rPr>
                <w:sz w:val="18"/>
              </w:rPr>
              <w:t>x 1341–1433</w:t>
              <w:br/>
              <w:t>y 110–123</w:t>
            </w:r>
          </w:p>
        </w:tc>
        <w:tc>
          <w:tcPr>
            <w:tcW w:type="dxa" w:w="3402"/>
          </w:tcPr>
          <w:p>
            <w:pPr>
              <w:spacing w:after="40"/>
            </w:pPr>
            <w:r>
              <w:rPr>
                <w:sz w:val="18"/>
              </w:rPr>
              <w:t>oben, rechts</w:t>
              <w:br/>
              <w:t>x 70.6–75.4 %</w:t>
              <w:br/>
              <w:t>y 12.0–13.4 %</w:t>
            </w:r>
          </w:p>
        </w:tc>
      </w:tr>
      <w:tr>
        <w:trPr>
          <w:cantSplit/>
        </w:trPr>
        <w:tc>
          <w:tcPr>
            <w:tcW w:type="dxa" w:w="3288"/>
          </w:tcPr>
          <w:p>
            <w:pPr>
              <w:spacing w:after="40"/>
            </w:pPr>
            <w:r>
              <w:rPr>
                <w:sz w:val="18"/>
              </w:rPr>
              <w:t>Repository Explorer</w:t>
            </w:r>
          </w:p>
        </w:tc>
        <w:tc>
          <w:tcPr>
            <w:tcW w:type="dxa" w:w="3005"/>
          </w:tcPr>
          <w:p>
            <w:pPr>
              <w:spacing w:after="40"/>
            </w:pPr>
            <w:r>
              <w:rPr>
                <w:sz w:val="18"/>
              </w:rPr>
              <w:t>x 40–162</w:t>
              <w:br/>
              <w:t>y 142–155</w:t>
            </w:r>
          </w:p>
        </w:tc>
        <w:tc>
          <w:tcPr>
            <w:tcW w:type="dxa" w:w="3402"/>
          </w:tcPr>
          <w:p>
            <w:pPr>
              <w:spacing w:after="40"/>
            </w:pPr>
            <w:r>
              <w:rPr>
                <w:sz w:val="18"/>
              </w:rPr>
              <w:t>oben, links</w:t>
              <w:br/>
              <w:t>x 2.1–8.5 %</w:t>
              <w:br/>
              <w:t>y 15.5–16.9 %</w:t>
            </w:r>
          </w:p>
        </w:tc>
      </w:tr>
      <w:tr>
        <w:trPr>
          <w:cantSplit/>
        </w:trPr>
        <w:tc>
          <w:tcPr>
            <w:tcW w:type="dxa" w:w="3288"/>
          </w:tcPr>
          <w:p>
            <w:pPr>
              <w:spacing w:after="40"/>
            </w:pPr>
            <w:r>
              <w:rPr>
                <w:sz w:val="18"/>
              </w:rPr>
              <w:t>Welcome to the Data Builder</w:t>
            </w:r>
          </w:p>
        </w:tc>
        <w:tc>
          <w:tcPr>
            <w:tcW w:type="dxa" w:w="3005"/>
          </w:tcPr>
          <w:p>
            <w:pPr>
              <w:spacing w:after="40"/>
            </w:pPr>
            <w:r>
              <w:rPr>
                <w:sz w:val="18"/>
              </w:rPr>
              <w:t>x 296–637</w:t>
              <w:br/>
              <w:t>y 145–164</w:t>
            </w:r>
          </w:p>
        </w:tc>
        <w:tc>
          <w:tcPr>
            <w:tcW w:type="dxa" w:w="3402"/>
          </w:tcPr>
          <w:p>
            <w:pPr>
              <w:spacing w:after="40"/>
            </w:pPr>
            <w:r>
              <w:rPr>
                <w:sz w:val="18"/>
              </w:rPr>
              <w:t>oben, links</w:t>
              <w:br/>
              <w:t>x 15.6–33.5 %</w:t>
              <w:br/>
              <w:t>y 15.8–17.9 %</w:t>
            </w:r>
          </w:p>
        </w:tc>
      </w:tr>
      <w:tr>
        <w:trPr>
          <w:cantSplit/>
        </w:trPr>
        <w:tc>
          <w:tcPr>
            <w:tcW w:type="dxa" w:w="3288"/>
          </w:tcPr>
          <w:p>
            <w:pPr>
              <w:spacing w:after="40"/>
            </w:pPr>
            <w:r>
              <w:rPr>
                <w:sz w:val="18"/>
              </w:rPr>
              <w:t>SQL View</w:t>
            </w:r>
          </w:p>
        </w:tc>
        <w:tc>
          <w:tcPr>
            <w:tcW w:type="dxa" w:w="3005"/>
          </w:tcPr>
          <w:p>
            <w:pPr>
              <w:spacing w:after="40"/>
            </w:pPr>
            <w:r>
              <w:rPr>
                <w:sz w:val="18"/>
              </w:rPr>
              <w:t>x 1342–1400</w:t>
              <w:br/>
              <w:t>y 143–154</w:t>
            </w:r>
          </w:p>
        </w:tc>
        <w:tc>
          <w:tcPr>
            <w:tcW w:type="dxa" w:w="3402"/>
          </w:tcPr>
          <w:p>
            <w:pPr>
              <w:spacing w:after="40"/>
            </w:pPr>
            <w:r>
              <w:rPr>
                <w:sz w:val="18"/>
              </w:rPr>
              <w:t>oben, rechts</w:t>
              <w:br/>
              <w:t>x 70.6–73.7 %</w:t>
              <w:br/>
              <w:t>y 15.6–16.8 %</w:t>
            </w:r>
          </w:p>
        </w:tc>
      </w:tr>
      <w:tr>
        <w:trPr>
          <w:cantSplit/>
        </w:trPr>
        <w:tc>
          <w:tcPr>
            <w:tcW w:type="dxa" w:w="3288"/>
          </w:tcPr>
          <w:p>
            <w:pPr>
              <w:spacing w:after="40"/>
            </w:pPr>
            <w:r>
              <w:rPr>
                <w:sz w:val="18"/>
              </w:rPr>
              <w:t>Monitoring</w:t>
            </w:r>
          </w:p>
        </w:tc>
        <w:tc>
          <w:tcPr>
            <w:tcW w:type="dxa" w:w="3005"/>
          </w:tcPr>
          <w:p>
            <w:pPr>
              <w:spacing w:after="40"/>
            </w:pPr>
            <w:r>
              <w:rPr>
                <w:sz w:val="18"/>
              </w:rPr>
              <w:t>x 40–106</w:t>
              <w:br/>
              <w:t>y 178–191</w:t>
            </w:r>
          </w:p>
        </w:tc>
        <w:tc>
          <w:tcPr>
            <w:tcW w:type="dxa" w:w="3402"/>
          </w:tcPr>
          <w:p>
            <w:pPr>
              <w:spacing w:after="40"/>
            </w:pPr>
            <w:r>
              <w:rPr>
                <w:sz w:val="18"/>
              </w:rPr>
              <w:t>oben, links</w:t>
              <w:br/>
              <w:t>x 2.1–5.6 %</w:t>
              <w:br/>
              <w:t>y 19.5–20.9 %</w:t>
            </w:r>
          </w:p>
        </w:tc>
      </w:tr>
      <w:tr>
        <w:trPr>
          <w:cantSplit/>
        </w:trPr>
        <w:tc>
          <w:tcPr>
            <w:tcW w:type="dxa" w:w="3288"/>
          </w:tcPr>
          <w:p>
            <w:pPr>
              <w:spacing w:after="40"/>
            </w:pPr>
            <w:r>
              <w:rPr>
                <w:sz w:val="18"/>
              </w:rPr>
              <w:t>Entity</w:t>
            </w:r>
          </w:p>
        </w:tc>
        <w:tc>
          <w:tcPr>
            <w:tcW w:type="dxa" w:w="3005"/>
          </w:tcPr>
          <w:p>
            <w:pPr>
              <w:spacing w:after="40"/>
            </w:pPr>
            <w:r>
              <w:rPr>
                <w:sz w:val="18"/>
              </w:rPr>
              <w:t>x 1342–1376</w:t>
              <w:br/>
              <w:t>y 176–189</w:t>
            </w:r>
          </w:p>
        </w:tc>
        <w:tc>
          <w:tcPr>
            <w:tcW w:type="dxa" w:w="3402"/>
          </w:tcPr>
          <w:p>
            <w:pPr>
              <w:spacing w:after="40"/>
            </w:pPr>
            <w:r>
              <w:rPr>
                <w:sz w:val="18"/>
              </w:rPr>
              <w:t>oben, rechts</w:t>
              <w:br/>
              <w:t>x 70.6–72.4 %</w:t>
              <w:br/>
              <w:t>y 19.2–20.7 %</w:t>
            </w:r>
          </w:p>
        </w:tc>
      </w:tr>
      <w:tr>
        <w:trPr>
          <w:cantSplit/>
        </w:trPr>
        <w:tc>
          <w:tcPr>
            <w:tcW w:type="dxa" w:w="3288"/>
          </w:tcPr>
          <w:p>
            <w:pPr>
              <w:spacing w:after="40"/>
            </w:pPr>
            <w:r>
              <w:rPr>
                <w:sz w:val="18"/>
              </w:rPr>
              <w:t>Relationship Model</w:t>
            </w:r>
          </w:p>
        </w:tc>
        <w:tc>
          <w:tcPr>
            <w:tcW w:type="dxa" w:w="3005"/>
          </w:tcPr>
          <w:p>
            <w:pPr>
              <w:spacing w:after="40"/>
            </w:pPr>
            <w:r>
              <w:rPr>
                <w:sz w:val="18"/>
              </w:rPr>
              <w:t>x 1389–1506</w:t>
              <w:br/>
              <w:t>y 176–189</w:t>
            </w:r>
          </w:p>
        </w:tc>
        <w:tc>
          <w:tcPr>
            <w:tcW w:type="dxa" w:w="3402"/>
          </w:tcPr>
          <w:p>
            <w:pPr>
              <w:spacing w:after="40"/>
            </w:pPr>
            <w:r>
              <w:rPr>
                <w:sz w:val="18"/>
              </w:rPr>
              <w:t>oben, rechts</w:t>
              <w:br/>
              <w:t>x 73.1–79.3 %</w:t>
              <w:br/>
              <w:t>y 19.2–20.7 %</w:t>
            </w:r>
          </w:p>
        </w:tc>
      </w:tr>
      <w:tr>
        <w:trPr>
          <w:cantSplit/>
        </w:trPr>
        <w:tc>
          <w:tcPr>
            <w:tcW w:type="dxa" w:w="3288"/>
          </w:tcPr>
          <w:p>
            <w:pPr>
              <w:spacing w:after="40"/>
            </w:pPr>
            <w:r>
              <w:rPr>
                <w:sz w:val="18"/>
              </w:rPr>
              <w:t>tables,</w:t>
            </w:r>
          </w:p>
        </w:tc>
        <w:tc>
          <w:tcPr>
            <w:tcW w:type="dxa" w:w="3005"/>
          </w:tcPr>
          <w:p>
            <w:pPr>
              <w:spacing w:after="40"/>
            </w:pPr>
            <w:r>
              <w:rPr>
                <w:sz w:val="18"/>
              </w:rPr>
              <w:t>x 388–429</w:t>
              <w:br/>
              <w:t>y 186–198</w:t>
            </w:r>
          </w:p>
        </w:tc>
        <w:tc>
          <w:tcPr>
            <w:tcW w:type="dxa" w:w="3402"/>
          </w:tcPr>
          <w:p>
            <w:pPr>
              <w:spacing w:after="40"/>
            </w:pPr>
            <w:r>
              <w:rPr>
                <w:sz w:val="18"/>
              </w:rPr>
              <w:t>oben, links</w:t>
              <w:br/>
              <w:t>x 20.4–22.6 %</w:t>
              <w:br/>
              <w:t>y 20.3–21.6 %</w:t>
            </w:r>
          </w:p>
        </w:tc>
      </w:tr>
      <w:tr>
        <w:trPr>
          <w:cantSplit/>
        </w:trPr>
        <w:tc>
          <w:tcPr>
            <w:tcW w:type="dxa" w:w="3288"/>
          </w:tcPr>
          <w:p>
            <w:pPr>
              <w:spacing w:after="40"/>
            </w:pPr>
            <w:r>
              <w:rPr>
                <w:sz w:val="18"/>
              </w:rPr>
              <w:t>views,</w:t>
            </w:r>
          </w:p>
        </w:tc>
        <w:tc>
          <w:tcPr>
            <w:tcW w:type="dxa" w:w="3005"/>
          </w:tcPr>
          <w:p>
            <w:pPr>
              <w:spacing w:after="40"/>
            </w:pPr>
            <w:r>
              <w:rPr>
                <w:sz w:val="18"/>
              </w:rPr>
              <w:t>x 581–618</w:t>
              <w:br/>
              <w:t>y 186–198</w:t>
            </w:r>
          </w:p>
        </w:tc>
        <w:tc>
          <w:tcPr>
            <w:tcW w:type="dxa" w:w="3402"/>
          </w:tcPr>
          <w:p>
            <w:pPr>
              <w:spacing w:after="40"/>
            </w:pPr>
            <w:r>
              <w:rPr>
                <w:sz w:val="18"/>
              </w:rPr>
              <w:t>oben, links</w:t>
              <w:br/>
              <w:t>x 30.6–32.5 %</w:t>
              <w:br/>
              <w:t>y 20.4–21.6 %</w:t>
            </w:r>
          </w:p>
        </w:tc>
      </w:tr>
      <w:tr>
        <w:trPr>
          <w:cantSplit/>
        </w:trPr>
        <w:tc>
          <w:tcPr>
            <w:tcW w:type="dxa" w:w="3288"/>
          </w:tcPr>
          <w:p>
            <w:pPr>
              <w:spacing w:after="40"/>
            </w:pPr>
            <w:r>
              <w:rPr>
                <w:sz w:val="18"/>
              </w:rPr>
              <w:t>analytic models</w:t>
            </w:r>
          </w:p>
        </w:tc>
        <w:tc>
          <w:tcPr>
            <w:tcW w:type="dxa" w:w="3005"/>
          </w:tcPr>
          <w:p>
            <w:pPr>
              <w:spacing w:after="40"/>
            </w:pPr>
            <w:r>
              <w:rPr>
                <w:sz w:val="18"/>
              </w:rPr>
              <w:t>x 828–923</w:t>
              <w:br/>
              <w:t>y 186–199</w:t>
            </w:r>
          </w:p>
        </w:tc>
        <w:tc>
          <w:tcPr>
            <w:tcW w:type="dxa" w:w="3402"/>
          </w:tcPr>
          <w:p>
            <w:pPr>
              <w:spacing w:after="40"/>
            </w:pPr>
            <w:r>
              <w:rPr>
                <w:sz w:val="18"/>
              </w:rPr>
              <w:t>oben, mittig</w:t>
              <w:br/>
              <w:t>x 43.6–48.6 %</w:t>
              <w:br/>
              <w:t>y 20.3–21.7 %</w:t>
            </w:r>
          </w:p>
        </w:tc>
      </w:tr>
      <w:tr>
        <w:trPr>
          <w:cantSplit/>
        </w:trPr>
        <w:tc>
          <w:tcPr>
            <w:tcW w:type="dxa" w:w="3288"/>
          </w:tcPr>
          <w:p>
            <w:pPr>
              <w:spacing w:after="40"/>
            </w:pPr>
            <w:r>
              <w:rPr>
                <w:sz w:val="18"/>
              </w:rPr>
              <w:t>Analytic Model</w:t>
            </w:r>
          </w:p>
        </w:tc>
        <w:tc>
          <w:tcPr>
            <w:tcW w:type="dxa" w:w="3005"/>
          </w:tcPr>
          <w:p>
            <w:pPr>
              <w:spacing w:after="40"/>
            </w:pPr>
            <w:r>
              <w:rPr>
                <w:sz w:val="18"/>
              </w:rPr>
              <w:t>x 1341–1432</w:t>
              <w:br/>
              <w:t>y 209–222</w:t>
            </w:r>
          </w:p>
        </w:tc>
        <w:tc>
          <w:tcPr>
            <w:tcW w:type="dxa" w:w="3402"/>
          </w:tcPr>
          <w:p>
            <w:pPr>
              <w:spacing w:after="40"/>
            </w:pPr>
            <w:r>
              <w:rPr>
                <w:sz w:val="18"/>
              </w:rPr>
              <w:t>oben, rechts</w:t>
              <w:br/>
              <w:t>x 70.6–75.4 %</w:t>
              <w:br/>
              <w:t>y 22.8–24.3 %</w:t>
            </w:r>
          </w:p>
        </w:tc>
      </w:tr>
      <w:tr>
        <w:trPr>
          <w:cantSplit/>
        </w:trPr>
        <w:tc>
          <w:tcPr>
            <w:tcW w:type="dxa" w:w="3288"/>
          </w:tcPr>
          <w:p>
            <w:pPr>
              <w:spacing w:after="40"/>
            </w:pPr>
            <w:r>
              <w:rPr>
                <w:sz w:val="18"/>
              </w:rPr>
              <w:t>Catalog &amp; Marketplace</w:t>
            </w:r>
          </w:p>
        </w:tc>
        <w:tc>
          <w:tcPr>
            <w:tcW w:type="dxa" w:w="3005"/>
          </w:tcPr>
          <w:p>
            <w:pPr>
              <w:spacing w:after="40"/>
            </w:pPr>
            <w:r>
              <w:rPr>
                <w:sz w:val="18"/>
              </w:rPr>
              <w:t>x 40–181</w:t>
              <w:br/>
              <w:t>y 214–227</w:t>
            </w:r>
          </w:p>
        </w:tc>
        <w:tc>
          <w:tcPr>
            <w:tcW w:type="dxa" w:w="3402"/>
          </w:tcPr>
          <w:p>
            <w:pPr>
              <w:spacing w:after="40"/>
            </w:pPr>
            <w:r>
              <w:rPr>
                <w:sz w:val="18"/>
              </w:rPr>
              <w:t>oben, links</w:t>
              <w:br/>
              <w:t>x 2.1–9.5 %</w:t>
              <w:br/>
              <w:t>y 23.4–24.8 %</w:t>
            </w:r>
          </w:p>
        </w:tc>
      </w:tr>
      <w:tr>
        <w:trPr>
          <w:cantSplit/>
        </w:trPr>
        <w:tc>
          <w:tcPr>
            <w:tcW w:type="dxa" w:w="3288"/>
          </w:tcPr>
          <w:p>
            <w:pPr>
              <w:spacing w:after="40"/>
            </w:pPr>
            <w:r>
              <w:rPr>
                <w:sz w:val="18"/>
              </w:rPr>
              <w:t>Data Flow</w:t>
            </w:r>
          </w:p>
        </w:tc>
        <w:tc>
          <w:tcPr>
            <w:tcW w:type="dxa" w:w="3005"/>
          </w:tcPr>
          <w:p>
            <w:pPr>
              <w:spacing w:after="40"/>
            </w:pPr>
            <w:r>
              <w:rPr>
                <w:sz w:val="18"/>
              </w:rPr>
              <w:t>x 1342–1403</w:t>
              <w:br/>
              <w:t>y 242–252</w:t>
            </w:r>
          </w:p>
        </w:tc>
        <w:tc>
          <w:tcPr>
            <w:tcW w:type="dxa" w:w="3402"/>
          </w:tcPr>
          <w:p>
            <w:pPr>
              <w:spacing w:after="40"/>
            </w:pPr>
            <w:r>
              <w:rPr>
                <w:sz w:val="18"/>
              </w:rPr>
              <w:t>oben, rechts</w:t>
              <w:br/>
              <w:t>x 70.6–73.8 %</w:t>
              <w:br/>
              <w:t>y 26.4–27.5 %</w:t>
            </w:r>
          </w:p>
        </w:tc>
      </w:tr>
      <w:tr>
        <w:trPr>
          <w:cantSplit/>
        </w:trPr>
        <w:tc>
          <w:tcPr>
            <w:tcW w:type="dxa" w:w="3288"/>
          </w:tcPr>
          <w:p>
            <w:pPr>
              <w:spacing w:after="40"/>
            </w:pPr>
            <w:r>
              <w:rPr>
                <w:sz w:val="18"/>
              </w:rPr>
              <w:t>Apps</w:t>
            </w:r>
          </w:p>
        </w:tc>
        <w:tc>
          <w:tcPr>
            <w:tcW w:type="dxa" w:w="3005"/>
          </w:tcPr>
          <w:p>
            <w:pPr>
              <w:spacing w:after="40"/>
            </w:pPr>
            <w:r>
              <w:rPr>
                <w:sz w:val="18"/>
              </w:rPr>
              <w:t>x 16–47</w:t>
              <w:br/>
              <w:t>y 260–273</w:t>
            </w:r>
          </w:p>
        </w:tc>
        <w:tc>
          <w:tcPr>
            <w:tcW w:type="dxa" w:w="3402"/>
          </w:tcPr>
          <w:p>
            <w:pPr>
              <w:spacing w:after="40"/>
            </w:pPr>
            <w:r>
              <w:rPr>
                <w:sz w:val="18"/>
              </w:rPr>
              <w:t>oben, links</w:t>
              <w:br/>
              <w:t>x 0.8–2.5 %</w:t>
              <w:br/>
              <w:t>y 28.4–29.8 %</w:t>
            </w:r>
          </w:p>
        </w:tc>
      </w:tr>
      <w:tr>
        <w:trPr>
          <w:cantSplit/>
        </w:trPr>
        <w:tc>
          <w:tcPr>
            <w:tcW w:type="dxa" w:w="3288"/>
          </w:tcPr>
          <w:p>
            <w:pPr>
              <w:spacing w:after="40"/>
            </w:pPr>
            <w:r>
              <w:rPr>
                <w:sz w:val="18"/>
              </w:rPr>
              <w:t>All Files</w:t>
            </w:r>
          </w:p>
        </w:tc>
        <w:tc>
          <w:tcPr>
            <w:tcW w:type="dxa" w:w="3005"/>
          </w:tcPr>
          <w:p>
            <w:pPr>
              <w:spacing w:after="40"/>
            </w:pPr>
            <w:r>
              <w:rPr>
                <w:sz w:val="18"/>
              </w:rPr>
              <w:t>x 284–336</w:t>
              <w:br/>
              <w:t>y 264–274</w:t>
            </w:r>
          </w:p>
        </w:tc>
        <w:tc>
          <w:tcPr>
            <w:tcW w:type="dxa" w:w="3402"/>
          </w:tcPr>
          <w:p>
            <w:pPr>
              <w:spacing w:after="40"/>
            </w:pPr>
            <w:r>
              <w:rPr>
                <w:sz w:val="18"/>
              </w:rPr>
              <w:t>oben, links</w:t>
              <w:br/>
              <w:t>x 14.9–17.7 %</w:t>
              <w:br/>
              <w:t>y 28.9–29.9 %</w:t>
            </w:r>
          </w:p>
        </w:tc>
      </w:tr>
      <w:tr>
        <w:trPr>
          <w:cantSplit/>
        </w:trPr>
        <w:tc>
          <w:tcPr>
            <w:tcW w:type="dxa" w:w="3288"/>
          </w:tcPr>
          <w:p>
            <w:pPr>
              <w:spacing w:after="40"/>
            </w:pPr>
            <w:r>
              <w:rPr>
                <w:sz w:val="18"/>
              </w:rPr>
              <w:t>Tables</w:t>
            </w:r>
          </w:p>
        </w:tc>
        <w:tc>
          <w:tcPr>
            <w:tcW w:type="dxa" w:w="3005"/>
          </w:tcPr>
          <w:p>
            <w:pPr>
              <w:spacing w:after="40"/>
            </w:pPr>
            <w:r>
              <w:rPr>
                <w:sz w:val="18"/>
              </w:rPr>
              <w:t>x 368–410</w:t>
              <w:br/>
              <w:t>y 264–274</w:t>
            </w:r>
          </w:p>
        </w:tc>
        <w:tc>
          <w:tcPr>
            <w:tcW w:type="dxa" w:w="3402"/>
          </w:tcPr>
          <w:p>
            <w:pPr>
              <w:spacing w:after="40"/>
            </w:pPr>
            <w:r>
              <w:rPr>
                <w:sz w:val="18"/>
              </w:rPr>
              <w:t>oben, links</w:t>
              <w:br/>
              <w:t>x 19.4–21.6 %</w:t>
              <w:br/>
              <w:t>y 28.9–29.9 %</w:t>
            </w:r>
          </w:p>
        </w:tc>
      </w:tr>
      <w:tr>
        <w:trPr>
          <w:cantSplit/>
        </w:trPr>
        <w:tc>
          <w:tcPr>
            <w:tcW w:type="dxa" w:w="3288"/>
          </w:tcPr>
          <w:p>
            <w:pPr>
              <w:spacing w:after="40"/>
            </w:pPr>
            <w:r>
              <w:rPr>
                <w:sz w:val="18"/>
              </w:rPr>
              <w:t>Views</w:t>
            </w:r>
          </w:p>
        </w:tc>
        <w:tc>
          <w:tcPr>
            <w:tcW w:type="dxa" w:w="3005"/>
          </w:tcPr>
          <w:p>
            <w:pPr>
              <w:spacing w:after="40"/>
            </w:pPr>
            <w:r>
              <w:rPr>
                <w:sz w:val="18"/>
              </w:rPr>
              <w:t>x 442–480</w:t>
              <w:br/>
              <w:t>y 264–274</w:t>
            </w:r>
          </w:p>
        </w:tc>
        <w:tc>
          <w:tcPr>
            <w:tcW w:type="dxa" w:w="3402"/>
          </w:tcPr>
          <w:p>
            <w:pPr>
              <w:spacing w:after="40"/>
            </w:pPr>
            <w:r>
              <w:rPr>
                <w:sz w:val="18"/>
              </w:rPr>
              <w:t>oben, links</w:t>
              <w:br/>
              <w:t>x 23.3–25.3 %</w:t>
              <w:br/>
              <w:t>y 28.9–29.9 %</w:t>
            </w:r>
          </w:p>
        </w:tc>
      </w:tr>
      <w:tr>
        <w:trPr>
          <w:cantSplit/>
        </w:trPr>
        <w:tc>
          <w:tcPr>
            <w:tcW w:type="dxa" w:w="3288"/>
          </w:tcPr>
          <w:p>
            <w:pPr>
              <w:spacing w:after="40"/>
            </w:pPr>
            <w:r>
              <w:rPr>
                <w:sz w:val="18"/>
              </w:rPr>
              <w:t>E/R Models</w:t>
            </w:r>
          </w:p>
        </w:tc>
        <w:tc>
          <w:tcPr>
            <w:tcW w:type="dxa" w:w="3005"/>
          </w:tcPr>
          <w:p>
            <w:pPr>
              <w:spacing w:after="40"/>
            </w:pPr>
            <w:r>
              <w:rPr>
                <w:sz w:val="18"/>
              </w:rPr>
              <w:t>x 514–587</w:t>
              <w:br/>
              <w:t>y 264–274</w:t>
            </w:r>
          </w:p>
        </w:tc>
        <w:tc>
          <w:tcPr>
            <w:tcW w:type="dxa" w:w="3402"/>
          </w:tcPr>
          <w:p>
            <w:pPr>
              <w:spacing w:after="40"/>
            </w:pPr>
            <w:r>
              <w:rPr>
                <w:sz w:val="18"/>
              </w:rPr>
              <w:t>oben, links</w:t>
              <w:br/>
              <w:t>x 27.0–30.9 %</w:t>
              <w:br/>
              <w:t>y 28.9–29.9 %</w:t>
            </w:r>
          </w:p>
        </w:tc>
      </w:tr>
      <w:tr>
        <w:trPr>
          <w:cantSplit/>
        </w:trPr>
        <w:tc>
          <w:tcPr>
            <w:tcW w:type="dxa" w:w="3288"/>
          </w:tcPr>
          <w:p>
            <w:pPr>
              <w:spacing w:after="40"/>
            </w:pPr>
            <w:r>
              <w:rPr>
                <w:sz w:val="18"/>
              </w:rPr>
              <w:t>Analytic Models</w:t>
            </w:r>
          </w:p>
        </w:tc>
        <w:tc>
          <w:tcPr>
            <w:tcW w:type="dxa" w:w="3005"/>
          </w:tcPr>
          <w:p>
            <w:pPr>
              <w:spacing w:after="40"/>
            </w:pPr>
            <w:r>
              <w:rPr>
                <w:sz w:val="18"/>
              </w:rPr>
              <w:t>x 620–725</w:t>
              <w:br/>
              <w:t>y 264–277</w:t>
            </w:r>
          </w:p>
        </w:tc>
        <w:tc>
          <w:tcPr>
            <w:tcW w:type="dxa" w:w="3402"/>
          </w:tcPr>
          <w:p>
            <w:pPr>
              <w:spacing w:after="40"/>
            </w:pPr>
            <w:r>
              <w:rPr>
                <w:sz w:val="18"/>
              </w:rPr>
              <w:t>oben, mittig</w:t>
              <w:br/>
              <w:t>x 32.6–38.2 %</w:t>
              <w:br/>
              <w:t>y 28.9–30.3 %</w:t>
            </w:r>
          </w:p>
        </w:tc>
      </w:tr>
      <w:tr>
        <w:trPr>
          <w:cantSplit/>
        </w:trPr>
        <w:tc>
          <w:tcPr>
            <w:tcW w:type="dxa" w:w="3288"/>
          </w:tcPr>
          <w:p>
            <w:pPr>
              <w:spacing w:after="40"/>
            </w:pPr>
            <w:r>
              <w:rPr>
                <w:sz w:val="18"/>
              </w:rPr>
              <w:t>Flows</w:t>
            </w:r>
          </w:p>
        </w:tc>
        <w:tc>
          <w:tcPr>
            <w:tcW w:type="dxa" w:w="3005"/>
          </w:tcPr>
          <w:p>
            <w:pPr>
              <w:spacing w:after="40"/>
            </w:pPr>
            <w:r>
              <w:rPr>
                <w:sz w:val="18"/>
              </w:rPr>
              <w:t>x 758–796</w:t>
              <w:br/>
              <w:t>y 264–274</w:t>
            </w:r>
          </w:p>
        </w:tc>
        <w:tc>
          <w:tcPr>
            <w:tcW w:type="dxa" w:w="3402"/>
          </w:tcPr>
          <w:p>
            <w:pPr>
              <w:spacing w:after="40"/>
            </w:pPr>
            <w:r>
              <w:rPr>
                <w:sz w:val="18"/>
              </w:rPr>
              <w:t>oben, mittig</w:t>
              <w:br/>
              <w:t>x 39.9–41.9 %</w:t>
              <w:br/>
              <w:t>y 28.9–29.9 %</w:t>
            </w:r>
          </w:p>
        </w:tc>
      </w:tr>
      <w:tr>
        <w:trPr>
          <w:cantSplit/>
        </w:trPr>
        <w:tc>
          <w:tcPr>
            <w:tcW w:type="dxa" w:w="3288"/>
          </w:tcPr>
          <w:p>
            <w:pPr>
              <w:spacing w:after="40"/>
            </w:pPr>
            <w:r>
              <w:rPr>
                <w:sz w:val="18"/>
              </w:rPr>
              <w:t>Intelligent Lookups</w:t>
            </w:r>
          </w:p>
        </w:tc>
        <w:tc>
          <w:tcPr>
            <w:tcW w:type="dxa" w:w="3005"/>
          </w:tcPr>
          <w:p>
            <w:pPr>
              <w:spacing w:after="40"/>
            </w:pPr>
            <w:r>
              <w:rPr>
                <w:sz w:val="18"/>
              </w:rPr>
              <w:t>x 828–954</w:t>
              <w:br/>
              <w:t>y 264–277</w:t>
            </w:r>
          </w:p>
        </w:tc>
        <w:tc>
          <w:tcPr>
            <w:tcW w:type="dxa" w:w="3402"/>
          </w:tcPr>
          <w:p>
            <w:pPr>
              <w:spacing w:after="40"/>
            </w:pPr>
            <w:r>
              <w:rPr>
                <w:sz w:val="18"/>
              </w:rPr>
              <w:t>oben, mittig</w:t>
              <w:br/>
              <w:t>x 43.6–50.2 %</w:t>
              <w:br/>
              <w:t>y 28.9–30.3 %</w:t>
            </w:r>
          </w:p>
        </w:tc>
      </w:tr>
      <w:tr>
        <w:trPr>
          <w:cantSplit/>
        </w:trPr>
        <w:tc>
          <w:tcPr>
            <w:tcW w:type="dxa" w:w="3288"/>
          </w:tcPr>
          <w:p>
            <w:pPr>
              <w:spacing w:after="40"/>
            </w:pPr>
            <w:r>
              <w:rPr>
                <w:sz w:val="18"/>
              </w:rPr>
              <w:t>Task Chains</w:t>
            </w:r>
          </w:p>
        </w:tc>
        <w:tc>
          <w:tcPr>
            <w:tcW w:type="dxa" w:w="3005"/>
          </w:tcPr>
          <w:p>
            <w:pPr>
              <w:spacing w:after="40"/>
            </w:pPr>
            <w:r>
              <w:rPr>
                <w:sz w:val="18"/>
              </w:rPr>
              <w:t>x 987–1066</w:t>
              <w:br/>
              <w:t>y 264–274</w:t>
            </w:r>
          </w:p>
        </w:tc>
        <w:tc>
          <w:tcPr>
            <w:tcW w:type="dxa" w:w="3402"/>
          </w:tcPr>
          <w:p>
            <w:pPr>
              <w:spacing w:after="40"/>
            </w:pPr>
            <w:r>
              <w:rPr>
                <w:sz w:val="18"/>
              </w:rPr>
              <w:t>oben, mittig</w:t>
              <w:br/>
              <w:t>x 51.9–56.1 %</w:t>
              <w:br/>
              <w:t>y 28.9–29.9 %</w:t>
            </w:r>
          </w:p>
        </w:tc>
      </w:tr>
      <w:tr>
        <w:trPr>
          <w:cantSplit/>
        </w:trPr>
        <w:tc>
          <w:tcPr>
            <w:tcW w:type="dxa" w:w="3288"/>
          </w:tcPr>
          <w:p>
            <w:pPr>
              <w:spacing w:after="40"/>
            </w:pPr>
            <w:r>
              <w:rPr>
                <w:sz w:val="18"/>
              </w:rPr>
              <w:t>Data Access Controls</w:t>
            </w:r>
          </w:p>
        </w:tc>
        <w:tc>
          <w:tcPr>
            <w:tcW w:type="dxa" w:w="3005"/>
          </w:tcPr>
          <w:p>
            <w:pPr>
              <w:spacing w:after="40"/>
            </w:pPr>
            <w:r>
              <w:rPr>
                <w:sz w:val="18"/>
              </w:rPr>
              <w:t>x 1099–1238</w:t>
              <w:br/>
              <w:t>y 264–274</w:t>
            </w:r>
          </w:p>
        </w:tc>
        <w:tc>
          <w:tcPr>
            <w:tcW w:type="dxa" w:w="3402"/>
          </w:tcPr>
          <w:p>
            <w:pPr>
              <w:spacing w:after="40"/>
            </w:pPr>
            <w:r>
              <w:rPr>
                <w:sz w:val="18"/>
              </w:rPr>
              <w:t>oben, mittig</w:t>
              <w:br/>
              <w:t>x 57.8–65.2 %</w:t>
              <w:br/>
              <w:t>y 28.9–29.9 %</w:t>
            </w:r>
          </w:p>
        </w:tc>
      </w:tr>
      <w:tr>
        <w:trPr>
          <w:cantSplit/>
        </w:trPr>
        <w:tc>
          <w:tcPr>
            <w:tcW w:type="dxa" w:w="3288"/>
          </w:tcPr>
          <w:p>
            <w:pPr>
              <w:spacing w:after="40"/>
            </w:pPr>
            <w:r>
              <w:rPr>
                <w:sz w:val="18"/>
              </w:rPr>
              <w:t>Replication Flow</w:t>
            </w:r>
          </w:p>
        </w:tc>
        <w:tc>
          <w:tcPr>
            <w:tcW w:type="dxa" w:w="3005"/>
          </w:tcPr>
          <w:p>
            <w:pPr>
              <w:spacing w:after="40"/>
            </w:pPr>
            <w:r>
              <w:rPr>
                <w:sz w:val="18"/>
              </w:rPr>
              <w:t>x 1342–1443</w:t>
              <w:br/>
              <w:t>y 275–288</w:t>
            </w:r>
          </w:p>
        </w:tc>
        <w:tc>
          <w:tcPr>
            <w:tcW w:type="dxa" w:w="3402"/>
          </w:tcPr>
          <w:p>
            <w:pPr>
              <w:spacing w:after="40"/>
            </w:pPr>
            <w:r>
              <w:rPr>
                <w:sz w:val="18"/>
              </w:rPr>
              <w:t>oben, rechts</w:t>
              <w:br/>
              <w:t>x 70.6–75.9 %</w:t>
              <w:br/>
              <w:t>y 30.1–31.5 %</w:t>
            </w:r>
          </w:p>
        </w:tc>
      </w:tr>
      <w:tr>
        <w:trPr>
          <w:cantSplit/>
        </w:trPr>
        <w:tc>
          <w:tcPr>
            <w:tcW w:type="dxa" w:w="3288"/>
          </w:tcPr>
          <w:p>
            <w:pPr>
              <w:spacing w:after="40"/>
            </w:pPr>
            <w:r>
              <w:rPr>
                <w:sz w:val="18"/>
              </w:rPr>
              <w:t>Semantic Onboarding</w:t>
            </w:r>
          </w:p>
        </w:tc>
        <w:tc>
          <w:tcPr>
            <w:tcW w:type="dxa" w:w="3005"/>
          </w:tcPr>
          <w:p>
            <w:pPr>
              <w:spacing w:after="40"/>
            </w:pPr>
            <w:r>
              <w:rPr>
                <w:sz w:val="18"/>
              </w:rPr>
              <w:t>x 40–174</w:t>
              <w:br/>
              <w:t>y 296–309</w:t>
            </w:r>
          </w:p>
        </w:tc>
        <w:tc>
          <w:tcPr>
            <w:tcW w:type="dxa" w:w="3402"/>
          </w:tcPr>
          <w:p>
            <w:pPr>
              <w:spacing w:after="40"/>
            </w:pPr>
            <w:r>
              <w:rPr>
                <w:sz w:val="18"/>
              </w:rPr>
              <w:t>auf mittlerer Höhe, links</w:t>
              <w:br/>
              <w:t>x 2.1–9.2 %</w:t>
              <w:br/>
              <w:t>y 32.3–33.8 %</w:t>
            </w:r>
          </w:p>
        </w:tc>
      </w:tr>
      <w:tr>
        <w:trPr>
          <w:cantSplit/>
        </w:trPr>
        <w:tc>
          <w:tcPr>
            <w:tcW w:type="dxa" w:w="3288"/>
          </w:tcPr>
          <w:p>
            <w:pPr>
              <w:spacing w:after="40"/>
            </w:pPr>
            <w:r>
              <w:rPr>
                <w:sz w:val="18"/>
              </w:rPr>
              <w:t>Transformation Flow</w:t>
            </w:r>
          </w:p>
        </w:tc>
        <w:tc>
          <w:tcPr>
            <w:tcW w:type="dxa" w:w="3005"/>
          </w:tcPr>
          <w:p>
            <w:pPr>
              <w:spacing w:after="40"/>
            </w:pPr>
            <w:r>
              <w:rPr>
                <w:sz w:val="18"/>
              </w:rPr>
              <w:t>x 1341–1466</w:t>
              <w:br/>
              <w:t>y 308–318</w:t>
            </w:r>
          </w:p>
        </w:tc>
        <w:tc>
          <w:tcPr>
            <w:tcW w:type="dxa" w:w="3402"/>
          </w:tcPr>
          <w:p>
            <w:pPr>
              <w:spacing w:after="40"/>
            </w:pPr>
            <w:r>
              <w:rPr>
                <w:sz w:val="18"/>
              </w:rPr>
              <w:t>auf mittlerer Höhe, rechts</w:t>
              <w:br/>
              <w:t>x 70.6–77.2 %</w:t>
              <w:br/>
              <w:t>y 33.7–34.8 %</w:t>
            </w:r>
          </w:p>
        </w:tc>
      </w:tr>
      <w:tr>
        <w:trPr>
          <w:cantSplit/>
        </w:trPr>
        <w:tc>
          <w:tcPr>
            <w:tcW w:type="dxa" w:w="3288"/>
          </w:tcPr>
          <w:p>
            <w:pPr>
              <w:spacing w:after="40"/>
            </w:pPr>
            <w:r>
              <w:rPr>
                <w:sz w:val="18"/>
              </w:rPr>
              <w:t>Business Builder</w:t>
            </w:r>
          </w:p>
        </w:tc>
        <w:tc>
          <w:tcPr>
            <w:tcW w:type="dxa" w:w="3005"/>
          </w:tcPr>
          <w:p>
            <w:pPr>
              <w:spacing w:after="40"/>
            </w:pPr>
            <w:r>
              <w:rPr>
                <w:sz w:val="18"/>
              </w:rPr>
              <w:t>x 40–143</w:t>
              <w:br/>
              <w:t>y 332–342</w:t>
            </w:r>
          </w:p>
        </w:tc>
        <w:tc>
          <w:tcPr>
            <w:tcW w:type="dxa" w:w="3402"/>
          </w:tcPr>
          <w:p>
            <w:pPr>
              <w:spacing w:after="40"/>
            </w:pPr>
            <w:r>
              <w:rPr>
                <w:sz w:val="18"/>
              </w:rPr>
              <w:t>auf mittlerer Höhe, links</w:t>
              <w:br/>
              <w:t>x 2.1–7.5 %</w:t>
              <w:br/>
              <w:t>y 36.3–37.4 %</w:t>
            </w:r>
          </w:p>
        </w:tc>
      </w:tr>
      <w:tr>
        <w:trPr>
          <w:cantSplit/>
        </w:trPr>
        <w:tc>
          <w:tcPr>
            <w:tcW w:type="dxa" w:w="3288"/>
          </w:tcPr>
          <w:p>
            <w:pPr>
              <w:spacing w:after="40"/>
            </w:pPr>
            <w:r>
              <w:rPr>
                <w:sz w:val="18"/>
              </w:rPr>
              <w:t>Intelligent Lookup</w:t>
            </w:r>
          </w:p>
        </w:tc>
        <w:tc>
          <w:tcPr>
            <w:tcW w:type="dxa" w:w="3005"/>
          </w:tcPr>
          <w:p>
            <w:pPr>
              <w:spacing w:after="40"/>
            </w:pPr>
            <w:r>
              <w:rPr>
                <w:sz w:val="18"/>
              </w:rPr>
              <w:t>x 1342–1451</w:t>
              <w:br/>
              <w:t>y 341–354</w:t>
            </w:r>
          </w:p>
        </w:tc>
        <w:tc>
          <w:tcPr>
            <w:tcW w:type="dxa" w:w="3402"/>
          </w:tcPr>
          <w:p>
            <w:pPr>
              <w:spacing w:after="40"/>
            </w:pPr>
            <w:r>
              <w:rPr>
                <w:sz w:val="18"/>
              </w:rPr>
              <w:t>auf mittlerer Höhe, rechts</w:t>
              <w:br/>
              <w:t>x 70.6–76.4 %</w:t>
              <w:br/>
              <w:t>y 37.3–38.7 %</w:t>
            </w:r>
          </w:p>
        </w:tc>
      </w:tr>
      <w:tr>
        <w:trPr>
          <w:cantSplit/>
        </w:trPr>
        <w:tc>
          <w:tcPr>
            <w:tcW w:type="dxa" w:w="3288"/>
          </w:tcPr>
          <w:p>
            <w:pPr>
              <w:spacing w:after="40"/>
            </w:pPr>
            <w:r>
              <w:rPr>
                <w:sz w:val="18"/>
              </w:rPr>
              <w:t>Data Builder</w:t>
            </w:r>
          </w:p>
        </w:tc>
        <w:tc>
          <w:tcPr>
            <w:tcW w:type="dxa" w:w="3005"/>
          </w:tcPr>
          <w:p>
            <w:pPr>
              <w:spacing w:after="40"/>
            </w:pPr>
            <w:r>
              <w:rPr>
                <w:sz w:val="18"/>
              </w:rPr>
              <w:t>x 40–117</w:t>
              <w:br/>
              <w:t>y 368–378</w:t>
            </w:r>
          </w:p>
        </w:tc>
        <w:tc>
          <w:tcPr>
            <w:tcW w:type="dxa" w:w="3402"/>
          </w:tcPr>
          <w:p>
            <w:pPr>
              <w:spacing w:after="40"/>
            </w:pPr>
            <w:r>
              <w:rPr>
                <w:sz w:val="18"/>
              </w:rPr>
              <w:t>auf mittlerer Höhe, links</w:t>
              <w:br/>
              <w:t>x 2.1–6.2 %</w:t>
              <w:br/>
              <w:t>y 40.2–41.3 %</w:t>
            </w:r>
          </w:p>
        </w:tc>
      </w:tr>
      <w:tr>
        <w:trPr>
          <w:cantSplit/>
        </w:trPr>
        <w:tc>
          <w:tcPr>
            <w:tcW w:type="dxa" w:w="3288"/>
          </w:tcPr>
          <w:p>
            <w:pPr>
              <w:spacing w:after="40"/>
            </w:pPr>
            <w:r>
              <w:rPr>
                <w:sz w:val="18"/>
              </w:rPr>
              <w:t>Data Access Control</w:t>
            </w:r>
          </w:p>
        </w:tc>
        <w:tc>
          <w:tcPr>
            <w:tcW w:type="dxa" w:w="3005"/>
          </w:tcPr>
          <w:p>
            <w:pPr>
              <w:spacing w:after="40"/>
            </w:pPr>
            <w:r>
              <w:rPr>
                <w:sz w:val="18"/>
              </w:rPr>
              <w:t>x 1342–1466</w:t>
              <w:br/>
              <w:t>y 374–384</w:t>
            </w:r>
          </w:p>
        </w:tc>
        <w:tc>
          <w:tcPr>
            <w:tcW w:type="dxa" w:w="3402"/>
          </w:tcPr>
          <w:p>
            <w:pPr>
              <w:spacing w:after="40"/>
            </w:pPr>
            <w:r>
              <w:rPr>
                <w:sz w:val="18"/>
              </w:rPr>
              <w:t>auf mittlerer Höhe, rechts</w:t>
              <w:br/>
              <w:t>x 70.6–77.1 %</w:t>
              <w:br/>
              <w:t>y 40.9–42.0 %</w:t>
            </w:r>
          </w:p>
        </w:tc>
      </w:tr>
      <w:tr>
        <w:trPr>
          <w:cantSplit/>
        </w:trPr>
        <w:tc>
          <w:tcPr>
            <w:tcW w:type="dxa" w:w="3288"/>
          </w:tcPr>
          <w:p>
            <w:pPr>
              <w:spacing w:after="40"/>
            </w:pPr>
            <w:r>
              <w:rPr>
                <w:sz w:val="18"/>
              </w:rPr>
              <w:t>New Table</w:t>
            </w:r>
          </w:p>
        </w:tc>
        <w:tc>
          <w:tcPr>
            <w:tcW w:type="dxa" w:w="3005"/>
          </w:tcPr>
          <w:p>
            <w:pPr>
              <w:spacing w:after="40"/>
            </w:pPr>
            <w:r>
              <w:rPr>
                <w:sz w:val="18"/>
              </w:rPr>
              <w:t>x 300–354</w:t>
              <w:br/>
              <w:t>y 399–407</w:t>
            </w:r>
          </w:p>
        </w:tc>
        <w:tc>
          <w:tcPr>
            <w:tcW w:type="dxa" w:w="3402"/>
          </w:tcPr>
          <w:p>
            <w:pPr>
              <w:spacing w:after="40"/>
            </w:pPr>
            <w:r>
              <w:rPr>
                <w:sz w:val="18"/>
              </w:rPr>
              <w:t>auf mittlerer Höhe, links</w:t>
              <w:br/>
              <w:t>x 15.8–18.6 %</w:t>
              <w:br/>
              <w:t>y 43.6–44.5 %</w:t>
            </w:r>
          </w:p>
        </w:tc>
      </w:tr>
      <w:tr>
        <w:trPr>
          <w:cantSplit/>
        </w:trPr>
        <w:tc>
          <w:tcPr>
            <w:tcW w:type="dxa" w:w="3288"/>
          </w:tcPr>
          <w:p>
            <w:pPr>
              <w:spacing w:after="40"/>
            </w:pPr>
            <w:r>
              <w:rPr>
                <w:sz w:val="18"/>
              </w:rPr>
              <w:t>New Graphical View</w:t>
            </w:r>
          </w:p>
        </w:tc>
        <w:tc>
          <w:tcPr>
            <w:tcW w:type="dxa" w:w="3005"/>
          </w:tcPr>
          <w:p>
            <w:pPr>
              <w:spacing w:after="40"/>
            </w:pPr>
            <w:r>
              <w:rPr>
                <w:sz w:val="18"/>
              </w:rPr>
              <w:t>x 414–519</w:t>
              <w:br/>
              <w:t>y 399–410</w:t>
            </w:r>
          </w:p>
        </w:tc>
        <w:tc>
          <w:tcPr>
            <w:tcW w:type="dxa" w:w="3402"/>
          </w:tcPr>
          <w:p>
            <w:pPr>
              <w:spacing w:after="40"/>
            </w:pPr>
            <w:r>
              <w:rPr>
                <w:sz w:val="18"/>
              </w:rPr>
              <w:t>auf mittlerer Höhe, links</w:t>
              <w:br/>
              <w:t>x 21.8–27.3 %</w:t>
              <w:br/>
              <w:t>y 43.6–44.8 %</w:t>
            </w:r>
          </w:p>
        </w:tc>
      </w:tr>
      <w:tr>
        <w:trPr>
          <w:cantSplit/>
        </w:trPr>
        <w:tc>
          <w:tcPr>
            <w:tcW w:type="dxa" w:w="3288"/>
          </w:tcPr>
          <w:p>
            <w:pPr>
              <w:spacing w:after="40"/>
            </w:pPr>
            <w:r>
              <w:rPr>
                <w:sz w:val="18"/>
              </w:rPr>
              <w:t>New SQL View</w:t>
            </w:r>
          </w:p>
        </w:tc>
        <w:tc>
          <w:tcPr>
            <w:tcW w:type="dxa" w:w="3005"/>
          </w:tcPr>
          <w:p>
            <w:pPr>
              <w:spacing w:after="40"/>
            </w:pPr>
            <w:r>
              <w:rPr>
                <w:sz w:val="18"/>
              </w:rPr>
              <w:t>x 567–644</w:t>
              <w:br/>
              <w:t>y 399–408</w:t>
            </w:r>
          </w:p>
        </w:tc>
        <w:tc>
          <w:tcPr>
            <w:tcW w:type="dxa" w:w="3402"/>
          </w:tcPr>
          <w:p>
            <w:pPr>
              <w:spacing w:after="40"/>
            </w:pPr>
            <w:r>
              <w:rPr>
                <w:sz w:val="18"/>
              </w:rPr>
              <w:t>auf mittlerer Höhe, links</w:t>
              <w:br/>
              <w:t>x 29.8–33.9 %</w:t>
              <w:br/>
              <w:t>y 43.6–44.5 %</w:t>
            </w:r>
          </w:p>
        </w:tc>
      </w:tr>
      <w:tr>
        <w:trPr>
          <w:cantSplit/>
        </w:trPr>
        <w:tc>
          <w:tcPr>
            <w:tcW w:type="dxa" w:w="3288"/>
          </w:tcPr>
          <w:p>
            <w:pPr>
              <w:spacing w:after="40"/>
            </w:pPr>
            <w:r>
              <w:rPr>
                <w:sz w:val="18"/>
              </w:rPr>
              <w:t>New Entity</w:t>
            </w:r>
          </w:p>
        </w:tc>
        <w:tc>
          <w:tcPr>
            <w:tcW w:type="dxa" w:w="3005"/>
          </w:tcPr>
          <w:p>
            <w:pPr>
              <w:spacing w:after="40"/>
            </w:pPr>
            <w:r>
              <w:rPr>
                <w:sz w:val="18"/>
              </w:rPr>
              <w:t>x 713–769</w:t>
              <w:br/>
              <w:t>y 399–410</w:t>
            </w:r>
          </w:p>
        </w:tc>
        <w:tc>
          <w:tcPr>
            <w:tcW w:type="dxa" w:w="3402"/>
          </w:tcPr>
          <w:p>
            <w:pPr>
              <w:spacing w:after="40"/>
            </w:pPr>
            <w:r>
              <w:rPr>
                <w:sz w:val="18"/>
              </w:rPr>
              <w:t>auf mittlerer Höhe, mittig</w:t>
              <w:br/>
              <w:t>x 37.5–40.5 %</w:t>
              <w:br/>
              <w:t>y 43.6–44.8 %</w:t>
            </w:r>
          </w:p>
        </w:tc>
      </w:tr>
      <w:tr>
        <w:trPr>
          <w:cantSplit/>
        </w:trPr>
        <w:tc>
          <w:tcPr>
            <w:tcW w:type="dxa" w:w="3288"/>
          </w:tcPr>
          <w:p>
            <w:pPr>
              <w:spacing w:after="40"/>
            </w:pPr>
            <w:r>
              <w:rPr>
                <w:sz w:val="18"/>
              </w:rPr>
              <w:t>New Analytic Model</w:t>
            </w:r>
          </w:p>
        </w:tc>
        <w:tc>
          <w:tcPr>
            <w:tcW w:type="dxa" w:w="3005"/>
          </w:tcPr>
          <w:p>
            <w:pPr>
              <w:spacing w:after="40"/>
            </w:pPr>
            <w:r>
              <w:rPr>
                <w:sz w:val="18"/>
              </w:rPr>
              <w:t>x 832–936</w:t>
              <w:br/>
              <w:t>y 399–410</w:t>
            </w:r>
          </w:p>
        </w:tc>
        <w:tc>
          <w:tcPr>
            <w:tcW w:type="dxa" w:w="3402"/>
          </w:tcPr>
          <w:p>
            <w:pPr>
              <w:spacing w:after="40"/>
            </w:pPr>
            <w:r>
              <w:rPr>
                <w:sz w:val="18"/>
              </w:rPr>
              <w:t>auf mittlerer Höhe, mittig</w:t>
              <w:br/>
              <w:t>x 43.8–49.3 %</w:t>
              <w:br/>
              <w:t>y 43.6–44.8 %</w:t>
            </w:r>
          </w:p>
        </w:tc>
      </w:tr>
      <w:tr>
        <w:trPr>
          <w:cantSplit/>
        </w:trPr>
        <w:tc>
          <w:tcPr>
            <w:tcW w:type="dxa" w:w="3288"/>
          </w:tcPr>
          <w:p>
            <w:pPr>
              <w:spacing w:after="40"/>
            </w:pPr>
            <w:r>
              <w:rPr>
                <w:sz w:val="18"/>
              </w:rPr>
              <w:t>New Data Flow</w:t>
            </w:r>
          </w:p>
        </w:tc>
        <w:tc>
          <w:tcPr>
            <w:tcW w:type="dxa" w:w="3005"/>
          </w:tcPr>
          <w:p>
            <w:pPr>
              <w:spacing w:after="40"/>
            </w:pPr>
            <w:r>
              <w:rPr>
                <w:sz w:val="18"/>
              </w:rPr>
              <w:t>x 983–1062</w:t>
              <w:br/>
              <w:t>y 399–407</w:t>
            </w:r>
          </w:p>
        </w:tc>
        <w:tc>
          <w:tcPr>
            <w:tcW w:type="dxa" w:w="3402"/>
          </w:tcPr>
          <w:p>
            <w:pPr>
              <w:spacing w:after="40"/>
            </w:pPr>
            <w:r>
              <w:rPr>
                <w:sz w:val="18"/>
              </w:rPr>
              <w:t>auf mittlerer Höhe, mittig</w:t>
              <w:br/>
              <w:t>x 51.7–55.9 %</w:t>
              <w:br/>
              <w:t>y 43.6–44.5 %</w:t>
            </w:r>
          </w:p>
        </w:tc>
      </w:tr>
      <w:tr>
        <w:trPr>
          <w:cantSplit/>
        </w:trPr>
        <w:tc>
          <w:tcPr>
            <w:tcW w:type="dxa" w:w="3288"/>
          </w:tcPr>
          <w:p>
            <w:pPr>
              <w:spacing w:after="40"/>
            </w:pPr>
            <w:r>
              <w:rPr>
                <w:sz w:val="18"/>
              </w:rPr>
              <w:t>New Replication</w:t>
            </w:r>
          </w:p>
        </w:tc>
        <w:tc>
          <w:tcPr>
            <w:tcW w:type="dxa" w:w="3005"/>
          </w:tcPr>
          <w:p>
            <w:pPr>
              <w:spacing w:after="40"/>
            </w:pPr>
            <w:r>
              <w:rPr>
                <w:sz w:val="18"/>
              </w:rPr>
              <w:t>x 1120–1204</w:t>
              <w:br/>
              <w:t>y 399–410</w:t>
            </w:r>
          </w:p>
        </w:tc>
        <w:tc>
          <w:tcPr>
            <w:tcW w:type="dxa" w:w="3402"/>
          </w:tcPr>
          <w:p>
            <w:pPr>
              <w:spacing w:after="40"/>
            </w:pPr>
            <w:r>
              <w:rPr>
                <w:sz w:val="18"/>
              </w:rPr>
              <w:t>auf mittlerer Höhe, mittig</w:t>
              <w:br/>
              <w:t>x 58.9–63.4 %</w:t>
              <w:br/>
              <w:t>y 43.6–44.8 %</w:t>
            </w:r>
          </w:p>
        </w:tc>
      </w:tr>
      <w:tr>
        <w:trPr>
          <w:cantSplit/>
        </w:trPr>
        <w:tc>
          <w:tcPr>
            <w:tcW w:type="dxa" w:w="3288"/>
          </w:tcPr>
          <w:p>
            <w:pPr>
              <w:spacing w:after="40"/>
            </w:pPr>
            <w:r>
              <w:rPr>
                <w:sz w:val="18"/>
              </w:rPr>
              <w:t>New Task Chain</w:t>
            </w:r>
          </w:p>
        </w:tc>
        <w:tc>
          <w:tcPr>
            <w:tcW w:type="dxa" w:w="3005"/>
          </w:tcPr>
          <w:p>
            <w:pPr>
              <w:spacing w:after="40"/>
            </w:pPr>
            <w:r>
              <w:rPr>
                <w:sz w:val="18"/>
              </w:rPr>
              <w:t>x 1538–1621</w:t>
              <w:br/>
              <w:t>y 399–407</w:t>
            </w:r>
          </w:p>
        </w:tc>
        <w:tc>
          <w:tcPr>
            <w:tcW w:type="dxa" w:w="3402"/>
          </w:tcPr>
          <w:p>
            <w:pPr>
              <w:spacing w:after="40"/>
            </w:pPr>
            <w:r>
              <w:rPr>
                <w:sz w:val="18"/>
              </w:rPr>
              <w:t>auf mittlerer Höhe, rechts</w:t>
              <w:br/>
              <w:t>x 80.9–85.3 %</w:t>
              <w:br/>
              <w:t>y 43.6–44.5 %</w:t>
            </w:r>
          </w:p>
        </w:tc>
      </w:tr>
      <w:tr>
        <w:trPr>
          <w:cantSplit/>
        </w:trPr>
        <w:tc>
          <w:tcPr>
            <w:tcW w:type="dxa" w:w="3288"/>
          </w:tcPr>
          <w:p>
            <w:pPr>
              <w:spacing w:after="40"/>
            </w:pPr>
            <w:r>
              <w:rPr>
                <w:sz w:val="18"/>
              </w:rPr>
              <w:t>New Data Access</w:t>
            </w:r>
          </w:p>
        </w:tc>
        <w:tc>
          <w:tcPr>
            <w:tcW w:type="dxa" w:w="3005"/>
          </w:tcPr>
          <w:p>
            <w:pPr>
              <w:spacing w:after="40"/>
            </w:pPr>
            <w:r>
              <w:rPr>
                <w:sz w:val="18"/>
              </w:rPr>
              <w:t>x 1674–1764</w:t>
              <w:br/>
              <w:t>y 399–407</w:t>
            </w:r>
          </w:p>
        </w:tc>
        <w:tc>
          <w:tcPr>
            <w:tcW w:type="dxa" w:w="3402"/>
          </w:tcPr>
          <w:p>
            <w:pPr>
              <w:spacing w:after="40"/>
            </w:pPr>
            <w:r>
              <w:rPr>
                <w:sz w:val="18"/>
              </w:rPr>
              <w:t>auf mittlerer Höhe, rechts</w:t>
              <w:br/>
              <w:t>x 88.1–92.8 %</w:t>
              <w:br/>
              <w:t>y 43.6–44.5 %</w:t>
            </w:r>
          </w:p>
        </w:tc>
      </w:tr>
      <w:tr>
        <w:trPr>
          <w:cantSplit/>
        </w:trPr>
        <w:tc>
          <w:tcPr>
            <w:tcW w:type="dxa" w:w="3288"/>
          </w:tcPr>
          <w:p>
            <w:pPr>
              <w:spacing w:after="40"/>
            </w:pPr>
            <w:r>
              <w:rPr>
                <w:sz w:val="18"/>
              </w:rPr>
              <w:t>Connections</w:t>
            </w:r>
          </w:p>
        </w:tc>
        <w:tc>
          <w:tcPr>
            <w:tcW w:type="dxa" w:w="3005"/>
          </w:tcPr>
          <w:p>
            <w:pPr>
              <w:spacing w:after="40"/>
            </w:pPr>
            <w:r>
              <w:rPr>
                <w:sz w:val="18"/>
              </w:rPr>
              <w:t>x 40–116</w:t>
              <w:br/>
              <w:t>y 404–414</w:t>
            </w:r>
          </w:p>
        </w:tc>
        <w:tc>
          <w:tcPr>
            <w:tcW w:type="dxa" w:w="3402"/>
          </w:tcPr>
          <w:p>
            <w:pPr>
              <w:spacing w:after="40"/>
            </w:pPr>
            <w:r>
              <w:rPr>
                <w:sz w:val="18"/>
              </w:rPr>
              <w:t>auf mittlerer Höhe, links</w:t>
              <w:br/>
              <w:t>x 2.1–6.1 %</w:t>
              <w:br/>
              <w:t>y 44.2–45.2 %</w:t>
            </w:r>
          </w:p>
        </w:tc>
      </w:tr>
      <w:tr>
        <w:trPr>
          <w:cantSplit/>
        </w:trPr>
        <w:tc>
          <w:tcPr>
            <w:tcW w:type="dxa" w:w="3288"/>
          </w:tcPr>
          <w:p>
            <w:pPr>
              <w:spacing w:after="40"/>
            </w:pPr>
            <w:r>
              <w:rPr>
                <w:sz w:val="18"/>
              </w:rPr>
              <w:t>Relationship Model</w:t>
            </w:r>
          </w:p>
        </w:tc>
        <w:tc>
          <w:tcPr>
            <w:tcW w:type="dxa" w:w="3005"/>
          </w:tcPr>
          <w:p>
            <w:pPr>
              <w:spacing w:after="40"/>
            </w:pPr>
            <w:r>
              <w:rPr>
                <w:sz w:val="18"/>
              </w:rPr>
              <w:t>x 694–795</w:t>
              <w:br/>
              <w:t>y 413–424</w:t>
            </w:r>
          </w:p>
        </w:tc>
        <w:tc>
          <w:tcPr>
            <w:tcW w:type="dxa" w:w="3402"/>
          </w:tcPr>
          <w:p>
            <w:pPr>
              <w:spacing w:after="40"/>
            </w:pPr>
            <w:r>
              <w:rPr>
                <w:sz w:val="18"/>
              </w:rPr>
              <w:t>auf mittlerer Höhe, mittig</w:t>
              <w:br/>
              <w:t>x 36.5–41.8 %</w:t>
              <w:br/>
              <w:t>y 45.1–46.3 %</w:t>
            </w:r>
          </w:p>
        </w:tc>
      </w:tr>
      <w:tr>
        <w:trPr>
          <w:cantSplit/>
        </w:trPr>
        <w:tc>
          <w:tcPr>
            <w:tcW w:type="dxa" w:w="3288"/>
          </w:tcPr>
          <w:p>
            <w:pPr>
              <w:spacing w:after="40"/>
            </w:pPr>
            <w:r>
              <w:rPr>
                <w:sz w:val="18"/>
              </w:rPr>
              <w:t>Currency Conversion Views</w:t>
            </w:r>
          </w:p>
        </w:tc>
        <w:tc>
          <w:tcPr>
            <w:tcW w:type="dxa" w:w="3005"/>
          </w:tcPr>
          <w:p>
            <w:pPr>
              <w:spacing w:after="40"/>
            </w:pPr>
            <w:r>
              <w:rPr>
                <w:sz w:val="18"/>
              </w:rPr>
              <w:t>x 1341–1510</w:t>
              <w:br/>
              <w:t>y 407–420</w:t>
            </w:r>
          </w:p>
        </w:tc>
        <w:tc>
          <w:tcPr>
            <w:tcW w:type="dxa" w:w="3402"/>
          </w:tcPr>
          <w:p>
            <w:pPr>
              <w:spacing w:after="40"/>
            </w:pPr>
            <w:r>
              <w:rPr>
                <w:sz w:val="18"/>
              </w:rPr>
              <w:t>auf mittlerer Höhe, rechts</w:t>
              <w:br/>
              <w:t>x 70.6–79.5 %</w:t>
              <w:br/>
              <w:t>y 44.5–45.9 %</w:t>
            </w:r>
          </w:p>
        </w:tc>
      </w:tr>
      <w:tr>
        <w:trPr>
          <w:cantSplit/>
        </w:trPr>
        <w:tc>
          <w:tcPr>
            <w:tcW w:type="dxa" w:w="3288"/>
          </w:tcPr>
          <w:p>
            <w:pPr>
              <w:spacing w:after="40"/>
            </w:pPr>
            <w:r>
              <w:rPr>
                <w:sz w:val="18"/>
              </w:rPr>
              <w:t>Unit Conversion Views</w:t>
            </w:r>
          </w:p>
        </w:tc>
        <w:tc>
          <w:tcPr>
            <w:tcW w:type="dxa" w:w="3005"/>
          </w:tcPr>
          <w:p>
            <w:pPr>
              <w:spacing w:after="40"/>
            </w:pPr>
            <w:r>
              <w:rPr>
                <w:sz w:val="18"/>
              </w:rPr>
              <w:t>x 1342–1479</w:t>
              <w:br/>
              <w:t>y 440–450</w:t>
            </w:r>
          </w:p>
        </w:tc>
        <w:tc>
          <w:tcPr>
            <w:tcW w:type="dxa" w:w="3402"/>
          </w:tcPr>
          <w:p>
            <w:pPr>
              <w:spacing w:after="40"/>
            </w:pPr>
            <w:r>
              <w:rPr>
                <w:sz w:val="18"/>
              </w:rPr>
              <w:t>auf mittlerer Höhe, rechts</w:t>
              <w:br/>
              <w:t>x 70.6–77.8 %</w:t>
              <w:br/>
              <w:t>y 48.1–49.2 %</w:t>
            </w:r>
          </w:p>
        </w:tc>
      </w:tr>
      <w:tr>
        <w:trPr>
          <w:cantSplit/>
        </w:trPr>
        <w:tc>
          <w:tcPr>
            <w:tcW w:type="dxa" w:w="3288"/>
          </w:tcPr>
          <w:p>
            <w:pPr>
              <w:spacing w:after="40"/>
            </w:pPr>
            <w:r>
              <w:rPr>
                <w:sz w:val="18"/>
              </w:rPr>
              <w:t>Utilities</w:t>
            </w:r>
          </w:p>
        </w:tc>
        <w:tc>
          <w:tcPr>
            <w:tcW w:type="dxa" w:w="3005"/>
          </w:tcPr>
          <w:p>
            <w:pPr>
              <w:spacing w:after="40"/>
            </w:pPr>
            <w:r>
              <w:rPr>
                <w:sz w:val="18"/>
              </w:rPr>
              <w:t>x 17–61</w:t>
              <w:br/>
              <w:t>y 450–460</w:t>
            </w:r>
          </w:p>
        </w:tc>
        <w:tc>
          <w:tcPr>
            <w:tcW w:type="dxa" w:w="3402"/>
          </w:tcPr>
          <w:p>
            <w:pPr>
              <w:spacing w:after="40"/>
            </w:pPr>
            <w:r>
              <w:rPr>
                <w:sz w:val="18"/>
              </w:rPr>
              <w:t>auf mittlerer Höhe, links</w:t>
              <w:br/>
              <w:t>x 0.9–3.2 %</w:t>
              <w:br/>
              <w:t>y 49.2–50.3 %</w:t>
            </w:r>
          </w:p>
        </w:tc>
      </w:tr>
      <w:tr>
        <w:trPr>
          <w:cantSplit/>
        </w:trPr>
        <w:tc>
          <w:tcPr>
            <w:tcW w:type="dxa" w:w="3288"/>
          </w:tcPr>
          <w:p>
            <w:pPr>
              <w:spacing w:after="40"/>
            </w:pPr>
            <w:r>
              <w:rPr>
                <w:sz w:val="18"/>
              </w:rPr>
              <w:t>Search in:</w:t>
            </w:r>
          </w:p>
        </w:tc>
        <w:tc>
          <w:tcPr>
            <w:tcW w:type="dxa" w:w="3005"/>
          </w:tcPr>
          <w:p>
            <w:pPr>
              <w:spacing w:after="40"/>
            </w:pPr>
            <w:r>
              <w:rPr>
                <w:sz w:val="18"/>
              </w:rPr>
              <w:t>x 594–655</w:t>
              <w:br/>
              <w:t>y 469–479</w:t>
            </w:r>
          </w:p>
        </w:tc>
        <w:tc>
          <w:tcPr>
            <w:tcW w:type="dxa" w:w="3402"/>
          </w:tcPr>
          <w:p>
            <w:pPr>
              <w:spacing w:after="40"/>
            </w:pPr>
            <w:r>
              <w:rPr>
                <w:sz w:val="18"/>
              </w:rPr>
              <w:t>auf mittlerer Höhe, links</w:t>
              <w:br/>
              <w:t>x 31.3–34.5 %</w:t>
              <w:br/>
              <w:t>y 51.3–52.3 %</w:t>
            </w:r>
          </w:p>
        </w:tc>
      </w:tr>
      <w:tr>
        <w:trPr>
          <w:cantSplit/>
        </w:trPr>
        <w:tc>
          <w:tcPr>
            <w:tcW w:type="dxa" w:w="3288"/>
          </w:tcPr>
          <w:p>
            <w:pPr>
              <w:spacing w:after="40"/>
            </w:pPr>
            <w:r>
              <w:rPr>
                <w:sz w:val="18"/>
              </w:rPr>
              <w:t>"All"</w:t>
            </w:r>
          </w:p>
        </w:tc>
        <w:tc>
          <w:tcPr>
            <w:tcW w:type="dxa" w:w="3005"/>
          </w:tcPr>
          <w:p>
            <w:pPr>
              <w:spacing w:after="40"/>
            </w:pPr>
            <w:r>
              <w:rPr>
                <w:sz w:val="18"/>
              </w:rPr>
              <w:t>x 660–685</w:t>
              <w:br/>
              <w:t>y 469–479</w:t>
            </w:r>
          </w:p>
        </w:tc>
        <w:tc>
          <w:tcPr>
            <w:tcW w:type="dxa" w:w="3402"/>
          </w:tcPr>
          <w:p>
            <w:pPr>
              <w:spacing w:after="40"/>
            </w:pPr>
            <w:r>
              <w:rPr>
                <w:sz w:val="18"/>
              </w:rPr>
              <w:t>auf mittlerer Höhe, mittig</w:t>
              <w:br/>
              <w:t>x 34.8–36.1 %</w:t>
              <w:br/>
              <w:t>y 51.3–52.3 %</w:t>
            </w:r>
          </w:p>
        </w:tc>
      </w:tr>
      <w:tr>
        <w:trPr>
          <w:cantSplit/>
        </w:trPr>
        <w:tc>
          <w:tcPr>
            <w:tcW w:type="dxa" w:w="3288"/>
          </w:tcPr>
          <w:p>
            <w:pPr>
              <w:spacing w:after="40"/>
            </w:pPr>
            <w:r>
              <w:rPr>
                <w:sz w:val="18"/>
              </w:rPr>
              <w:t>Task Chain</w:t>
            </w:r>
          </w:p>
        </w:tc>
        <w:tc>
          <w:tcPr>
            <w:tcW w:type="dxa" w:w="3005"/>
          </w:tcPr>
          <w:p>
            <w:pPr>
              <w:spacing w:after="40"/>
            </w:pPr>
            <w:r>
              <w:rPr>
                <w:sz w:val="18"/>
              </w:rPr>
              <w:t>x 1341–1408</w:t>
              <w:br/>
              <w:t>y 473–483</w:t>
            </w:r>
          </w:p>
        </w:tc>
        <w:tc>
          <w:tcPr>
            <w:tcW w:type="dxa" w:w="3402"/>
          </w:tcPr>
          <w:p>
            <w:pPr>
              <w:spacing w:after="40"/>
            </w:pPr>
            <w:r>
              <w:rPr>
                <w:sz w:val="18"/>
              </w:rPr>
              <w:t>auf mittlerer Höhe, rechts</w:t>
              <w:br/>
              <w:t>x 70.6–74.1 %</w:t>
              <w:br/>
              <w:t>y 51.7–52.8 %</w:t>
            </w:r>
          </w:p>
        </w:tc>
      </w:tr>
      <w:tr>
        <w:trPr>
          <w:cantSplit/>
        </w:trPr>
        <w:tc>
          <w:tcPr>
            <w:tcW w:type="dxa" w:w="3288"/>
          </w:tcPr>
          <w:p>
            <w:pPr>
              <w:spacing w:after="40"/>
            </w:pPr>
            <w:r>
              <w:rPr>
                <w:sz w:val="18"/>
              </w:rPr>
              <w:t>Space Management</w:t>
            </w:r>
          </w:p>
        </w:tc>
        <w:tc>
          <w:tcPr>
            <w:tcW w:type="dxa" w:w="3005"/>
          </w:tcPr>
          <w:p>
            <w:pPr>
              <w:spacing w:after="40"/>
            </w:pPr>
            <w:r>
              <w:rPr>
                <w:sz w:val="18"/>
              </w:rPr>
              <w:t>x 40–163</w:t>
              <w:br/>
              <w:t>y 486–499</w:t>
            </w:r>
          </w:p>
        </w:tc>
        <w:tc>
          <w:tcPr>
            <w:tcW w:type="dxa" w:w="3402"/>
          </w:tcPr>
          <w:p>
            <w:pPr>
              <w:spacing w:after="40"/>
            </w:pPr>
            <w:r>
              <w:rPr>
                <w:sz w:val="18"/>
              </w:rPr>
              <w:t>auf mittlerer Höhe, links</w:t>
              <w:br/>
              <w:t>x 2.1–8.6 %</w:t>
              <w:br/>
              <w:t>y 53.1–54.5 %</w:t>
            </w:r>
          </w:p>
        </w:tc>
      </w:tr>
      <w:tr>
        <w:trPr>
          <w:cantSplit/>
        </w:trPr>
        <w:tc>
          <w:tcPr>
            <w:tcW w:type="dxa" w:w="3288"/>
          </w:tcPr>
          <w:p>
            <w:pPr>
              <w:spacing w:after="40"/>
            </w:pPr>
            <w:r>
              <w:rPr>
                <w:sz w:val="18"/>
              </w:rPr>
              <w:t>Translation</w:t>
            </w:r>
          </w:p>
        </w:tc>
        <w:tc>
          <w:tcPr>
            <w:tcW w:type="dxa" w:w="3005"/>
          </w:tcPr>
          <w:p>
            <w:pPr>
              <w:spacing w:after="40"/>
            </w:pPr>
            <w:r>
              <w:rPr>
                <w:sz w:val="18"/>
              </w:rPr>
              <w:t>x 40–107</w:t>
              <w:br/>
              <w:t>y 522–532</w:t>
            </w:r>
          </w:p>
        </w:tc>
        <w:tc>
          <w:tcPr>
            <w:tcW w:type="dxa" w:w="3402"/>
          </w:tcPr>
          <w:p>
            <w:pPr>
              <w:spacing w:after="40"/>
            </w:pPr>
            <w:r>
              <w:rPr>
                <w:sz w:val="18"/>
              </w:rPr>
              <w:t>auf mittlerer Höhe, links</w:t>
              <w:br/>
              <w:t>x 2.1–5.6 %</w:t>
              <w:br/>
              <w:t>y 57.0–58.1 %</w:t>
            </w:r>
          </w:p>
        </w:tc>
      </w:tr>
      <w:tr>
        <w:trPr>
          <w:cantSplit/>
        </w:trPr>
        <w:tc>
          <w:tcPr>
            <w:tcW w:type="dxa" w:w="3288"/>
          </w:tcPr>
          <w:p>
            <w:pPr>
              <w:spacing w:after="40"/>
            </w:pPr>
            <w:r>
              <w:rPr>
                <w:sz w:val="18"/>
              </w:rPr>
              <w:t>List Objects In:</w:t>
            </w:r>
          </w:p>
        </w:tc>
        <w:tc>
          <w:tcPr>
            <w:tcW w:type="dxa" w:w="3005"/>
          </w:tcPr>
          <w:p>
            <w:pPr>
              <w:spacing w:after="40"/>
            </w:pPr>
            <w:r>
              <w:rPr>
                <w:sz w:val="18"/>
              </w:rPr>
              <w:t>x 267–364</w:t>
              <w:br/>
              <w:t>y 536–549</w:t>
            </w:r>
          </w:p>
        </w:tc>
        <w:tc>
          <w:tcPr>
            <w:tcW w:type="dxa" w:w="3402"/>
          </w:tcPr>
          <w:p>
            <w:pPr>
              <w:spacing w:after="40"/>
            </w:pPr>
            <w:r>
              <w:rPr>
                <w:sz w:val="18"/>
              </w:rPr>
              <w:t>auf mittlerer Höhe, links</w:t>
              <w:br/>
              <w:t>x 14.1–19.1 %</w:t>
              <w:br/>
              <w:t>y 58.6–60.0 %</w:t>
            </w:r>
          </w:p>
        </w:tc>
      </w:tr>
      <w:tr>
        <w:trPr>
          <w:cantSplit/>
        </w:trPr>
        <w:tc>
          <w:tcPr>
            <w:tcW w:type="dxa" w:w="3288"/>
          </w:tcPr>
          <w:p>
            <w:pPr>
              <w:spacing w:after="40"/>
            </w:pPr>
            <w:r>
              <w:rPr>
                <w:sz w:val="18"/>
              </w:rPr>
              <w:t>Transport</w:t>
            </w:r>
          </w:p>
        </w:tc>
        <w:tc>
          <w:tcPr>
            <w:tcW w:type="dxa" w:w="3005"/>
          </w:tcPr>
          <w:p>
            <w:pPr>
              <w:spacing w:after="40"/>
            </w:pPr>
            <w:r>
              <w:rPr>
                <w:sz w:val="18"/>
              </w:rPr>
              <w:t>x 40–98</w:t>
              <w:br/>
              <w:t>y 558–571</w:t>
            </w:r>
          </w:p>
        </w:tc>
        <w:tc>
          <w:tcPr>
            <w:tcW w:type="dxa" w:w="3402"/>
          </w:tcPr>
          <w:p>
            <w:pPr>
              <w:spacing w:after="40"/>
            </w:pPr>
            <w:r>
              <w:rPr>
                <w:sz w:val="18"/>
              </w:rPr>
              <w:t>auf mittlerer Höhe, links</w:t>
              <w:br/>
              <w:t>x 2.1–5.2 %</w:t>
              <w:br/>
              <w:t>y 61.0–62.4 %</w:t>
            </w:r>
          </w:p>
        </w:tc>
      </w:tr>
      <w:tr>
        <w:trPr>
          <w:cantSplit/>
        </w:trPr>
        <w:tc>
          <w:tcPr>
            <w:tcW w:type="dxa" w:w="3288"/>
          </w:tcPr>
          <w:p>
            <w:pPr>
              <w:spacing w:after="40"/>
            </w:pPr>
            <w:r>
              <w:rPr>
                <w:sz w:val="18"/>
              </w:rPr>
              <w:t>(Semantic Usage)</w:t>
            </w:r>
          </w:p>
        </w:tc>
        <w:tc>
          <w:tcPr>
            <w:tcW w:type="dxa" w:w="3005"/>
          </w:tcPr>
          <w:p>
            <w:pPr>
              <w:spacing w:after="40"/>
            </w:pPr>
            <w:r>
              <w:rPr>
                <w:sz w:val="18"/>
              </w:rPr>
              <w:t>x 775–880</w:t>
              <w:br/>
              <w:t>y 564–586</w:t>
            </w:r>
          </w:p>
        </w:tc>
        <w:tc>
          <w:tcPr>
            <w:tcW w:type="dxa" w:w="3402"/>
          </w:tcPr>
          <w:p>
            <w:pPr>
              <w:spacing w:after="40"/>
            </w:pPr>
            <w:r>
              <w:rPr>
                <w:sz w:val="18"/>
              </w:rPr>
              <w:t>auf mittlerer Höhe, mittig</w:t>
              <w:br/>
              <w:t>x 40.8–46.3 %</w:t>
              <w:br/>
              <w:t>y 61.6–64.0 %</w:t>
            </w:r>
          </w:p>
        </w:tc>
      </w:tr>
      <w:tr>
        <w:trPr>
          <w:cantSplit/>
        </w:trPr>
        <w:tc>
          <w:tcPr>
            <w:tcW w:type="dxa" w:w="3288"/>
          </w:tcPr>
          <w:p>
            <w:pPr>
              <w:spacing w:after="40"/>
            </w:pPr>
            <w:r>
              <w:rPr>
                <w:sz w:val="18"/>
              </w:rPr>
              <w:t>Space</w:t>
            </w:r>
          </w:p>
        </w:tc>
        <w:tc>
          <w:tcPr>
            <w:tcW w:type="dxa" w:w="3005"/>
          </w:tcPr>
          <w:p>
            <w:pPr>
              <w:spacing w:after="40"/>
            </w:pPr>
            <w:r>
              <w:rPr>
                <w:sz w:val="18"/>
              </w:rPr>
              <w:t>x 930–967</w:t>
              <w:br/>
              <w:t>y 568–581</w:t>
            </w:r>
          </w:p>
        </w:tc>
        <w:tc>
          <w:tcPr>
            <w:tcW w:type="dxa" w:w="3402"/>
          </w:tcPr>
          <w:p>
            <w:pPr>
              <w:spacing w:after="40"/>
            </w:pPr>
            <w:r>
              <w:rPr>
                <w:sz w:val="18"/>
              </w:rPr>
              <w:t>auf mittlerer Höhe, mittig</w:t>
              <w:br/>
              <w:t>x 48.9–50.9 %</w:t>
              <w:br/>
              <w:t>y 62.1–63.5 %</w:t>
            </w:r>
          </w:p>
        </w:tc>
      </w:tr>
      <w:tr>
        <w:trPr>
          <w:cantSplit/>
        </w:trPr>
        <w:tc>
          <w:tcPr>
            <w:tcW w:type="dxa" w:w="3288"/>
          </w:tcPr>
          <w:p>
            <w:pPr>
              <w:spacing w:after="40"/>
            </w:pPr>
            <w:r>
              <w:rPr>
                <w:sz w:val="18"/>
              </w:rPr>
              <w:t>Status</w:t>
            </w:r>
          </w:p>
        </w:tc>
        <w:tc>
          <w:tcPr>
            <w:tcW w:type="dxa" w:w="3005"/>
          </w:tcPr>
          <w:p>
            <w:pPr>
              <w:spacing w:after="40"/>
            </w:pPr>
            <w:r>
              <w:rPr>
                <w:sz w:val="18"/>
              </w:rPr>
              <w:t>x 1312–1350</w:t>
              <w:br/>
              <w:t>y 568–578</w:t>
            </w:r>
          </w:p>
        </w:tc>
        <w:tc>
          <w:tcPr>
            <w:tcW w:type="dxa" w:w="3402"/>
          </w:tcPr>
          <w:p>
            <w:pPr>
              <w:spacing w:after="40"/>
            </w:pPr>
            <w:r>
              <w:rPr>
                <w:sz w:val="18"/>
              </w:rPr>
              <w:t>auf mittlerer Höhe, rechts</w:t>
              <w:br/>
              <w:t>x 69.0–71.0 %</w:t>
              <w:br/>
              <w:t>y 62.1–63.2 %</w:t>
            </w:r>
          </w:p>
        </w:tc>
      </w:tr>
      <w:tr>
        <w:trPr>
          <w:cantSplit/>
        </w:trPr>
        <w:tc>
          <w:tcPr>
            <w:tcW w:type="dxa" w:w="3288"/>
          </w:tcPr>
          <w:p>
            <w:pPr>
              <w:spacing w:after="40"/>
            </w:pPr>
            <w:r>
              <w:rPr>
                <w:sz w:val="18"/>
              </w:rPr>
              <w:t>Changed On</w:t>
            </w:r>
          </w:p>
        </w:tc>
        <w:tc>
          <w:tcPr>
            <w:tcW w:type="dxa" w:w="3005"/>
          </w:tcPr>
          <w:p>
            <w:pPr>
              <w:spacing w:after="40"/>
            </w:pPr>
            <w:r>
              <w:rPr>
                <w:sz w:val="18"/>
              </w:rPr>
              <w:t>x 1502–1580</w:t>
              <w:br/>
              <w:t>y 568–581</w:t>
            </w:r>
          </w:p>
        </w:tc>
        <w:tc>
          <w:tcPr>
            <w:tcW w:type="dxa" w:w="3402"/>
          </w:tcPr>
          <w:p>
            <w:pPr>
              <w:spacing w:after="40"/>
            </w:pPr>
            <w:r>
              <w:rPr>
                <w:sz w:val="18"/>
              </w:rPr>
              <w:t>auf mittlerer Höhe, rechts</w:t>
              <w:br/>
              <w:t>x 79.1–83.1 %</w:t>
              <w:br/>
              <w:t>y 62.1–63.5 %</w:t>
            </w:r>
          </w:p>
        </w:tc>
      </w:tr>
      <w:tr>
        <w:trPr>
          <w:cantSplit/>
        </w:trPr>
        <w:tc>
          <w:tcPr>
            <w:tcW w:type="dxa" w:w="3288"/>
          </w:tcPr>
          <w:p>
            <w:pPr>
              <w:spacing w:after="40"/>
            </w:pPr>
            <w:r>
              <w:rPr>
                <w:sz w:val="18"/>
              </w:rPr>
              <w:t>Favorite</w:t>
            </w:r>
          </w:p>
        </w:tc>
        <w:tc>
          <w:tcPr>
            <w:tcW w:type="dxa" w:w="3005"/>
          </w:tcPr>
          <w:p>
            <w:pPr>
              <w:spacing w:after="40"/>
            </w:pPr>
            <w:r>
              <w:rPr>
                <w:sz w:val="18"/>
              </w:rPr>
              <w:t>x 1694–1742</w:t>
              <w:br/>
              <w:t>y 568–578</w:t>
            </w:r>
          </w:p>
        </w:tc>
        <w:tc>
          <w:tcPr>
            <w:tcW w:type="dxa" w:w="3402"/>
          </w:tcPr>
          <w:p>
            <w:pPr>
              <w:spacing w:after="40"/>
            </w:pPr>
            <w:r>
              <w:rPr>
                <w:sz w:val="18"/>
              </w:rPr>
              <w:t>auf mittlerer Höhe, rechts</w:t>
              <w:br/>
              <w:t>x 89.1–91.7 %</w:t>
              <w:br/>
              <w:t>y 62.1–63.2 %</w:t>
            </w:r>
          </w:p>
        </w:tc>
      </w:tr>
      <w:tr>
        <w:trPr>
          <w:cantSplit/>
        </w:trPr>
        <w:tc>
          <w:tcPr>
            <w:tcW w:type="dxa" w:w="3288"/>
          </w:tcPr>
          <w:p>
            <w:pPr>
              <w:spacing w:after="40"/>
            </w:pPr>
            <w:r>
              <w:rPr>
                <w:sz w:val="18"/>
              </w:rPr>
              <w:t>Data Sharing Cockpit</w:t>
            </w:r>
          </w:p>
        </w:tc>
        <w:tc>
          <w:tcPr>
            <w:tcW w:type="dxa" w:w="3005"/>
          </w:tcPr>
          <w:p>
            <w:pPr>
              <w:spacing w:after="40"/>
            </w:pPr>
            <w:r>
              <w:rPr>
                <w:sz w:val="18"/>
              </w:rPr>
              <w:t>x 40–170</w:t>
              <w:br/>
              <w:t>y 594–607</w:t>
            </w:r>
          </w:p>
        </w:tc>
        <w:tc>
          <w:tcPr>
            <w:tcW w:type="dxa" w:w="3402"/>
          </w:tcPr>
          <w:p>
            <w:pPr>
              <w:spacing w:after="40"/>
            </w:pPr>
            <w:r>
              <w:rPr>
                <w:sz w:val="18"/>
              </w:rPr>
              <w:t>auf mittlerer Höhe, links</w:t>
              <w:br/>
              <w:t>x 2.1–8.9 %</w:t>
              <w:br/>
              <w:t>y 64.9–66.3 %</w:t>
            </w:r>
          </w:p>
        </w:tc>
      </w:tr>
      <w:tr>
        <w:trPr>
          <w:cantSplit/>
        </w:trPr>
        <w:tc>
          <w:tcPr>
            <w:tcW w:type="dxa" w:w="3288"/>
          </w:tcPr>
          <w:p>
            <w:pPr>
              <w:spacing w:after="40"/>
            </w:pPr>
            <w:r>
              <w:rPr>
                <w:sz w:val="18"/>
              </w:rPr>
              <w:t>Security</w:t>
            </w:r>
          </w:p>
        </w:tc>
        <w:tc>
          <w:tcPr>
            <w:tcW w:type="dxa" w:w="3005"/>
          </w:tcPr>
          <w:p>
            <w:pPr>
              <w:spacing w:after="40"/>
            </w:pPr>
            <w:r>
              <w:rPr>
                <w:sz w:val="18"/>
              </w:rPr>
              <w:t>x 40–90</w:t>
              <w:br/>
              <w:t>y 848–861</w:t>
            </w:r>
          </w:p>
        </w:tc>
        <w:tc>
          <w:tcPr>
            <w:tcW w:type="dxa" w:w="3402"/>
          </w:tcPr>
          <w:p>
            <w:pPr>
              <w:spacing w:after="40"/>
            </w:pPr>
            <w:r>
              <w:rPr>
                <w:sz w:val="18"/>
              </w:rPr>
              <w:t>unten, links</w:t>
              <w:br/>
              <w:t>x 2.1–4.7 %</w:t>
              <w:br/>
              <w:t>y 92.7–94.1 %</w:t>
            </w:r>
          </w:p>
        </w:tc>
      </w:tr>
      <w:tr>
        <w:trPr>
          <w:cantSplit/>
        </w:trPr>
        <w:tc>
          <w:tcPr>
            <w:tcW w:type="dxa" w:w="3288"/>
          </w:tcPr>
          <w:p>
            <w:pPr>
              <w:spacing w:after="40"/>
            </w:pPr>
            <w:r>
              <w:rPr>
                <w:sz w:val="18"/>
              </w:rPr>
              <w:t>System</w:t>
            </w:r>
          </w:p>
        </w:tc>
        <w:tc>
          <w:tcPr>
            <w:tcW w:type="dxa" w:w="3005"/>
          </w:tcPr>
          <w:p>
            <w:pPr>
              <w:spacing w:after="40"/>
            </w:pPr>
            <w:r>
              <w:rPr>
                <w:sz w:val="18"/>
              </w:rPr>
              <w:t>x 40–85</w:t>
              <w:br/>
              <w:t>y 884–897</w:t>
            </w:r>
          </w:p>
        </w:tc>
        <w:tc>
          <w:tcPr>
            <w:tcW w:type="dxa" w:w="3402"/>
          </w:tcPr>
          <w:p>
            <w:pPr>
              <w:spacing w:after="40"/>
            </w:pPr>
            <w:r>
              <w:rPr>
                <w:sz w:val="18"/>
              </w:rPr>
              <w:t>unten, links</w:t>
              <w:br/>
              <w:t>x 2.1–4.5 %</w:t>
              <w:br/>
              <w:t>y 96.6–98.0 %</w:t>
            </w:r>
          </w:p>
        </w:tc>
      </w:tr>
      <w:tr>
        <w:trPr>
          <w:cantSplit/>
        </w:trPr>
        <w:tc>
          <w:tcPr>
            <w:tcW w:type="dxa" w:w="3288"/>
          </w:tcPr>
          <w:p>
            <w:pPr>
              <w:spacing w:after="40"/>
            </w:pPr>
            <w:r>
              <w:rPr>
                <w:sz w:val="18"/>
              </w:rPr>
              <w:t>Deployed</w:t>
            </w:r>
          </w:p>
        </w:tc>
        <w:tc>
          <w:tcPr>
            <w:tcW w:type="dxa" w:w="3005"/>
          </w:tcPr>
          <w:p>
            <w:pPr>
              <w:spacing w:after="40"/>
            </w:pPr>
            <w:r>
              <w:rPr>
                <w:sz w:val="18"/>
              </w:rPr>
              <w:t>x 1330–1388</w:t>
              <w:br/>
              <w:t>y 890–903</w:t>
            </w:r>
          </w:p>
        </w:tc>
        <w:tc>
          <w:tcPr>
            <w:tcW w:type="dxa" w:w="3402"/>
          </w:tcPr>
          <w:p>
            <w:pPr>
              <w:spacing w:after="40"/>
            </w:pPr>
            <w:r>
              <w:rPr>
                <w:sz w:val="18"/>
              </w:rPr>
              <w:t>unten, rechts</w:t>
              <w:br/>
              <w:t>x 70.0–73.1 %</w:t>
              <w:br/>
              <w:t>y 97.3–98.7 %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19: Data Builder: geöffnetes Importmenü</w:t>
      </w:r>
    </w:p>
    <w:p>
      <w:r>
        <w:t>Bildformat: 1907 × 907 Pixel. Die folgenden Positionen beziehen sich auf dieses vollständige Bild.</w:t>
      </w:r>
    </w:p>
    <w:p>
      <w:pPr>
        <w:pStyle w:val="Heading2"/>
      </w:pPr>
      <w:r>
        <w:t>1. Gesamtaufbau und sichtbarer Zustand</w:t>
      </w:r>
    </w:p>
    <w:p>
      <w:pPr>
        <w:pStyle w:val="Heading3"/>
      </w:pPr>
      <w:r>
        <w:t>Gesamtansicht</w:t>
      </w:r>
    </w:p>
    <w:p>
      <w:r>
        <w:t>Der Screenshot zeigt die Data-Builder-Übersicht mit Begrüßung, Objektkategorien, Erstellungsaktionen und Objektliste. Rechts oberhalb beziehungsweise über der Tabelle ist ein Importmenü geöffnet.</w:t>
      </w:r>
    </w:p>
    <w:p>
      <w:pPr>
        <w:pStyle w:val="Heading3"/>
      </w:pPr>
      <w:r>
        <w:t>Importmenü</w:t>
      </w:r>
    </w:p>
    <w:p>
      <w:r>
        <w:t>Das vertikale Menü enthält die sichtbaren Einträge Import Objects from CSN/JSON File, Import Entities, Import Remote Tables, Validate Remote Tables und Import Permissions. Jeder Eintrag steht in einer eigenen Zeile. Das Menü liegt rechts im Hauptbereich und verdeckt einen Teil der Tabelle.</w:t>
      </w:r>
    </w:p>
    <w:p>
      <w:pPr>
        <w:pStyle w:val="Heading3"/>
      </w:pPr>
      <w:r>
        <w:t>Oberer Hintergrund</w:t>
      </w:r>
    </w:p>
    <w:p>
      <w:r>
        <w:t>Im oberen Bereich bleiben die Begrüßungsüberschrift und die horizontale Kategorienreihe sichtbar. Darunter stehen die großen Aktionen für neue Tabellen, Views, Modelle und Flows. Zwischen diesen Aktionen und der Tabelle befindet sich die Such- und Werkzeugleiste.</w:t>
      </w:r>
    </w:p>
    <w:p>
      <w:pPr>
        <w:pStyle w:val="Heading3"/>
      </w:pPr>
      <w:r>
        <w:t>Tabelle und Navigation</w:t>
      </w:r>
    </w:p>
    <w:p>
      <w:r>
        <w:t>Die Objektliste im unteren Bereich zeigt Ordnerzeilen und einen View-Eintrag mit Bereitstellungsstatus. Rechts stehen Datum und Uhrzeit in einer eigenen Spalte. Die globale Navigation bleibt am linken Rand sichtbar. Es ist noch kein Datei-Auswahldialog oder Importformular eingeblendet.</w:t>
      </w:r>
    </w:p>
    <w:p>
      <w:pPr>
        <w:pStyle w:val="Heading2"/>
      </w:pPr>
      <w:r>
        <w:t>2. Räumliche Beschreibung von oben nach unten</w:t>
      </w:r>
    </w:p>
    <w:p>
      <w:pPr>
        <w:pStyle w:val="Heading3"/>
      </w:pPr>
      <w:r>
        <w:t>Hintergrund</w:t>
      </w:r>
    </w:p>
    <w:p>
      <w:r>
        <w:rPr>
          <w:b/>
        </w:rPr>
        <w:t xml:space="preserve">Ungefähre Bildregion: </w:t>
      </w:r>
      <w:r>
        <w:t>x 16–98 %, y 11–100 %</w:t>
      </w:r>
    </w:p>
    <w:p>
      <w:r>
        <w:t>Die Kategorien und großen Erstellungsaktionen bleiben vollständig beziehungsweise überwiegend sichtbar. Die Objektliste beginnt darunter.</w:t>
      </w:r>
    </w:p>
    <w:p>
      <w:pPr>
        <w:pStyle w:val="Heading3"/>
      </w:pPr>
      <w:r>
        <w:t>Geöffnetes Importmenü</w:t>
      </w:r>
    </w:p>
    <w:p>
      <w:r>
        <w:rPr>
          <w:b/>
        </w:rPr>
        <w:t xml:space="preserve">Ungefähre Bildregion: </w:t>
      </w:r>
      <w:r>
        <w:t>x 79–97 %, y 59–78 %</w:t>
      </w:r>
    </w:p>
    <w:p>
      <w:r>
        <w:t>Das Menü liegt rechts über dem oberen Teil der Objektliste. Von oben nach unten stehen Import Objects from CSN/JSON File, Import Entities, Import Remote Tables, Validate Remote Tables und Import Permissions. Die Zeilen sind gleichmäßig voneinander getrennt; der erste Eintrag ist länger als die folgenden.</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Data Builder</w:t>
            </w:r>
          </w:p>
        </w:tc>
        <w:tc>
          <w:tcPr>
            <w:tcW w:type="dxa" w:w="3005"/>
          </w:tcPr>
          <w:p>
            <w:pPr>
              <w:spacing w:after="40"/>
            </w:pPr>
            <w:r>
              <w:rPr>
                <w:sz w:val="18"/>
              </w:rPr>
              <w:t>x 224–299</w:t>
              <w:br/>
              <w:t>y 49–59</w:t>
            </w:r>
          </w:p>
        </w:tc>
        <w:tc>
          <w:tcPr>
            <w:tcW w:type="dxa" w:w="3402"/>
          </w:tcPr>
          <w:p>
            <w:pPr>
              <w:spacing w:after="40"/>
            </w:pPr>
            <w:r>
              <w:rPr>
                <w:sz w:val="18"/>
              </w:rPr>
              <w:t>oben, links</w:t>
              <w:br/>
              <w:t>x 11.7–15.7 %</w:t>
              <w:br/>
              <w:t>y 5.4–6.5 %</w:t>
            </w:r>
          </w:p>
        </w:tc>
      </w:tr>
      <w:tr>
        <w:trPr>
          <w:cantSplit/>
        </w:trPr>
        <w:tc>
          <w:tcPr>
            <w:tcW w:type="dxa" w:w="3288"/>
          </w:tcPr>
          <w:p>
            <w:pPr>
              <w:spacing w:after="40"/>
            </w:pPr>
            <w:r>
              <w:rPr>
                <w:sz w:val="18"/>
              </w:rPr>
              <w:t>Home</w:t>
            </w:r>
          </w:p>
        </w:tc>
        <w:tc>
          <w:tcPr>
            <w:tcW w:type="dxa" w:w="3005"/>
          </w:tcPr>
          <w:p>
            <w:pPr>
              <w:spacing w:after="40"/>
            </w:pPr>
            <w:r>
              <w:rPr>
                <w:sz w:val="18"/>
              </w:rPr>
              <w:t>x 48–85</w:t>
              <w:br/>
              <w:t>y 99–109</w:t>
            </w:r>
          </w:p>
        </w:tc>
        <w:tc>
          <w:tcPr>
            <w:tcW w:type="dxa" w:w="3402"/>
          </w:tcPr>
          <w:p>
            <w:pPr>
              <w:spacing w:after="40"/>
            </w:pPr>
            <w:r>
              <w:rPr>
                <w:sz w:val="18"/>
              </w:rPr>
              <w:t>oben, links</w:t>
              <w:br/>
              <w:t>x 2.5–4.5 %</w:t>
              <w:br/>
              <w:t>y 10.9–12.0 %</w:t>
            </w:r>
          </w:p>
        </w:tc>
      </w:tr>
      <w:tr>
        <w:trPr>
          <w:cantSplit/>
        </w:trPr>
        <w:tc>
          <w:tcPr>
            <w:tcW w:type="dxa" w:w="3288"/>
          </w:tcPr>
          <w:p>
            <w:pPr>
              <w:spacing w:after="40"/>
            </w:pPr>
            <w:r>
              <w:rPr>
                <w:sz w:val="18"/>
              </w:rPr>
              <w:t>Repository Explorer</w:t>
            </w:r>
          </w:p>
        </w:tc>
        <w:tc>
          <w:tcPr>
            <w:tcW w:type="dxa" w:w="3005"/>
          </w:tcPr>
          <w:p>
            <w:pPr>
              <w:spacing w:after="40"/>
            </w:pPr>
            <w:r>
              <w:rPr>
                <w:sz w:val="18"/>
              </w:rPr>
              <w:t>x 48–170</w:t>
              <w:br/>
              <w:t>y 135–148</w:t>
            </w:r>
          </w:p>
        </w:tc>
        <w:tc>
          <w:tcPr>
            <w:tcW w:type="dxa" w:w="3402"/>
          </w:tcPr>
          <w:p>
            <w:pPr>
              <w:spacing w:after="40"/>
            </w:pPr>
            <w:r>
              <w:rPr>
                <w:sz w:val="18"/>
              </w:rPr>
              <w:t>oben, links</w:t>
              <w:br/>
              <w:t>x 2.5–8.9 %</w:t>
              <w:br/>
              <w:t>y 14.9–16.3 %</w:t>
            </w:r>
          </w:p>
        </w:tc>
      </w:tr>
      <w:tr>
        <w:trPr>
          <w:cantSplit/>
        </w:trPr>
        <w:tc>
          <w:tcPr>
            <w:tcW w:type="dxa" w:w="3288"/>
          </w:tcPr>
          <w:p>
            <w:pPr>
              <w:spacing w:after="40"/>
            </w:pPr>
            <w:r>
              <w:rPr>
                <w:sz w:val="18"/>
              </w:rPr>
              <w:t>Welcome to the Data Builder</w:t>
            </w:r>
          </w:p>
        </w:tc>
        <w:tc>
          <w:tcPr>
            <w:tcW w:type="dxa" w:w="3005"/>
          </w:tcPr>
          <w:p>
            <w:pPr>
              <w:spacing w:after="40"/>
            </w:pPr>
            <w:r>
              <w:rPr>
                <w:sz w:val="18"/>
              </w:rPr>
              <w:t>x 304–645</w:t>
              <w:br/>
              <w:t>y 138–157</w:t>
            </w:r>
          </w:p>
        </w:tc>
        <w:tc>
          <w:tcPr>
            <w:tcW w:type="dxa" w:w="3402"/>
          </w:tcPr>
          <w:p>
            <w:pPr>
              <w:spacing w:after="40"/>
            </w:pPr>
            <w:r>
              <w:rPr>
                <w:sz w:val="18"/>
              </w:rPr>
              <w:t>oben, links</w:t>
              <w:br/>
              <w:t>x 15.9–33.8 %</w:t>
              <w:br/>
              <w:t>y 15.2–17.3 %</w:t>
            </w:r>
          </w:p>
        </w:tc>
      </w:tr>
      <w:tr>
        <w:trPr>
          <w:cantSplit/>
        </w:trPr>
        <w:tc>
          <w:tcPr>
            <w:tcW w:type="dxa" w:w="3288"/>
          </w:tcPr>
          <w:p>
            <w:pPr>
              <w:spacing w:after="40"/>
            </w:pPr>
            <w:r>
              <w:rPr>
                <w:sz w:val="18"/>
              </w:rPr>
              <w:t>Monitoring</w:t>
            </w:r>
          </w:p>
        </w:tc>
        <w:tc>
          <w:tcPr>
            <w:tcW w:type="dxa" w:w="3005"/>
          </w:tcPr>
          <w:p>
            <w:pPr>
              <w:spacing w:after="40"/>
            </w:pPr>
            <w:r>
              <w:rPr>
                <w:sz w:val="18"/>
              </w:rPr>
              <w:t>x 48–114</w:t>
              <w:br/>
              <w:t>y 171–184</w:t>
            </w:r>
          </w:p>
        </w:tc>
        <w:tc>
          <w:tcPr>
            <w:tcW w:type="dxa" w:w="3402"/>
          </w:tcPr>
          <w:p>
            <w:pPr>
              <w:spacing w:after="40"/>
            </w:pPr>
            <w:r>
              <w:rPr>
                <w:sz w:val="18"/>
              </w:rPr>
              <w:t>oben, links</w:t>
              <w:br/>
              <w:t>x 2.5–6.0 %</w:t>
              <w:br/>
              <w:t>y 18.9–20.3 %</w:t>
            </w:r>
          </w:p>
        </w:tc>
      </w:tr>
      <w:tr>
        <w:trPr>
          <w:cantSplit/>
        </w:trPr>
        <w:tc>
          <w:tcPr>
            <w:tcW w:type="dxa" w:w="3288"/>
          </w:tcPr>
          <w:p>
            <w:pPr>
              <w:spacing w:after="40"/>
            </w:pPr>
            <w:r>
              <w:rPr>
                <w:sz w:val="18"/>
              </w:rPr>
              <w:t>tables,</w:t>
            </w:r>
          </w:p>
        </w:tc>
        <w:tc>
          <w:tcPr>
            <w:tcW w:type="dxa" w:w="3005"/>
          </w:tcPr>
          <w:p>
            <w:pPr>
              <w:spacing w:after="40"/>
            </w:pPr>
            <w:r>
              <w:rPr>
                <w:sz w:val="18"/>
              </w:rPr>
              <w:t>x 396–437</w:t>
              <w:br/>
              <w:t>y 179–190</w:t>
            </w:r>
          </w:p>
        </w:tc>
        <w:tc>
          <w:tcPr>
            <w:tcW w:type="dxa" w:w="3402"/>
          </w:tcPr>
          <w:p>
            <w:pPr>
              <w:spacing w:after="40"/>
            </w:pPr>
            <w:r>
              <w:rPr>
                <w:sz w:val="18"/>
              </w:rPr>
              <w:t>oben, links</w:t>
              <w:br/>
              <w:t>x 20.8–22.9 %</w:t>
              <w:br/>
              <w:t>y 19.7–21.0 %</w:t>
            </w:r>
          </w:p>
        </w:tc>
      </w:tr>
      <w:tr>
        <w:trPr>
          <w:cantSplit/>
        </w:trPr>
        <w:tc>
          <w:tcPr>
            <w:tcW w:type="dxa" w:w="3288"/>
          </w:tcPr>
          <w:p>
            <w:pPr>
              <w:spacing w:after="40"/>
            </w:pPr>
            <w:r>
              <w:rPr>
                <w:sz w:val="18"/>
              </w:rPr>
              <w:t>views,</w:t>
            </w:r>
          </w:p>
        </w:tc>
        <w:tc>
          <w:tcPr>
            <w:tcW w:type="dxa" w:w="3005"/>
          </w:tcPr>
          <w:p>
            <w:pPr>
              <w:spacing w:after="40"/>
            </w:pPr>
            <w:r>
              <w:rPr>
                <w:sz w:val="18"/>
              </w:rPr>
              <w:t>x 589–626</w:t>
              <w:br/>
              <w:t>y 180–190</w:t>
            </w:r>
          </w:p>
        </w:tc>
        <w:tc>
          <w:tcPr>
            <w:tcW w:type="dxa" w:w="3402"/>
          </w:tcPr>
          <w:p>
            <w:pPr>
              <w:spacing w:after="40"/>
            </w:pPr>
            <w:r>
              <w:rPr>
                <w:sz w:val="18"/>
              </w:rPr>
              <w:t>oben, links</w:t>
              <w:br/>
              <w:t>x 30.9–32.8 %</w:t>
              <w:br/>
              <w:t>y 19.8–21.0 %</w:t>
            </w:r>
          </w:p>
        </w:tc>
      </w:tr>
      <w:tr>
        <w:trPr>
          <w:cantSplit/>
        </w:trPr>
        <w:tc>
          <w:tcPr>
            <w:tcW w:type="dxa" w:w="3288"/>
          </w:tcPr>
          <w:p>
            <w:pPr>
              <w:spacing w:after="40"/>
            </w:pPr>
            <w:r>
              <w:rPr>
                <w:sz w:val="18"/>
              </w:rPr>
              <w:t>analytic models</w:t>
            </w:r>
          </w:p>
        </w:tc>
        <w:tc>
          <w:tcPr>
            <w:tcW w:type="dxa" w:w="3005"/>
          </w:tcPr>
          <w:p>
            <w:pPr>
              <w:spacing w:after="40"/>
            </w:pPr>
            <w:r>
              <w:rPr>
                <w:sz w:val="18"/>
              </w:rPr>
              <w:t>x 836–931</w:t>
              <w:br/>
              <w:t>y 179–192</w:t>
            </w:r>
          </w:p>
        </w:tc>
        <w:tc>
          <w:tcPr>
            <w:tcW w:type="dxa" w:w="3402"/>
          </w:tcPr>
          <w:p>
            <w:pPr>
              <w:spacing w:after="40"/>
            </w:pPr>
            <w:r>
              <w:rPr>
                <w:sz w:val="18"/>
              </w:rPr>
              <w:t>oben, mittig</w:t>
              <w:br/>
              <w:t>x 43.8–48.8 %</w:t>
              <w:br/>
              <w:t>y 19.7–21.2 %</w:t>
            </w:r>
          </w:p>
        </w:tc>
      </w:tr>
      <w:tr>
        <w:trPr>
          <w:cantSplit/>
        </w:trPr>
        <w:tc>
          <w:tcPr>
            <w:tcW w:type="dxa" w:w="3288"/>
          </w:tcPr>
          <w:p>
            <w:pPr>
              <w:spacing w:after="40"/>
            </w:pPr>
            <w:r>
              <w:rPr>
                <w:sz w:val="18"/>
              </w:rPr>
              <w:t>apps,</w:t>
            </w:r>
          </w:p>
        </w:tc>
        <w:tc>
          <w:tcPr>
            <w:tcW w:type="dxa" w:w="3005"/>
          </w:tcPr>
          <w:p>
            <w:pPr>
              <w:spacing w:after="40"/>
            </w:pPr>
            <w:r>
              <w:rPr>
                <w:sz w:val="18"/>
              </w:rPr>
              <w:t>x 1400–1432</w:t>
              <w:br/>
              <w:t>y 182–192</w:t>
            </w:r>
          </w:p>
        </w:tc>
        <w:tc>
          <w:tcPr>
            <w:tcW w:type="dxa" w:w="3402"/>
          </w:tcPr>
          <w:p>
            <w:pPr>
              <w:spacing w:after="40"/>
            </w:pPr>
            <w:r>
              <w:rPr>
                <w:sz w:val="18"/>
              </w:rPr>
              <w:t>oben, rechts</w:t>
              <w:br/>
              <w:t>x 73.4–75.1 %</w:t>
              <w:br/>
              <w:t>y 20.1–21.2 %</w:t>
            </w:r>
          </w:p>
        </w:tc>
      </w:tr>
      <w:tr>
        <w:trPr>
          <w:cantSplit/>
        </w:trPr>
        <w:tc>
          <w:tcPr>
            <w:tcW w:type="dxa" w:w="3288"/>
          </w:tcPr>
          <w:p>
            <w:pPr>
              <w:spacing w:after="40"/>
            </w:pPr>
            <w:r>
              <w:rPr>
                <w:sz w:val="18"/>
              </w:rPr>
              <w:t>Catalog &amp; Marketplace</w:t>
            </w:r>
          </w:p>
        </w:tc>
        <w:tc>
          <w:tcPr>
            <w:tcW w:type="dxa" w:w="3005"/>
          </w:tcPr>
          <w:p>
            <w:pPr>
              <w:spacing w:after="40"/>
            </w:pPr>
            <w:r>
              <w:rPr>
                <w:sz w:val="18"/>
              </w:rPr>
              <w:t>x 48–189</w:t>
              <w:br/>
              <w:t>y 207–220</w:t>
            </w:r>
          </w:p>
        </w:tc>
        <w:tc>
          <w:tcPr>
            <w:tcW w:type="dxa" w:w="3402"/>
          </w:tcPr>
          <w:p>
            <w:pPr>
              <w:spacing w:after="40"/>
            </w:pPr>
            <w:r>
              <w:rPr>
                <w:sz w:val="18"/>
              </w:rPr>
              <w:t>oben, links</w:t>
              <w:br/>
              <w:t>x 2.5–9.9 %</w:t>
              <w:br/>
              <w:t>y 22.8–24.3 %</w:t>
            </w:r>
          </w:p>
        </w:tc>
      </w:tr>
      <w:tr>
        <w:trPr>
          <w:cantSplit/>
        </w:trPr>
        <w:tc>
          <w:tcPr>
            <w:tcW w:type="dxa" w:w="3288"/>
          </w:tcPr>
          <w:p>
            <w:pPr>
              <w:spacing w:after="40"/>
            </w:pPr>
            <w:r>
              <w:rPr>
                <w:sz w:val="18"/>
              </w:rPr>
              <w:t>Apps</w:t>
            </w:r>
          </w:p>
        </w:tc>
        <w:tc>
          <w:tcPr>
            <w:tcW w:type="dxa" w:w="3005"/>
          </w:tcPr>
          <w:p>
            <w:pPr>
              <w:spacing w:after="40"/>
            </w:pPr>
            <w:r>
              <w:rPr>
                <w:sz w:val="18"/>
              </w:rPr>
              <w:t>x 24–55</w:t>
              <w:br/>
              <w:t>y 253–266</w:t>
            </w:r>
          </w:p>
        </w:tc>
        <w:tc>
          <w:tcPr>
            <w:tcW w:type="dxa" w:w="3402"/>
          </w:tcPr>
          <w:p>
            <w:pPr>
              <w:spacing w:after="40"/>
            </w:pPr>
            <w:r>
              <w:rPr>
                <w:sz w:val="18"/>
              </w:rPr>
              <w:t>oben, links</w:t>
              <w:br/>
              <w:t>x 1.3–2.9 %</w:t>
              <w:br/>
              <w:t>y 27.9–29.3 %</w:t>
            </w:r>
          </w:p>
        </w:tc>
      </w:tr>
      <w:tr>
        <w:trPr>
          <w:cantSplit/>
        </w:trPr>
        <w:tc>
          <w:tcPr>
            <w:tcW w:type="dxa" w:w="3288"/>
          </w:tcPr>
          <w:p>
            <w:pPr>
              <w:spacing w:after="40"/>
            </w:pPr>
            <w:r>
              <w:rPr>
                <w:sz w:val="18"/>
              </w:rPr>
              <w:t>All Files</w:t>
            </w:r>
          </w:p>
        </w:tc>
        <w:tc>
          <w:tcPr>
            <w:tcW w:type="dxa" w:w="3005"/>
          </w:tcPr>
          <w:p>
            <w:pPr>
              <w:spacing w:after="40"/>
            </w:pPr>
            <w:r>
              <w:rPr>
                <w:sz w:val="18"/>
              </w:rPr>
              <w:t>x 292–344</w:t>
              <w:br/>
              <w:t>y 257–267</w:t>
            </w:r>
          </w:p>
        </w:tc>
        <w:tc>
          <w:tcPr>
            <w:tcW w:type="dxa" w:w="3402"/>
          </w:tcPr>
          <w:p>
            <w:pPr>
              <w:spacing w:after="40"/>
            </w:pPr>
            <w:r>
              <w:rPr>
                <w:sz w:val="18"/>
              </w:rPr>
              <w:t>oben, links</w:t>
              <w:br/>
              <w:t>x 15.3–18.0 %</w:t>
              <w:br/>
              <w:t>y 28.3–29.4 %</w:t>
            </w:r>
          </w:p>
        </w:tc>
      </w:tr>
      <w:tr>
        <w:trPr>
          <w:cantSplit/>
        </w:trPr>
        <w:tc>
          <w:tcPr>
            <w:tcW w:type="dxa" w:w="3288"/>
          </w:tcPr>
          <w:p>
            <w:pPr>
              <w:spacing w:after="40"/>
            </w:pPr>
            <w:r>
              <w:rPr>
                <w:sz w:val="18"/>
              </w:rPr>
              <w:t>Tables</w:t>
            </w:r>
          </w:p>
        </w:tc>
        <w:tc>
          <w:tcPr>
            <w:tcW w:type="dxa" w:w="3005"/>
          </w:tcPr>
          <w:p>
            <w:pPr>
              <w:spacing w:after="40"/>
            </w:pPr>
            <w:r>
              <w:rPr>
                <w:sz w:val="18"/>
              </w:rPr>
              <w:t>x 376–418</w:t>
              <w:br/>
              <w:t>y 257–267</w:t>
            </w:r>
          </w:p>
        </w:tc>
        <w:tc>
          <w:tcPr>
            <w:tcW w:type="dxa" w:w="3402"/>
          </w:tcPr>
          <w:p>
            <w:pPr>
              <w:spacing w:after="40"/>
            </w:pPr>
            <w:r>
              <w:rPr>
                <w:sz w:val="18"/>
              </w:rPr>
              <w:t>oben, links</w:t>
              <w:br/>
              <w:t>x 19.7–21.9 %</w:t>
              <w:br/>
              <w:t>y 28.3–29.4 %</w:t>
            </w:r>
          </w:p>
        </w:tc>
      </w:tr>
      <w:tr>
        <w:trPr>
          <w:cantSplit/>
        </w:trPr>
        <w:tc>
          <w:tcPr>
            <w:tcW w:type="dxa" w:w="3288"/>
          </w:tcPr>
          <w:p>
            <w:pPr>
              <w:spacing w:after="40"/>
            </w:pPr>
            <w:r>
              <w:rPr>
                <w:sz w:val="18"/>
              </w:rPr>
              <w:t>Views</w:t>
            </w:r>
          </w:p>
        </w:tc>
        <w:tc>
          <w:tcPr>
            <w:tcW w:type="dxa" w:w="3005"/>
          </w:tcPr>
          <w:p>
            <w:pPr>
              <w:spacing w:after="40"/>
            </w:pPr>
            <w:r>
              <w:rPr>
                <w:sz w:val="18"/>
              </w:rPr>
              <w:t>x 450–488</w:t>
              <w:br/>
              <w:t>y 257–267</w:t>
            </w:r>
          </w:p>
        </w:tc>
        <w:tc>
          <w:tcPr>
            <w:tcW w:type="dxa" w:w="3402"/>
          </w:tcPr>
          <w:p>
            <w:pPr>
              <w:spacing w:after="40"/>
            </w:pPr>
            <w:r>
              <w:rPr>
                <w:sz w:val="18"/>
              </w:rPr>
              <w:t>oben, links</w:t>
              <w:br/>
              <w:t>x 23.6–25.6 %</w:t>
              <w:br/>
              <w:t>y 28.3–29.4 %</w:t>
            </w:r>
          </w:p>
        </w:tc>
      </w:tr>
      <w:tr>
        <w:trPr>
          <w:cantSplit/>
        </w:trPr>
        <w:tc>
          <w:tcPr>
            <w:tcW w:type="dxa" w:w="3288"/>
          </w:tcPr>
          <w:p>
            <w:pPr>
              <w:spacing w:after="40"/>
            </w:pPr>
            <w:r>
              <w:rPr>
                <w:sz w:val="18"/>
              </w:rPr>
              <w:t>E/R Models</w:t>
            </w:r>
          </w:p>
        </w:tc>
        <w:tc>
          <w:tcPr>
            <w:tcW w:type="dxa" w:w="3005"/>
          </w:tcPr>
          <w:p>
            <w:pPr>
              <w:spacing w:after="40"/>
            </w:pPr>
            <w:r>
              <w:rPr>
                <w:sz w:val="18"/>
              </w:rPr>
              <w:t>x 522–595</w:t>
              <w:br/>
              <w:t>y 257–267</w:t>
            </w:r>
          </w:p>
        </w:tc>
        <w:tc>
          <w:tcPr>
            <w:tcW w:type="dxa" w:w="3402"/>
          </w:tcPr>
          <w:p>
            <w:pPr>
              <w:spacing w:after="40"/>
            </w:pPr>
            <w:r>
              <w:rPr>
                <w:sz w:val="18"/>
              </w:rPr>
              <w:t>oben, links</w:t>
              <w:br/>
              <w:t>x 27.3–31.2 %</w:t>
              <w:br/>
              <w:t>y 28.3–29.4 %</w:t>
            </w:r>
          </w:p>
        </w:tc>
      </w:tr>
      <w:tr>
        <w:trPr>
          <w:cantSplit/>
        </w:trPr>
        <w:tc>
          <w:tcPr>
            <w:tcW w:type="dxa" w:w="3288"/>
          </w:tcPr>
          <w:p>
            <w:pPr>
              <w:spacing w:after="40"/>
            </w:pPr>
            <w:r>
              <w:rPr>
                <w:sz w:val="18"/>
              </w:rPr>
              <w:t>Analytic Models</w:t>
            </w:r>
          </w:p>
        </w:tc>
        <w:tc>
          <w:tcPr>
            <w:tcW w:type="dxa" w:w="3005"/>
          </w:tcPr>
          <w:p>
            <w:pPr>
              <w:spacing w:after="40"/>
            </w:pPr>
            <w:r>
              <w:rPr>
                <w:sz w:val="18"/>
              </w:rPr>
              <w:t>x 628–733</w:t>
              <w:br/>
              <w:t>y 257–270</w:t>
            </w:r>
          </w:p>
        </w:tc>
        <w:tc>
          <w:tcPr>
            <w:tcW w:type="dxa" w:w="3402"/>
          </w:tcPr>
          <w:p>
            <w:pPr>
              <w:spacing w:after="40"/>
            </w:pPr>
            <w:r>
              <w:rPr>
                <w:sz w:val="18"/>
              </w:rPr>
              <w:t>oben, mittig</w:t>
              <w:br/>
              <w:t>x 32.9–38.4 %</w:t>
              <w:br/>
              <w:t>y 28.3–29.8 %</w:t>
            </w:r>
          </w:p>
        </w:tc>
      </w:tr>
      <w:tr>
        <w:trPr>
          <w:cantSplit/>
        </w:trPr>
        <w:tc>
          <w:tcPr>
            <w:tcW w:type="dxa" w:w="3288"/>
          </w:tcPr>
          <w:p>
            <w:pPr>
              <w:spacing w:after="40"/>
            </w:pPr>
            <w:r>
              <w:rPr>
                <w:sz w:val="18"/>
              </w:rPr>
              <w:t>Flows</w:t>
            </w:r>
          </w:p>
        </w:tc>
        <w:tc>
          <w:tcPr>
            <w:tcW w:type="dxa" w:w="3005"/>
          </w:tcPr>
          <w:p>
            <w:pPr>
              <w:spacing w:after="40"/>
            </w:pPr>
            <w:r>
              <w:rPr>
                <w:sz w:val="18"/>
              </w:rPr>
              <w:t>x 766–804</w:t>
              <w:br/>
              <w:t>y 257–267</w:t>
            </w:r>
          </w:p>
        </w:tc>
        <w:tc>
          <w:tcPr>
            <w:tcW w:type="dxa" w:w="3402"/>
          </w:tcPr>
          <w:p>
            <w:pPr>
              <w:spacing w:after="40"/>
            </w:pPr>
            <w:r>
              <w:rPr>
                <w:sz w:val="18"/>
              </w:rPr>
              <w:t>oben, mittig</w:t>
              <w:br/>
              <w:t>x 40.2–42.1 %</w:t>
              <w:br/>
              <w:t>y 28.3–29.4 %</w:t>
            </w:r>
          </w:p>
        </w:tc>
      </w:tr>
      <w:tr>
        <w:trPr>
          <w:cantSplit/>
        </w:trPr>
        <w:tc>
          <w:tcPr>
            <w:tcW w:type="dxa" w:w="3288"/>
          </w:tcPr>
          <w:p>
            <w:pPr>
              <w:spacing w:after="40"/>
            </w:pPr>
            <w:r>
              <w:rPr>
                <w:sz w:val="18"/>
              </w:rPr>
              <w:t>Intelligent Lookups</w:t>
            </w:r>
          </w:p>
        </w:tc>
        <w:tc>
          <w:tcPr>
            <w:tcW w:type="dxa" w:w="3005"/>
          </w:tcPr>
          <w:p>
            <w:pPr>
              <w:spacing w:after="40"/>
            </w:pPr>
            <w:r>
              <w:rPr>
                <w:sz w:val="18"/>
              </w:rPr>
              <w:t>x 836–962</w:t>
              <w:br/>
              <w:t>y 257–270</w:t>
            </w:r>
          </w:p>
        </w:tc>
        <w:tc>
          <w:tcPr>
            <w:tcW w:type="dxa" w:w="3402"/>
          </w:tcPr>
          <w:p>
            <w:pPr>
              <w:spacing w:after="40"/>
            </w:pPr>
            <w:r>
              <w:rPr>
                <w:sz w:val="18"/>
              </w:rPr>
              <w:t>oben, mittig</w:t>
              <w:br/>
              <w:t>x 43.9–50.5 %</w:t>
              <w:br/>
              <w:t>y 28.3–29.8 %</w:t>
            </w:r>
          </w:p>
        </w:tc>
      </w:tr>
      <w:tr>
        <w:trPr>
          <w:cantSplit/>
        </w:trPr>
        <w:tc>
          <w:tcPr>
            <w:tcW w:type="dxa" w:w="3288"/>
          </w:tcPr>
          <w:p>
            <w:pPr>
              <w:spacing w:after="40"/>
            </w:pPr>
            <w:r>
              <w:rPr>
                <w:sz w:val="18"/>
              </w:rPr>
              <w:t>Task Chains</w:t>
            </w:r>
          </w:p>
        </w:tc>
        <w:tc>
          <w:tcPr>
            <w:tcW w:type="dxa" w:w="3005"/>
          </w:tcPr>
          <w:p>
            <w:pPr>
              <w:spacing w:after="40"/>
            </w:pPr>
            <w:r>
              <w:rPr>
                <w:sz w:val="18"/>
              </w:rPr>
              <w:t>x 995–1074</w:t>
              <w:br/>
              <w:t>y 257–267</w:t>
            </w:r>
          </w:p>
        </w:tc>
        <w:tc>
          <w:tcPr>
            <w:tcW w:type="dxa" w:w="3402"/>
          </w:tcPr>
          <w:p>
            <w:pPr>
              <w:spacing w:after="40"/>
            </w:pPr>
            <w:r>
              <w:rPr>
                <w:sz w:val="18"/>
              </w:rPr>
              <w:t>oben, mittig</w:t>
              <w:br/>
              <w:t>x 52.2–56.3 %</w:t>
              <w:br/>
              <w:t>y 28.3–29.4 %</w:t>
            </w:r>
          </w:p>
        </w:tc>
      </w:tr>
      <w:tr>
        <w:trPr>
          <w:cantSplit/>
        </w:trPr>
        <w:tc>
          <w:tcPr>
            <w:tcW w:type="dxa" w:w="3288"/>
          </w:tcPr>
          <w:p>
            <w:pPr>
              <w:spacing w:after="40"/>
            </w:pPr>
            <w:r>
              <w:rPr>
                <w:sz w:val="18"/>
              </w:rPr>
              <w:t>Data Access Controls</w:t>
            </w:r>
          </w:p>
        </w:tc>
        <w:tc>
          <w:tcPr>
            <w:tcW w:type="dxa" w:w="3005"/>
          </w:tcPr>
          <w:p>
            <w:pPr>
              <w:spacing w:after="40"/>
            </w:pPr>
            <w:r>
              <w:rPr>
                <w:sz w:val="18"/>
              </w:rPr>
              <w:t>x 1107–1246</w:t>
              <w:br/>
              <w:t>y 257–267</w:t>
            </w:r>
          </w:p>
        </w:tc>
        <w:tc>
          <w:tcPr>
            <w:tcW w:type="dxa" w:w="3402"/>
          </w:tcPr>
          <w:p>
            <w:pPr>
              <w:spacing w:after="40"/>
            </w:pPr>
            <w:r>
              <w:rPr>
                <w:sz w:val="18"/>
              </w:rPr>
              <w:t>oben, mittig</w:t>
              <w:br/>
              <w:t>x 58.0–65.4 %</w:t>
              <w:br/>
              <w:t>y 28.3–29.4 %</w:t>
            </w:r>
          </w:p>
        </w:tc>
      </w:tr>
      <w:tr>
        <w:trPr>
          <w:cantSplit/>
        </w:trPr>
        <w:tc>
          <w:tcPr>
            <w:tcW w:type="dxa" w:w="3288"/>
          </w:tcPr>
          <w:p>
            <w:pPr>
              <w:spacing w:after="40"/>
            </w:pPr>
            <w:r>
              <w:rPr>
                <w:sz w:val="18"/>
              </w:rPr>
              <w:t>Semantic Onboarding</w:t>
            </w:r>
          </w:p>
        </w:tc>
        <w:tc>
          <w:tcPr>
            <w:tcW w:type="dxa" w:w="3005"/>
          </w:tcPr>
          <w:p>
            <w:pPr>
              <w:spacing w:after="40"/>
            </w:pPr>
            <w:r>
              <w:rPr>
                <w:sz w:val="18"/>
              </w:rPr>
              <w:t>x 48–182</w:t>
              <w:br/>
              <w:t>y 289–302</w:t>
            </w:r>
          </w:p>
        </w:tc>
        <w:tc>
          <w:tcPr>
            <w:tcW w:type="dxa" w:w="3402"/>
          </w:tcPr>
          <w:p>
            <w:pPr>
              <w:spacing w:after="40"/>
            </w:pPr>
            <w:r>
              <w:rPr>
                <w:sz w:val="18"/>
              </w:rPr>
              <w:t>oben, links</w:t>
              <w:br/>
              <w:t>x 2.5–9.5 %</w:t>
              <w:br/>
              <w:t>y 31.9–33.3 %</w:t>
            </w:r>
          </w:p>
        </w:tc>
      </w:tr>
      <w:tr>
        <w:trPr>
          <w:cantSplit/>
        </w:trPr>
        <w:tc>
          <w:tcPr>
            <w:tcW w:type="dxa" w:w="3288"/>
          </w:tcPr>
          <w:p>
            <w:pPr>
              <w:spacing w:after="40"/>
            </w:pPr>
            <w:r>
              <w:rPr>
                <w:sz w:val="18"/>
              </w:rPr>
              <w:t>Business Builder</w:t>
            </w:r>
          </w:p>
        </w:tc>
        <w:tc>
          <w:tcPr>
            <w:tcW w:type="dxa" w:w="3005"/>
          </w:tcPr>
          <w:p>
            <w:pPr>
              <w:spacing w:after="40"/>
            </w:pPr>
            <w:r>
              <w:rPr>
                <w:sz w:val="18"/>
              </w:rPr>
              <w:t>x 48–151</w:t>
              <w:br/>
              <w:t>y 325–335</w:t>
            </w:r>
          </w:p>
        </w:tc>
        <w:tc>
          <w:tcPr>
            <w:tcW w:type="dxa" w:w="3402"/>
          </w:tcPr>
          <w:p>
            <w:pPr>
              <w:spacing w:after="40"/>
            </w:pPr>
            <w:r>
              <w:rPr>
                <w:sz w:val="18"/>
              </w:rPr>
              <w:t>auf mittlerer Höhe, links</w:t>
              <w:br/>
              <w:t>x 2.5–7.9 %</w:t>
              <w:br/>
              <w:t>y 35.8–36.9 %</w:t>
            </w:r>
          </w:p>
        </w:tc>
      </w:tr>
      <w:tr>
        <w:trPr>
          <w:cantSplit/>
        </w:trPr>
        <w:tc>
          <w:tcPr>
            <w:tcW w:type="dxa" w:w="3288"/>
          </w:tcPr>
          <w:p>
            <w:pPr>
              <w:spacing w:after="40"/>
            </w:pPr>
            <w:r>
              <w:rPr>
                <w:sz w:val="18"/>
              </w:rPr>
              <w:t>Data Builder</w:t>
            </w:r>
          </w:p>
        </w:tc>
        <w:tc>
          <w:tcPr>
            <w:tcW w:type="dxa" w:w="3005"/>
          </w:tcPr>
          <w:p>
            <w:pPr>
              <w:spacing w:after="40"/>
            </w:pPr>
            <w:r>
              <w:rPr>
                <w:sz w:val="18"/>
              </w:rPr>
              <w:t>x 48–125</w:t>
              <w:br/>
              <w:t>y 361–371</w:t>
            </w:r>
          </w:p>
        </w:tc>
        <w:tc>
          <w:tcPr>
            <w:tcW w:type="dxa" w:w="3402"/>
          </w:tcPr>
          <w:p>
            <w:pPr>
              <w:spacing w:after="40"/>
            </w:pPr>
            <w:r>
              <w:rPr>
                <w:sz w:val="18"/>
              </w:rPr>
              <w:t>auf mittlerer Höhe, links</w:t>
              <w:br/>
              <w:t>x 2.5–6.6 %</w:t>
              <w:br/>
              <w:t>y 39.8–40.9 %</w:t>
            </w:r>
          </w:p>
        </w:tc>
      </w:tr>
      <w:tr>
        <w:trPr>
          <w:cantSplit/>
        </w:trPr>
        <w:tc>
          <w:tcPr>
            <w:tcW w:type="dxa" w:w="3288"/>
          </w:tcPr>
          <w:p>
            <w:pPr>
              <w:spacing w:after="40"/>
            </w:pPr>
            <w:r>
              <w:rPr>
                <w:sz w:val="18"/>
              </w:rPr>
              <w:t>Connections</w:t>
            </w:r>
          </w:p>
        </w:tc>
        <w:tc>
          <w:tcPr>
            <w:tcW w:type="dxa" w:w="3005"/>
          </w:tcPr>
          <w:p>
            <w:pPr>
              <w:spacing w:after="40"/>
            </w:pPr>
            <w:r>
              <w:rPr>
                <w:sz w:val="18"/>
              </w:rPr>
              <w:t>x 48–124</w:t>
              <w:br/>
              <w:t>y 397–407</w:t>
            </w:r>
          </w:p>
        </w:tc>
        <w:tc>
          <w:tcPr>
            <w:tcW w:type="dxa" w:w="3402"/>
          </w:tcPr>
          <w:p>
            <w:pPr>
              <w:spacing w:after="40"/>
            </w:pPr>
            <w:r>
              <w:rPr>
                <w:sz w:val="18"/>
              </w:rPr>
              <w:t>auf mittlerer Höhe, links</w:t>
              <w:br/>
              <w:t>x 2.5–6.5 %</w:t>
              <w:br/>
              <w:t>y 43.8–44.9 %</w:t>
            </w:r>
          </w:p>
        </w:tc>
      </w:tr>
      <w:tr>
        <w:trPr>
          <w:cantSplit/>
        </w:trPr>
        <w:tc>
          <w:tcPr>
            <w:tcW w:type="dxa" w:w="3288"/>
          </w:tcPr>
          <w:p>
            <w:pPr>
              <w:spacing w:after="40"/>
            </w:pPr>
            <w:r>
              <w:rPr>
                <w:sz w:val="18"/>
              </w:rPr>
              <w:t>New Table</w:t>
            </w:r>
          </w:p>
        </w:tc>
        <w:tc>
          <w:tcPr>
            <w:tcW w:type="dxa" w:w="3005"/>
          </w:tcPr>
          <w:p>
            <w:pPr>
              <w:spacing w:after="40"/>
            </w:pPr>
            <w:r>
              <w:rPr>
                <w:sz w:val="18"/>
              </w:rPr>
              <w:t>x 308–362</w:t>
              <w:br/>
              <w:t>y 392–400</w:t>
            </w:r>
          </w:p>
        </w:tc>
        <w:tc>
          <w:tcPr>
            <w:tcW w:type="dxa" w:w="3402"/>
          </w:tcPr>
          <w:p>
            <w:pPr>
              <w:spacing w:after="40"/>
            </w:pPr>
            <w:r>
              <w:rPr>
                <w:sz w:val="18"/>
              </w:rPr>
              <w:t>auf mittlerer Höhe, links</w:t>
              <w:br/>
              <w:t>x 16.2–19.0 %</w:t>
              <w:br/>
              <w:t>y 43.2–44.1 %</w:t>
            </w:r>
          </w:p>
        </w:tc>
      </w:tr>
      <w:tr>
        <w:trPr>
          <w:cantSplit/>
        </w:trPr>
        <w:tc>
          <w:tcPr>
            <w:tcW w:type="dxa" w:w="3288"/>
          </w:tcPr>
          <w:p>
            <w:pPr>
              <w:spacing w:after="40"/>
            </w:pPr>
            <w:r>
              <w:rPr>
                <w:sz w:val="18"/>
              </w:rPr>
              <w:t>New Graphical View</w:t>
            </w:r>
          </w:p>
        </w:tc>
        <w:tc>
          <w:tcPr>
            <w:tcW w:type="dxa" w:w="3005"/>
          </w:tcPr>
          <w:p>
            <w:pPr>
              <w:spacing w:after="40"/>
            </w:pPr>
            <w:r>
              <w:rPr>
                <w:sz w:val="18"/>
              </w:rPr>
              <w:t>x 422–527</w:t>
              <w:br/>
              <w:t>y 392–403</w:t>
            </w:r>
          </w:p>
        </w:tc>
        <w:tc>
          <w:tcPr>
            <w:tcW w:type="dxa" w:w="3402"/>
          </w:tcPr>
          <w:p>
            <w:pPr>
              <w:spacing w:after="40"/>
            </w:pPr>
            <w:r>
              <w:rPr>
                <w:sz w:val="18"/>
              </w:rPr>
              <w:t>auf mittlerer Höhe, links</w:t>
              <w:br/>
              <w:t>x 22.1–27.6 %</w:t>
              <w:br/>
              <w:t>y 43.2–44.4 %</w:t>
            </w:r>
          </w:p>
        </w:tc>
      </w:tr>
      <w:tr>
        <w:trPr>
          <w:cantSplit/>
        </w:trPr>
        <w:tc>
          <w:tcPr>
            <w:tcW w:type="dxa" w:w="3288"/>
          </w:tcPr>
          <w:p>
            <w:pPr>
              <w:spacing w:after="40"/>
            </w:pPr>
            <w:r>
              <w:rPr>
                <w:sz w:val="18"/>
              </w:rPr>
              <w:t>New SQL View</w:t>
            </w:r>
          </w:p>
        </w:tc>
        <w:tc>
          <w:tcPr>
            <w:tcW w:type="dxa" w:w="3005"/>
          </w:tcPr>
          <w:p>
            <w:pPr>
              <w:spacing w:after="40"/>
            </w:pPr>
            <w:r>
              <w:rPr>
                <w:sz w:val="18"/>
              </w:rPr>
              <w:t>x 575–652</w:t>
              <w:br/>
              <w:t>y 392–400</w:t>
            </w:r>
          </w:p>
        </w:tc>
        <w:tc>
          <w:tcPr>
            <w:tcW w:type="dxa" w:w="3402"/>
          </w:tcPr>
          <w:p>
            <w:pPr>
              <w:spacing w:after="40"/>
            </w:pPr>
            <w:r>
              <w:rPr>
                <w:sz w:val="18"/>
              </w:rPr>
              <w:t>auf mittlerer Höhe, links</w:t>
              <w:br/>
              <w:t>x 30.2–34.2 %</w:t>
              <w:br/>
              <w:t>y 43.2–44.2 %</w:t>
            </w:r>
          </w:p>
        </w:tc>
      </w:tr>
      <w:tr>
        <w:trPr>
          <w:cantSplit/>
        </w:trPr>
        <w:tc>
          <w:tcPr>
            <w:tcW w:type="dxa" w:w="3288"/>
          </w:tcPr>
          <w:p>
            <w:pPr>
              <w:spacing w:after="40"/>
            </w:pPr>
            <w:r>
              <w:rPr>
                <w:sz w:val="18"/>
              </w:rPr>
              <w:t>New Entity</w:t>
            </w:r>
          </w:p>
        </w:tc>
        <w:tc>
          <w:tcPr>
            <w:tcW w:type="dxa" w:w="3005"/>
          </w:tcPr>
          <w:p>
            <w:pPr>
              <w:spacing w:after="40"/>
            </w:pPr>
            <w:r>
              <w:rPr>
                <w:sz w:val="18"/>
              </w:rPr>
              <w:t>x 721–777</w:t>
              <w:br/>
              <w:t>y 392–403</w:t>
            </w:r>
          </w:p>
        </w:tc>
        <w:tc>
          <w:tcPr>
            <w:tcW w:type="dxa" w:w="3402"/>
          </w:tcPr>
          <w:p>
            <w:pPr>
              <w:spacing w:after="40"/>
            </w:pPr>
            <w:r>
              <w:rPr>
                <w:sz w:val="18"/>
              </w:rPr>
              <w:t>auf mittlerer Höhe, mittig</w:t>
              <w:br/>
              <w:t>x 37.8–40.7 %</w:t>
              <w:br/>
              <w:t>y 43.2–44.4 %</w:t>
            </w:r>
          </w:p>
        </w:tc>
      </w:tr>
      <w:tr>
        <w:trPr>
          <w:cantSplit/>
        </w:trPr>
        <w:tc>
          <w:tcPr>
            <w:tcW w:type="dxa" w:w="3288"/>
          </w:tcPr>
          <w:p>
            <w:pPr>
              <w:spacing w:after="40"/>
            </w:pPr>
            <w:r>
              <w:rPr>
                <w:sz w:val="18"/>
              </w:rPr>
              <w:t>New Analytic Model</w:t>
            </w:r>
          </w:p>
        </w:tc>
        <w:tc>
          <w:tcPr>
            <w:tcW w:type="dxa" w:w="3005"/>
          </w:tcPr>
          <w:p>
            <w:pPr>
              <w:spacing w:after="40"/>
            </w:pPr>
            <w:r>
              <w:rPr>
                <w:sz w:val="18"/>
              </w:rPr>
              <w:t>x 840–944</w:t>
              <w:br/>
              <w:t>y 392–403</w:t>
            </w:r>
          </w:p>
        </w:tc>
        <w:tc>
          <w:tcPr>
            <w:tcW w:type="dxa" w:w="3402"/>
          </w:tcPr>
          <w:p>
            <w:pPr>
              <w:spacing w:after="40"/>
            </w:pPr>
            <w:r>
              <w:rPr>
                <w:sz w:val="18"/>
              </w:rPr>
              <w:t>auf mittlerer Höhe, mittig</w:t>
              <w:br/>
              <w:t>x 44.0–49.5 %</w:t>
              <w:br/>
              <w:t>y 43.2–44.4 %</w:t>
            </w:r>
          </w:p>
        </w:tc>
      </w:tr>
      <w:tr>
        <w:trPr>
          <w:cantSplit/>
        </w:trPr>
        <w:tc>
          <w:tcPr>
            <w:tcW w:type="dxa" w:w="3288"/>
          </w:tcPr>
          <w:p>
            <w:pPr>
              <w:spacing w:after="40"/>
            </w:pPr>
            <w:r>
              <w:rPr>
                <w:sz w:val="18"/>
              </w:rPr>
              <w:t>New Data Flow</w:t>
            </w:r>
          </w:p>
        </w:tc>
        <w:tc>
          <w:tcPr>
            <w:tcW w:type="dxa" w:w="3005"/>
          </w:tcPr>
          <w:p>
            <w:pPr>
              <w:spacing w:after="40"/>
            </w:pPr>
            <w:r>
              <w:rPr>
                <w:sz w:val="18"/>
              </w:rPr>
              <w:t>x 991–1070</w:t>
              <w:br/>
              <w:t>y 392–400</w:t>
            </w:r>
          </w:p>
        </w:tc>
        <w:tc>
          <w:tcPr>
            <w:tcW w:type="dxa" w:w="3402"/>
          </w:tcPr>
          <w:p>
            <w:pPr>
              <w:spacing w:after="40"/>
            </w:pPr>
            <w:r>
              <w:rPr>
                <w:sz w:val="18"/>
              </w:rPr>
              <w:t>auf mittlerer Höhe, mittig</w:t>
              <w:br/>
              <w:t>x 52.0–56.1 %</w:t>
              <w:br/>
              <w:t>y 43.2–44.1 %</w:t>
            </w:r>
          </w:p>
        </w:tc>
      </w:tr>
      <w:tr>
        <w:trPr>
          <w:cantSplit/>
        </w:trPr>
        <w:tc>
          <w:tcPr>
            <w:tcW w:type="dxa" w:w="3288"/>
          </w:tcPr>
          <w:p>
            <w:pPr>
              <w:spacing w:after="40"/>
            </w:pPr>
            <w:r>
              <w:rPr>
                <w:sz w:val="18"/>
              </w:rPr>
              <w:t>New Replication</w:t>
            </w:r>
          </w:p>
        </w:tc>
        <w:tc>
          <w:tcPr>
            <w:tcW w:type="dxa" w:w="3005"/>
          </w:tcPr>
          <w:p>
            <w:pPr>
              <w:spacing w:after="40"/>
            </w:pPr>
            <w:r>
              <w:rPr>
                <w:sz w:val="18"/>
              </w:rPr>
              <w:t>x 1128–1212</w:t>
              <w:br/>
              <w:t>y 392–403</w:t>
            </w:r>
          </w:p>
        </w:tc>
        <w:tc>
          <w:tcPr>
            <w:tcW w:type="dxa" w:w="3402"/>
          </w:tcPr>
          <w:p>
            <w:pPr>
              <w:spacing w:after="40"/>
            </w:pPr>
            <w:r>
              <w:rPr>
                <w:sz w:val="18"/>
              </w:rPr>
              <w:t>auf mittlerer Höhe, mittig</w:t>
              <w:br/>
              <w:t>x 59.1–63.6 %</w:t>
              <w:br/>
              <w:t>y 43.2–44.4 %</w:t>
            </w:r>
          </w:p>
        </w:tc>
      </w:tr>
      <w:tr>
        <w:trPr>
          <w:cantSplit/>
        </w:trPr>
        <w:tc>
          <w:tcPr>
            <w:tcW w:type="dxa" w:w="3288"/>
          </w:tcPr>
          <w:p>
            <w:pPr>
              <w:spacing w:after="40"/>
            </w:pPr>
            <w:r>
              <w:rPr>
                <w:sz w:val="18"/>
              </w:rPr>
              <w:t>New Transformation</w:t>
            </w:r>
          </w:p>
        </w:tc>
        <w:tc>
          <w:tcPr>
            <w:tcW w:type="dxa" w:w="3005"/>
          </w:tcPr>
          <w:p>
            <w:pPr>
              <w:spacing w:after="40"/>
            </w:pPr>
            <w:r>
              <w:rPr>
                <w:sz w:val="18"/>
              </w:rPr>
              <w:t>x 1257–1361</w:t>
              <w:br/>
              <w:t>y 392–400</w:t>
            </w:r>
          </w:p>
        </w:tc>
        <w:tc>
          <w:tcPr>
            <w:tcW w:type="dxa" w:w="3402"/>
          </w:tcPr>
          <w:p>
            <w:pPr>
              <w:spacing w:after="40"/>
            </w:pPr>
            <w:r>
              <w:rPr>
                <w:sz w:val="18"/>
              </w:rPr>
              <w:t>auf mittlerer Höhe, rechts</w:t>
              <w:br/>
              <w:t>x 65.9–71.4 %</w:t>
              <w:br/>
              <w:t>y 43.2–44.1 %</w:t>
            </w:r>
          </w:p>
        </w:tc>
      </w:tr>
      <w:tr>
        <w:trPr>
          <w:cantSplit/>
        </w:trPr>
        <w:tc>
          <w:tcPr>
            <w:tcW w:type="dxa" w:w="3288"/>
          </w:tcPr>
          <w:p>
            <w:pPr>
              <w:spacing w:after="40"/>
            </w:pPr>
            <w:r>
              <w:rPr>
                <w:sz w:val="18"/>
              </w:rPr>
              <w:t>New Intelligent</w:t>
            </w:r>
          </w:p>
        </w:tc>
        <w:tc>
          <w:tcPr>
            <w:tcW w:type="dxa" w:w="3005"/>
          </w:tcPr>
          <w:p>
            <w:pPr>
              <w:spacing w:after="40"/>
            </w:pPr>
            <w:r>
              <w:rPr>
                <w:sz w:val="18"/>
              </w:rPr>
              <w:t>x 1409–1488</w:t>
              <w:br/>
              <w:t>y 392–403</w:t>
            </w:r>
          </w:p>
        </w:tc>
        <w:tc>
          <w:tcPr>
            <w:tcW w:type="dxa" w:w="3402"/>
          </w:tcPr>
          <w:p>
            <w:pPr>
              <w:spacing w:after="40"/>
            </w:pPr>
            <w:r>
              <w:rPr>
                <w:sz w:val="18"/>
              </w:rPr>
              <w:t>auf mittlerer Höhe, rechts</w:t>
              <w:br/>
              <w:t>x 73.9–78.0 %</w:t>
              <w:br/>
              <w:t>y 43.2–44.4 %</w:t>
            </w:r>
          </w:p>
        </w:tc>
      </w:tr>
      <w:tr>
        <w:trPr>
          <w:cantSplit/>
        </w:trPr>
        <w:tc>
          <w:tcPr>
            <w:tcW w:type="dxa" w:w="3288"/>
          </w:tcPr>
          <w:p>
            <w:pPr>
              <w:spacing w:after="40"/>
            </w:pPr>
            <w:r>
              <w:rPr>
                <w:sz w:val="18"/>
              </w:rPr>
              <w:t>New Task Chain</w:t>
            </w:r>
          </w:p>
        </w:tc>
        <w:tc>
          <w:tcPr>
            <w:tcW w:type="dxa" w:w="3005"/>
          </w:tcPr>
          <w:p>
            <w:pPr>
              <w:spacing w:after="40"/>
            </w:pPr>
            <w:r>
              <w:rPr>
                <w:sz w:val="18"/>
              </w:rPr>
              <w:t>x 1546–1629</w:t>
              <w:br/>
              <w:t>y 392–400</w:t>
            </w:r>
          </w:p>
        </w:tc>
        <w:tc>
          <w:tcPr>
            <w:tcW w:type="dxa" w:w="3402"/>
          </w:tcPr>
          <w:p>
            <w:pPr>
              <w:spacing w:after="40"/>
            </w:pPr>
            <w:r>
              <w:rPr>
                <w:sz w:val="18"/>
              </w:rPr>
              <w:t>auf mittlerer Höhe, rechts</w:t>
              <w:br/>
              <w:t>x 81.1–85.4 %</w:t>
              <w:br/>
              <w:t>y 43.2–44.1 %</w:t>
            </w:r>
          </w:p>
        </w:tc>
      </w:tr>
      <w:tr>
        <w:trPr>
          <w:cantSplit/>
        </w:trPr>
        <w:tc>
          <w:tcPr>
            <w:tcW w:type="dxa" w:w="3288"/>
          </w:tcPr>
          <w:p>
            <w:pPr>
              <w:spacing w:after="40"/>
            </w:pPr>
            <w:r>
              <w:rPr>
                <w:sz w:val="18"/>
              </w:rPr>
              <w:t>New Data Access</w:t>
            </w:r>
          </w:p>
        </w:tc>
        <w:tc>
          <w:tcPr>
            <w:tcW w:type="dxa" w:w="3005"/>
          </w:tcPr>
          <w:p>
            <w:pPr>
              <w:spacing w:after="40"/>
            </w:pPr>
            <w:r>
              <w:rPr>
                <w:sz w:val="18"/>
              </w:rPr>
              <w:t>x 1682–1772</w:t>
              <w:br/>
              <w:t>y 392–400</w:t>
            </w:r>
          </w:p>
        </w:tc>
        <w:tc>
          <w:tcPr>
            <w:tcW w:type="dxa" w:w="3402"/>
          </w:tcPr>
          <w:p>
            <w:pPr>
              <w:spacing w:after="40"/>
            </w:pPr>
            <w:r>
              <w:rPr>
                <w:sz w:val="18"/>
              </w:rPr>
              <w:t>auf mittlerer Höhe, rechts</w:t>
              <w:br/>
              <w:t>x 88.2–92.9 %</w:t>
              <w:br/>
              <w:t>y 43.2–44.1 %</w:t>
            </w:r>
          </w:p>
        </w:tc>
      </w:tr>
      <w:tr>
        <w:trPr>
          <w:cantSplit/>
        </w:trPr>
        <w:tc>
          <w:tcPr>
            <w:tcW w:type="dxa" w:w="3288"/>
          </w:tcPr>
          <w:p>
            <w:pPr>
              <w:spacing w:after="40"/>
            </w:pPr>
            <w:r>
              <w:rPr>
                <w:sz w:val="18"/>
              </w:rPr>
              <w:t>Relationship Model</w:t>
            </w:r>
          </w:p>
        </w:tc>
        <w:tc>
          <w:tcPr>
            <w:tcW w:type="dxa" w:w="3005"/>
          </w:tcPr>
          <w:p>
            <w:pPr>
              <w:spacing w:after="40"/>
            </w:pPr>
            <w:r>
              <w:rPr>
                <w:sz w:val="18"/>
              </w:rPr>
              <w:t>x 702–803</w:t>
              <w:br/>
              <w:t>y 406–417</w:t>
            </w:r>
          </w:p>
        </w:tc>
        <w:tc>
          <w:tcPr>
            <w:tcW w:type="dxa" w:w="3402"/>
          </w:tcPr>
          <w:p>
            <w:pPr>
              <w:spacing w:after="40"/>
            </w:pPr>
            <w:r>
              <w:rPr>
                <w:sz w:val="18"/>
              </w:rPr>
              <w:t>auf mittlerer Höhe, mittig</w:t>
              <w:br/>
              <w:t>x 36.8–42.1 %</w:t>
              <w:br/>
              <w:t>y 44.8–46.0 %</w:t>
            </w:r>
          </w:p>
        </w:tc>
      </w:tr>
      <w:tr>
        <w:trPr>
          <w:cantSplit/>
        </w:trPr>
        <w:tc>
          <w:tcPr>
            <w:tcW w:type="dxa" w:w="3288"/>
          </w:tcPr>
          <w:p>
            <w:pPr>
              <w:spacing w:after="40"/>
            </w:pPr>
            <w:r>
              <w:rPr>
                <w:sz w:val="18"/>
              </w:rPr>
              <w:t>Utilities</w:t>
            </w:r>
          </w:p>
        </w:tc>
        <w:tc>
          <w:tcPr>
            <w:tcW w:type="dxa" w:w="3005"/>
          </w:tcPr>
          <w:p>
            <w:pPr>
              <w:spacing w:after="40"/>
            </w:pPr>
            <w:r>
              <w:rPr>
                <w:sz w:val="18"/>
              </w:rPr>
              <w:t>x 25–69</w:t>
              <w:br/>
              <w:t>y 443–453</w:t>
            </w:r>
          </w:p>
        </w:tc>
        <w:tc>
          <w:tcPr>
            <w:tcW w:type="dxa" w:w="3402"/>
          </w:tcPr>
          <w:p>
            <w:pPr>
              <w:spacing w:after="40"/>
            </w:pPr>
            <w:r>
              <w:rPr>
                <w:sz w:val="18"/>
              </w:rPr>
              <w:t>auf mittlerer Höhe, links</w:t>
              <w:br/>
              <w:t>x 1.3–3.6 %</w:t>
              <w:br/>
              <w:t>y 48.8–49.9 %</w:t>
            </w:r>
          </w:p>
        </w:tc>
      </w:tr>
      <w:tr>
        <w:trPr>
          <w:cantSplit/>
        </w:trPr>
        <w:tc>
          <w:tcPr>
            <w:tcW w:type="dxa" w:w="3288"/>
          </w:tcPr>
          <w:p>
            <w:pPr>
              <w:spacing w:after="40"/>
            </w:pPr>
            <w:r>
              <w:rPr>
                <w:sz w:val="18"/>
              </w:rPr>
              <w:t>Search in:</w:t>
            </w:r>
          </w:p>
        </w:tc>
        <w:tc>
          <w:tcPr>
            <w:tcW w:type="dxa" w:w="3005"/>
          </w:tcPr>
          <w:p>
            <w:pPr>
              <w:spacing w:after="40"/>
            </w:pPr>
            <w:r>
              <w:rPr>
                <w:sz w:val="18"/>
              </w:rPr>
              <w:t>x 603–663</w:t>
              <w:br/>
              <w:t>y 462–472</w:t>
            </w:r>
          </w:p>
        </w:tc>
        <w:tc>
          <w:tcPr>
            <w:tcW w:type="dxa" w:w="3402"/>
          </w:tcPr>
          <w:p>
            <w:pPr>
              <w:spacing w:after="40"/>
            </w:pPr>
            <w:r>
              <w:rPr>
                <w:sz w:val="18"/>
              </w:rPr>
              <w:t>auf mittlerer Höhe, mittig</w:t>
              <w:br/>
              <w:t>x 31.6–34.8 %</w:t>
              <w:br/>
              <w:t>y 50.9–52.0 %</w:t>
            </w:r>
          </w:p>
        </w:tc>
      </w:tr>
      <w:tr>
        <w:trPr>
          <w:cantSplit/>
        </w:trPr>
        <w:tc>
          <w:tcPr>
            <w:tcW w:type="dxa" w:w="3288"/>
          </w:tcPr>
          <w:p>
            <w:pPr>
              <w:spacing w:after="40"/>
            </w:pPr>
            <w:r>
              <w:rPr>
                <w:sz w:val="18"/>
              </w:rPr>
              <w:t>"All"</w:t>
            </w:r>
          </w:p>
        </w:tc>
        <w:tc>
          <w:tcPr>
            <w:tcW w:type="dxa" w:w="3005"/>
          </w:tcPr>
          <w:p>
            <w:pPr>
              <w:spacing w:after="40"/>
            </w:pPr>
            <w:r>
              <w:rPr>
                <w:sz w:val="18"/>
              </w:rPr>
              <w:t>x 668–693</w:t>
              <w:br/>
              <w:t>y 462–472</w:t>
            </w:r>
          </w:p>
        </w:tc>
        <w:tc>
          <w:tcPr>
            <w:tcW w:type="dxa" w:w="3402"/>
          </w:tcPr>
          <w:p>
            <w:pPr>
              <w:spacing w:after="40"/>
            </w:pPr>
            <w:r>
              <w:rPr>
                <w:sz w:val="18"/>
              </w:rPr>
              <w:t>auf mittlerer Höhe, mittig</w:t>
              <w:br/>
              <w:t>x 35.1–36.3 %</w:t>
              <w:br/>
              <w:t>y 50.9–52.0 %</w:t>
            </w:r>
          </w:p>
        </w:tc>
      </w:tr>
      <w:tr>
        <w:trPr>
          <w:cantSplit/>
        </w:trPr>
        <w:tc>
          <w:tcPr>
            <w:tcW w:type="dxa" w:w="3288"/>
          </w:tcPr>
          <w:p>
            <w:pPr>
              <w:spacing w:after="40"/>
            </w:pPr>
            <w:r>
              <w:rPr>
                <w:sz w:val="18"/>
              </w:rPr>
              <w:t>Space Management</w:t>
            </w:r>
          </w:p>
        </w:tc>
        <w:tc>
          <w:tcPr>
            <w:tcW w:type="dxa" w:w="3005"/>
          </w:tcPr>
          <w:p>
            <w:pPr>
              <w:spacing w:after="40"/>
            </w:pPr>
            <w:r>
              <w:rPr>
                <w:sz w:val="18"/>
              </w:rPr>
              <w:t>x 48–171</w:t>
              <w:br/>
              <w:t>y 479–492</w:t>
            </w:r>
          </w:p>
        </w:tc>
        <w:tc>
          <w:tcPr>
            <w:tcW w:type="dxa" w:w="3402"/>
          </w:tcPr>
          <w:p>
            <w:pPr>
              <w:spacing w:after="40"/>
            </w:pPr>
            <w:r>
              <w:rPr>
                <w:sz w:val="18"/>
              </w:rPr>
              <w:t>auf mittlerer Höhe, links</w:t>
              <w:br/>
              <w:t>x 2.5–9.0 %</w:t>
              <w:br/>
              <w:t>y 52.8–54.2 %</w:t>
            </w:r>
          </w:p>
        </w:tc>
      </w:tr>
      <w:tr>
        <w:trPr>
          <w:cantSplit/>
        </w:trPr>
        <w:tc>
          <w:tcPr>
            <w:tcW w:type="dxa" w:w="3288"/>
          </w:tcPr>
          <w:p>
            <w:pPr>
              <w:spacing w:after="40"/>
            </w:pPr>
            <w:r>
              <w:rPr>
                <w:sz w:val="18"/>
              </w:rPr>
              <w:t>Translation</w:t>
            </w:r>
          </w:p>
        </w:tc>
        <w:tc>
          <w:tcPr>
            <w:tcW w:type="dxa" w:w="3005"/>
          </w:tcPr>
          <w:p>
            <w:pPr>
              <w:spacing w:after="40"/>
            </w:pPr>
            <w:r>
              <w:rPr>
                <w:sz w:val="18"/>
              </w:rPr>
              <w:t>x 48–115</w:t>
              <w:br/>
              <w:t>y 515–525</w:t>
            </w:r>
          </w:p>
        </w:tc>
        <w:tc>
          <w:tcPr>
            <w:tcW w:type="dxa" w:w="3402"/>
          </w:tcPr>
          <w:p>
            <w:pPr>
              <w:spacing w:after="40"/>
            </w:pPr>
            <w:r>
              <w:rPr>
                <w:sz w:val="18"/>
              </w:rPr>
              <w:t>auf mittlerer Höhe, links</w:t>
              <w:br/>
              <w:t>x 2.5–6.0 %</w:t>
              <w:br/>
              <w:t>y 56.8–57.9 %</w:t>
            </w:r>
          </w:p>
        </w:tc>
      </w:tr>
      <w:tr>
        <w:trPr>
          <w:cantSplit/>
        </w:trPr>
        <w:tc>
          <w:tcPr>
            <w:tcW w:type="dxa" w:w="3288"/>
          </w:tcPr>
          <w:p>
            <w:pPr>
              <w:spacing w:after="40"/>
            </w:pPr>
            <w:r>
              <w:rPr>
                <w:sz w:val="18"/>
              </w:rPr>
              <w:t>List Objects In:</w:t>
            </w:r>
          </w:p>
        </w:tc>
        <w:tc>
          <w:tcPr>
            <w:tcW w:type="dxa" w:w="3005"/>
          </w:tcPr>
          <w:p>
            <w:pPr>
              <w:spacing w:after="40"/>
            </w:pPr>
            <w:r>
              <w:rPr>
                <w:sz w:val="18"/>
              </w:rPr>
              <w:t>x 275–372</w:t>
              <w:br/>
              <w:t>y 529–542</w:t>
            </w:r>
          </w:p>
        </w:tc>
        <w:tc>
          <w:tcPr>
            <w:tcW w:type="dxa" w:w="3402"/>
          </w:tcPr>
          <w:p>
            <w:pPr>
              <w:spacing w:after="40"/>
            </w:pPr>
            <w:r>
              <w:rPr>
                <w:sz w:val="18"/>
              </w:rPr>
              <w:t>auf mittlerer Höhe, links</w:t>
              <w:br/>
              <w:t>x 14.4–19.5 %</w:t>
              <w:br/>
              <w:t>y 58.3–59.8 %</w:t>
            </w:r>
          </w:p>
        </w:tc>
      </w:tr>
      <w:tr>
        <w:trPr>
          <w:cantSplit/>
        </w:trPr>
        <w:tc>
          <w:tcPr>
            <w:tcW w:type="dxa" w:w="3288"/>
          </w:tcPr>
          <w:p>
            <w:pPr>
              <w:spacing w:after="40"/>
            </w:pPr>
            <w:r>
              <w:rPr>
                <w:sz w:val="18"/>
              </w:rPr>
              <w:t>Transport</w:t>
            </w:r>
          </w:p>
        </w:tc>
        <w:tc>
          <w:tcPr>
            <w:tcW w:type="dxa" w:w="3005"/>
          </w:tcPr>
          <w:p>
            <w:pPr>
              <w:spacing w:after="40"/>
            </w:pPr>
            <w:r>
              <w:rPr>
                <w:sz w:val="18"/>
              </w:rPr>
              <w:t>x 48–106</w:t>
              <w:br/>
              <w:t>y 551–564</w:t>
            </w:r>
          </w:p>
        </w:tc>
        <w:tc>
          <w:tcPr>
            <w:tcW w:type="dxa" w:w="3402"/>
          </w:tcPr>
          <w:p>
            <w:pPr>
              <w:spacing w:after="40"/>
            </w:pPr>
            <w:r>
              <w:rPr>
                <w:sz w:val="18"/>
              </w:rPr>
              <w:t>auf mittlerer Höhe, links</w:t>
              <w:br/>
              <w:t>x 2.5–5.6 %</w:t>
              <w:br/>
              <w:t>y 60.7–62.2 %</w:t>
            </w:r>
          </w:p>
        </w:tc>
      </w:tr>
      <w:tr>
        <w:trPr>
          <w:cantSplit/>
        </w:trPr>
        <w:tc>
          <w:tcPr>
            <w:tcW w:type="dxa" w:w="3288"/>
          </w:tcPr>
          <w:p>
            <w:pPr>
              <w:spacing w:after="40"/>
            </w:pPr>
            <w:r>
              <w:rPr>
                <w:sz w:val="18"/>
              </w:rPr>
              <w:t>(Semantic Usage)</w:t>
            </w:r>
          </w:p>
        </w:tc>
        <w:tc>
          <w:tcPr>
            <w:tcW w:type="dxa" w:w="3005"/>
          </w:tcPr>
          <w:p>
            <w:pPr>
              <w:spacing w:after="40"/>
            </w:pPr>
            <w:r>
              <w:rPr>
                <w:sz w:val="18"/>
              </w:rPr>
              <w:t>x 783–888</w:t>
              <w:br/>
              <w:t>y 557–579</w:t>
            </w:r>
          </w:p>
        </w:tc>
        <w:tc>
          <w:tcPr>
            <w:tcW w:type="dxa" w:w="3402"/>
          </w:tcPr>
          <w:p>
            <w:pPr>
              <w:spacing w:after="40"/>
            </w:pPr>
            <w:r>
              <w:rPr>
                <w:sz w:val="18"/>
              </w:rPr>
              <w:t>auf mittlerer Höhe, mittig</w:t>
              <w:br/>
              <w:t>x 41.1–46.6 %</w:t>
              <w:br/>
              <w:t>y 61.4–63.8 %</w:t>
            </w:r>
          </w:p>
        </w:tc>
      </w:tr>
      <w:tr>
        <w:trPr>
          <w:cantSplit/>
        </w:trPr>
        <w:tc>
          <w:tcPr>
            <w:tcW w:type="dxa" w:w="3288"/>
          </w:tcPr>
          <w:p>
            <w:pPr>
              <w:spacing w:after="40"/>
            </w:pPr>
            <w:r>
              <w:rPr>
                <w:sz w:val="18"/>
              </w:rPr>
              <w:t>Status</w:t>
            </w:r>
          </w:p>
        </w:tc>
        <w:tc>
          <w:tcPr>
            <w:tcW w:type="dxa" w:w="3005"/>
          </w:tcPr>
          <w:p>
            <w:pPr>
              <w:spacing w:after="40"/>
            </w:pPr>
            <w:r>
              <w:rPr>
                <w:sz w:val="18"/>
              </w:rPr>
              <w:t>x 1320–1358</w:t>
              <w:br/>
              <w:t>y 561–571</w:t>
            </w:r>
          </w:p>
        </w:tc>
        <w:tc>
          <w:tcPr>
            <w:tcW w:type="dxa" w:w="3402"/>
          </w:tcPr>
          <w:p>
            <w:pPr>
              <w:spacing w:after="40"/>
            </w:pPr>
            <w:r>
              <w:rPr>
                <w:sz w:val="18"/>
              </w:rPr>
              <w:t>auf mittlerer Höhe, rechts</w:t>
              <w:br/>
              <w:t>x 69.2–71.2 %</w:t>
              <w:br/>
              <w:t>y 61.9–63.0 %</w:t>
            </w:r>
          </w:p>
        </w:tc>
      </w:tr>
      <w:tr>
        <w:trPr>
          <w:cantSplit/>
        </w:trPr>
        <w:tc>
          <w:tcPr>
            <w:tcW w:type="dxa" w:w="3288"/>
          </w:tcPr>
          <w:p>
            <w:pPr>
              <w:spacing w:after="40"/>
            </w:pPr>
            <w:r>
              <w:rPr>
                <w:sz w:val="18"/>
              </w:rPr>
              <w:t>Import Objects from CSN/JSON File</w:t>
            </w:r>
          </w:p>
        </w:tc>
        <w:tc>
          <w:tcPr>
            <w:tcW w:type="dxa" w:w="3005"/>
          </w:tcPr>
          <w:p>
            <w:pPr>
              <w:spacing w:after="40"/>
            </w:pPr>
            <w:r>
              <w:rPr>
                <w:sz w:val="18"/>
              </w:rPr>
              <w:t>x 1386–1604</w:t>
              <w:br/>
              <w:t>y 560–573</w:t>
            </w:r>
          </w:p>
        </w:tc>
        <w:tc>
          <w:tcPr>
            <w:tcW w:type="dxa" w:w="3402"/>
          </w:tcPr>
          <w:p>
            <w:pPr>
              <w:spacing w:after="40"/>
            </w:pPr>
            <w:r>
              <w:rPr>
                <w:sz w:val="18"/>
              </w:rPr>
              <w:t>auf mittlerer Höhe, rechts</w:t>
              <w:br/>
              <w:t>x 72.7–84.1 %</w:t>
              <w:br/>
              <w:t>y 61.7–63.2 %</w:t>
            </w:r>
          </w:p>
        </w:tc>
      </w:tr>
      <w:tr>
        <w:trPr>
          <w:cantSplit/>
        </w:trPr>
        <w:tc>
          <w:tcPr>
            <w:tcW w:type="dxa" w:w="3288"/>
          </w:tcPr>
          <w:p>
            <w:pPr>
              <w:spacing w:after="40"/>
            </w:pPr>
            <w:r>
              <w:rPr>
                <w:sz w:val="18"/>
              </w:rPr>
              <w:t>Favorite</w:t>
            </w:r>
          </w:p>
        </w:tc>
        <w:tc>
          <w:tcPr>
            <w:tcW w:type="dxa" w:w="3005"/>
          </w:tcPr>
          <w:p>
            <w:pPr>
              <w:spacing w:after="40"/>
            </w:pPr>
            <w:r>
              <w:rPr>
                <w:sz w:val="18"/>
              </w:rPr>
              <w:t>x 1702–1750</w:t>
              <w:br/>
              <w:t>y 561–571</w:t>
            </w:r>
          </w:p>
        </w:tc>
        <w:tc>
          <w:tcPr>
            <w:tcW w:type="dxa" w:w="3402"/>
          </w:tcPr>
          <w:p>
            <w:pPr>
              <w:spacing w:after="40"/>
            </w:pPr>
            <w:r>
              <w:rPr>
                <w:sz w:val="18"/>
              </w:rPr>
              <w:t>auf mittlerer Höhe, rechts</w:t>
              <w:br/>
              <w:t>x 89.2–91.8 %</w:t>
              <w:br/>
              <w:t>y 61.9–63.0 %</w:t>
            </w:r>
          </w:p>
        </w:tc>
      </w:tr>
      <w:tr>
        <w:trPr>
          <w:cantSplit/>
        </w:trPr>
        <w:tc>
          <w:tcPr>
            <w:tcW w:type="dxa" w:w="3288"/>
          </w:tcPr>
          <w:p>
            <w:pPr>
              <w:spacing w:after="40"/>
            </w:pPr>
            <w:r>
              <w:rPr>
                <w:sz w:val="18"/>
              </w:rPr>
              <w:t>Data Sharing Cockpit</w:t>
            </w:r>
          </w:p>
        </w:tc>
        <w:tc>
          <w:tcPr>
            <w:tcW w:type="dxa" w:w="3005"/>
          </w:tcPr>
          <w:p>
            <w:pPr>
              <w:spacing w:after="40"/>
            </w:pPr>
            <w:r>
              <w:rPr>
                <w:sz w:val="18"/>
              </w:rPr>
              <w:t>x 48–178</w:t>
              <w:br/>
              <w:t>y 587–600</w:t>
            </w:r>
          </w:p>
        </w:tc>
        <w:tc>
          <w:tcPr>
            <w:tcW w:type="dxa" w:w="3402"/>
          </w:tcPr>
          <w:p>
            <w:pPr>
              <w:spacing w:after="40"/>
            </w:pPr>
            <w:r>
              <w:rPr>
                <w:sz w:val="18"/>
              </w:rPr>
              <w:t>auf mittlerer Höhe, links</w:t>
              <w:br/>
              <w:t>x 2.5–9.3 %</w:t>
              <w:br/>
              <w:t>y 64.7–66.2 %</w:t>
            </w:r>
          </w:p>
        </w:tc>
      </w:tr>
      <w:tr>
        <w:trPr>
          <w:cantSplit/>
        </w:trPr>
        <w:tc>
          <w:tcPr>
            <w:tcW w:type="dxa" w:w="3288"/>
          </w:tcPr>
          <w:p>
            <w:pPr>
              <w:spacing w:after="40"/>
            </w:pPr>
            <w:r>
              <w:rPr>
                <w:sz w:val="18"/>
              </w:rPr>
              <w:t>Import Entities</w:t>
            </w:r>
          </w:p>
        </w:tc>
        <w:tc>
          <w:tcPr>
            <w:tcW w:type="dxa" w:w="3005"/>
          </w:tcPr>
          <w:p>
            <w:pPr>
              <w:spacing w:after="40"/>
            </w:pPr>
            <w:r>
              <w:rPr>
                <w:sz w:val="18"/>
              </w:rPr>
              <w:t>x 1386–1474</w:t>
              <w:br/>
              <w:t>y 593–606</w:t>
            </w:r>
          </w:p>
        </w:tc>
        <w:tc>
          <w:tcPr>
            <w:tcW w:type="dxa" w:w="3402"/>
          </w:tcPr>
          <w:p>
            <w:pPr>
              <w:spacing w:after="40"/>
            </w:pPr>
            <w:r>
              <w:rPr>
                <w:sz w:val="18"/>
              </w:rPr>
              <w:t>auf mittlerer Höhe, rechts</w:t>
              <w:br/>
              <w:t>x 72.7–77.3 %</w:t>
              <w:br/>
              <w:t>y 65.4–66.8 %</w:t>
            </w:r>
          </w:p>
        </w:tc>
      </w:tr>
      <w:tr>
        <w:trPr>
          <w:cantSplit/>
        </w:trPr>
        <w:tc>
          <w:tcPr>
            <w:tcW w:type="dxa" w:w="3288"/>
          </w:tcPr>
          <w:p>
            <w:pPr>
              <w:spacing w:after="40"/>
            </w:pPr>
            <w:r>
              <w:rPr>
                <w:sz w:val="18"/>
              </w:rPr>
              <w:t>Import Remote Tables</w:t>
            </w:r>
          </w:p>
        </w:tc>
        <w:tc>
          <w:tcPr>
            <w:tcW w:type="dxa" w:w="3005"/>
          </w:tcPr>
          <w:p>
            <w:pPr>
              <w:spacing w:after="40"/>
            </w:pPr>
            <w:r>
              <w:rPr>
                <w:sz w:val="18"/>
              </w:rPr>
              <w:t>x 1386–1520</w:t>
              <w:br/>
              <w:t>y 626–639</w:t>
            </w:r>
          </w:p>
        </w:tc>
        <w:tc>
          <w:tcPr>
            <w:tcW w:type="dxa" w:w="3402"/>
          </w:tcPr>
          <w:p>
            <w:pPr>
              <w:spacing w:after="40"/>
            </w:pPr>
            <w:r>
              <w:rPr>
                <w:sz w:val="18"/>
              </w:rPr>
              <w:t>unten, rechts</w:t>
              <w:br/>
              <w:t>x 72.7–79.7 %</w:t>
              <w:br/>
              <w:t>y 69.0–70.5 %</w:t>
            </w:r>
          </w:p>
        </w:tc>
      </w:tr>
      <w:tr>
        <w:trPr>
          <w:cantSplit/>
        </w:trPr>
        <w:tc>
          <w:tcPr>
            <w:tcW w:type="dxa" w:w="3288"/>
          </w:tcPr>
          <w:p>
            <w:pPr>
              <w:spacing w:after="40"/>
            </w:pPr>
            <w:r>
              <w:rPr>
                <w:sz w:val="18"/>
              </w:rPr>
              <w:t>Validate Remote Tables</w:t>
            </w:r>
          </w:p>
        </w:tc>
        <w:tc>
          <w:tcPr>
            <w:tcW w:type="dxa" w:w="3005"/>
          </w:tcPr>
          <w:p>
            <w:pPr>
              <w:spacing w:after="40"/>
            </w:pPr>
            <w:r>
              <w:rPr>
                <w:sz w:val="18"/>
              </w:rPr>
              <w:t>x 1385–1530</w:t>
              <w:br/>
              <w:t>y 659–669</w:t>
            </w:r>
          </w:p>
        </w:tc>
        <w:tc>
          <w:tcPr>
            <w:tcW w:type="dxa" w:w="3402"/>
          </w:tcPr>
          <w:p>
            <w:pPr>
              <w:spacing w:after="40"/>
            </w:pPr>
            <w:r>
              <w:rPr>
                <w:sz w:val="18"/>
              </w:rPr>
              <w:t>unten, rechts</w:t>
              <w:br/>
              <w:t>x 72.6–80.2 %</w:t>
              <w:br/>
              <w:t>y 72.7–73.8 %</w:t>
            </w:r>
          </w:p>
        </w:tc>
      </w:tr>
      <w:tr>
        <w:trPr>
          <w:cantSplit/>
        </w:trPr>
        <w:tc>
          <w:tcPr>
            <w:tcW w:type="dxa" w:w="3288"/>
          </w:tcPr>
          <w:p>
            <w:pPr>
              <w:spacing w:after="40"/>
            </w:pPr>
            <w:r>
              <w:rPr>
                <w:sz w:val="18"/>
              </w:rPr>
              <w:t>Import Permissions</w:t>
            </w:r>
          </w:p>
        </w:tc>
        <w:tc>
          <w:tcPr>
            <w:tcW w:type="dxa" w:w="3005"/>
          </w:tcPr>
          <w:p>
            <w:pPr>
              <w:spacing w:after="40"/>
            </w:pPr>
            <w:r>
              <w:rPr>
                <w:sz w:val="18"/>
              </w:rPr>
              <w:t>x 1386–1503</w:t>
              <w:br/>
              <w:t>y 692–705</w:t>
            </w:r>
          </w:p>
        </w:tc>
        <w:tc>
          <w:tcPr>
            <w:tcW w:type="dxa" w:w="3402"/>
          </w:tcPr>
          <w:p>
            <w:pPr>
              <w:spacing w:after="40"/>
            </w:pPr>
            <w:r>
              <w:rPr>
                <w:sz w:val="18"/>
              </w:rPr>
              <w:t>unten, rechts</w:t>
              <w:br/>
              <w:t>x 72.7–78.8 %</w:t>
              <w:br/>
              <w:t>y 76.3–77.7 %</w:t>
            </w:r>
          </w:p>
        </w:tc>
      </w:tr>
      <w:tr>
        <w:trPr>
          <w:cantSplit/>
        </w:trPr>
        <w:tc>
          <w:tcPr>
            <w:tcW w:type="dxa" w:w="3288"/>
          </w:tcPr>
          <w:p>
            <w:pPr>
              <w:spacing w:after="40"/>
            </w:pPr>
            <w:r>
              <w:rPr>
                <w:sz w:val="18"/>
              </w:rPr>
              <w:t>Security</w:t>
            </w:r>
          </w:p>
        </w:tc>
        <w:tc>
          <w:tcPr>
            <w:tcW w:type="dxa" w:w="3005"/>
          </w:tcPr>
          <w:p>
            <w:pPr>
              <w:spacing w:after="40"/>
            </w:pPr>
            <w:r>
              <w:rPr>
                <w:sz w:val="18"/>
              </w:rPr>
              <w:t>x 48–98</w:t>
              <w:br/>
              <w:t>y 841–854</w:t>
            </w:r>
          </w:p>
        </w:tc>
        <w:tc>
          <w:tcPr>
            <w:tcW w:type="dxa" w:w="3402"/>
          </w:tcPr>
          <w:p>
            <w:pPr>
              <w:spacing w:after="40"/>
            </w:pPr>
            <w:r>
              <w:rPr>
                <w:sz w:val="18"/>
              </w:rPr>
              <w:t>unten, links</w:t>
              <w:br/>
              <w:t>x 2.5–5.1 %</w:t>
              <w:br/>
              <w:t>y 92.7–94.2 %</w:t>
            </w:r>
          </w:p>
        </w:tc>
      </w:tr>
      <w:tr>
        <w:trPr>
          <w:cantSplit/>
        </w:trPr>
        <w:tc>
          <w:tcPr>
            <w:tcW w:type="dxa" w:w="3288"/>
          </w:tcPr>
          <w:p>
            <w:pPr>
              <w:spacing w:after="40"/>
            </w:pPr>
            <w:r>
              <w:rPr>
                <w:sz w:val="18"/>
              </w:rPr>
              <w:t>System</w:t>
            </w:r>
          </w:p>
        </w:tc>
        <w:tc>
          <w:tcPr>
            <w:tcW w:type="dxa" w:w="3005"/>
          </w:tcPr>
          <w:p>
            <w:pPr>
              <w:spacing w:after="40"/>
            </w:pPr>
            <w:r>
              <w:rPr>
                <w:sz w:val="18"/>
              </w:rPr>
              <w:t>x 48–93</w:t>
              <w:br/>
              <w:t>y 877–890</w:t>
            </w:r>
          </w:p>
        </w:tc>
        <w:tc>
          <w:tcPr>
            <w:tcW w:type="dxa" w:w="3402"/>
          </w:tcPr>
          <w:p>
            <w:pPr>
              <w:spacing w:after="40"/>
            </w:pPr>
            <w:r>
              <w:rPr>
                <w:sz w:val="18"/>
              </w:rPr>
              <w:t>unten, links</w:t>
              <w:br/>
              <w:t>x 2.5–4.9 %</w:t>
              <w:br/>
              <w:t>y 96.7–98.1 %</w:t>
            </w:r>
          </w:p>
        </w:tc>
      </w:tr>
      <w:tr>
        <w:trPr>
          <w:cantSplit/>
        </w:trPr>
        <w:tc>
          <w:tcPr>
            <w:tcW w:type="dxa" w:w="3288"/>
          </w:tcPr>
          <w:p>
            <w:pPr>
              <w:spacing w:after="40"/>
            </w:pPr>
            <w:r>
              <w:rPr>
                <w:sz w:val="18"/>
              </w:rPr>
              <w:t>Deployed</w:t>
            </w:r>
          </w:p>
        </w:tc>
        <w:tc>
          <w:tcPr>
            <w:tcW w:type="dxa" w:w="3005"/>
          </w:tcPr>
          <w:p>
            <w:pPr>
              <w:spacing w:after="40"/>
            </w:pPr>
            <w:r>
              <w:rPr>
                <w:sz w:val="18"/>
              </w:rPr>
              <w:t>x 1338–1396</w:t>
              <w:br/>
              <w:t>y 883–896</w:t>
            </w:r>
          </w:p>
        </w:tc>
        <w:tc>
          <w:tcPr>
            <w:tcW w:type="dxa" w:w="3402"/>
          </w:tcPr>
          <w:p>
            <w:pPr>
              <w:spacing w:after="40"/>
            </w:pPr>
            <w:r>
              <w:rPr>
                <w:sz w:val="18"/>
              </w:rPr>
              <w:t>unten, rechts</w:t>
              <w:br/>
              <w:t>x 70.2–73.2 %</w:t>
              <w:br/>
              <w:t>y 97.4–98.8 %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20: Settings: Benutzerkonto und Darstellungsoptionen</w:t>
      </w:r>
    </w:p>
    <w:p>
      <w:r>
        <w:t>Bildformat: 1905 × 886 Pixel. Die folgenden Positionen beziehen sich auf dieses vollständige Bild.</w:t>
      </w:r>
    </w:p>
    <w:p>
      <w:pPr>
        <w:pStyle w:val="Heading2"/>
      </w:pPr>
      <w:r>
        <w:t>1. Gesamtaufbau und sichtbarer Zustand</w:t>
      </w:r>
    </w:p>
    <w:p>
      <w:pPr>
        <w:pStyle w:val="Heading3"/>
      </w:pPr>
      <w:r>
        <w:t>Gesamtansicht</w:t>
      </w:r>
    </w:p>
    <w:p>
      <w:r>
        <w:t>Ein großes Einstellungsfenster steht zentral im Screenshot. Es ist in eine linke Navigationsspalte und einen rechten Inhaltsbereich gegliedert. Oben links im Fenster steht „Settings“.</w:t>
      </w:r>
    </w:p>
    <w:p>
      <w:pPr>
        <w:pStyle w:val="Heading3"/>
      </w:pPr>
      <w:r>
        <w:t>Linke Spalte</w:t>
      </w:r>
    </w:p>
    <w:p>
      <w:r>
        <w:t>Die Navigation enthält User Account, Appearance, Home Screen, Language &amp; Region, Notifications, UI Settings und Privacy. Unter Appearance ist „Horizon“ sichtbar. Unter Home Screen steht ein kurzer Hinweis zu den Karten der Startseite. Language &amp; Region zeigt eine kompakte Zusammenfassung von Sprache sowie Zeit-, Datums- und Zahlenformat. Unter UI Settings steht „Show Business Name“. Im Privacy-Bereich sind Consent Settings und „Not Authorized“ sichtbar.</w:t>
      </w:r>
    </w:p>
    <w:p>
      <w:pPr>
        <w:pStyle w:val="Heading3"/>
      </w:pPr>
      <w:r>
        <w:t>Rechter Bereich</w:t>
      </w:r>
    </w:p>
    <w:p>
      <w:r>
        <w:t>Der Inhaltsbereich zeigt die Kontoseite. Oben befindet sich ein größerer Bereich für die Kontobezeichnung. Darunter stehen die Feldbeschriftungen First Name, Last Name und E-Mail. Die zugehörigen personenbezogenen Inhalte werden nicht beschrieben. Der übrige rechte Bereich ist überwiegend leer.</w:t>
      </w:r>
    </w:p>
    <w:p>
      <w:pPr>
        <w:pStyle w:val="Heading3"/>
      </w:pPr>
      <w:r>
        <w:t>Bedienelemente</w:t>
      </w:r>
    </w:p>
    <w:p>
      <w:r>
        <w:t>Unten rechts befindet sich die Schaltfläche „Close“. Die linke Spalte besitzt klar getrennte Einträge, während die Kontofelder rechts untereinander angeordnet sind. Der Screenshot zeigt keine zusätzliche Unterdialogbox.</w:t>
      </w:r>
    </w:p>
    <w:p>
      <w:pPr>
        <w:pStyle w:val="Heading2"/>
      </w:pPr>
      <w:r>
        <w:t>2. Räumliche Beschreibung von oben nach unten</w:t>
      </w:r>
    </w:p>
    <w:p>
      <w:pPr>
        <w:pStyle w:val="Heading3"/>
      </w:pPr>
      <w:r>
        <w:t>Einstellungsfenster</w:t>
      </w:r>
    </w:p>
    <w:p>
      <w:r>
        <w:rPr>
          <w:b/>
        </w:rPr>
        <w:t xml:space="preserve">Ungefähre Bildregion: </w:t>
      </w:r>
      <w:r>
        <w:t>x 26–73 %, y 7–92 %</w:t>
      </w:r>
    </w:p>
    <w:p>
      <w:r>
        <w:t>Ein rechteckiges weißes Fenster steht mittig. Settings liegt oben links innerhalb des Fensters. Eine vertikale Trennung gliedert die linke Auswahlspalte und den rechten Kontobereich.</w:t>
      </w:r>
    </w:p>
    <w:p>
      <w:pPr>
        <w:pStyle w:val="Heading3"/>
      </w:pPr>
      <w:r>
        <w:t>Linke Auswahlspalte</w:t>
      </w:r>
    </w:p>
    <w:p>
      <w:r>
        <w:rPr>
          <w:b/>
        </w:rPr>
        <w:t xml:space="preserve">Ungefähre Bildregion: </w:t>
      </w:r>
      <w:r>
        <w:t>x 26–43 %, y 11–68 %</w:t>
      </w:r>
    </w:p>
    <w:p>
      <w:r>
        <w:t>User Account steht oben. Darunter folgen Appearance mit Horizon, Home Screen mit einer erklärenden Zusatzzeile, Language &amp; Region mit einer Format-Zusammenfassung, Notifications, UI Settings mit Show Business Name und Privacy mit Consent Settings beziehungsweise Not Authorized. Symbole stehen links vor den Haupteinträgen.</w:t>
      </w:r>
    </w:p>
    <w:p>
      <w:pPr>
        <w:pStyle w:val="Heading3"/>
      </w:pPr>
      <w:r>
        <w:t>Rechter Kontobereich</w:t>
      </w:r>
    </w:p>
    <w:p>
      <w:r>
        <w:rPr>
          <w:b/>
        </w:rPr>
        <w:t xml:space="preserve">Ungefähre Bildregion: </w:t>
      </w:r>
      <w:r>
        <w:t>x 44–72 %, y 13–36 %</w:t>
      </w:r>
    </w:p>
    <w:p>
      <w:r>
        <w:t>Oben liegt der Bereich für die Kontobezeichnung. First Name, Last Name und E-Mail stehen darunter in drei horizontalen Feldzeilen. Die Beschriftungen liegen links von den zugehörigen Wertpositionen.</w:t>
      </w:r>
    </w:p>
    <w:p>
      <w:pPr>
        <w:pStyle w:val="Heading3"/>
      </w:pPr>
      <w:r>
        <w:t>Unterer Fensterrand</w:t>
      </w:r>
    </w:p>
    <w:p>
      <w:r>
        <w:rPr>
          <w:b/>
        </w:rPr>
        <w:t xml:space="preserve">Ungefähre Bildregion: </w:t>
      </w:r>
      <w:r>
        <w:t>x 26–73 %, y 86–92 %</w:t>
      </w:r>
    </w:p>
    <w:p>
      <w:r>
        <w:t>Close steht ganz unten rechts. Zwischen den Kontofeldern und dem unteren Rand bleibt eine große freie Fläche.</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System</w:t>
            </w:r>
          </w:p>
        </w:tc>
        <w:tc>
          <w:tcPr>
            <w:tcW w:type="dxa" w:w="3005"/>
          </w:tcPr>
          <w:p>
            <w:pPr>
              <w:spacing w:after="40"/>
            </w:pPr>
            <w:r>
              <w:rPr>
                <w:sz w:val="18"/>
              </w:rPr>
              <w:t>x 284–331</w:t>
              <w:br/>
              <w:t>y 75–88</w:t>
            </w:r>
          </w:p>
        </w:tc>
        <w:tc>
          <w:tcPr>
            <w:tcW w:type="dxa" w:w="3402"/>
          </w:tcPr>
          <w:p>
            <w:pPr>
              <w:spacing w:after="40"/>
            </w:pPr>
            <w:r>
              <w:rPr>
                <w:sz w:val="18"/>
              </w:rPr>
              <w:t>oben, links</w:t>
              <w:br/>
              <w:t>x 14.9–17.4 %</w:t>
              <w:br/>
              <w:t>y 8.5–9.9 %</w:t>
            </w:r>
          </w:p>
        </w:tc>
      </w:tr>
      <w:tr>
        <w:trPr>
          <w:cantSplit/>
        </w:trPr>
        <w:tc>
          <w:tcPr>
            <w:tcW w:type="dxa" w:w="3288"/>
          </w:tcPr>
          <w:p>
            <w:pPr>
              <w:spacing w:after="40"/>
            </w:pPr>
            <w:r>
              <w:rPr>
                <w:sz w:val="18"/>
              </w:rPr>
              <w:t>Settings</w:t>
            </w:r>
          </w:p>
        </w:tc>
        <w:tc>
          <w:tcPr>
            <w:tcW w:type="dxa" w:w="3005"/>
          </w:tcPr>
          <w:p>
            <w:pPr>
              <w:spacing w:after="40"/>
            </w:pPr>
            <w:r>
              <w:rPr>
                <w:sz w:val="18"/>
              </w:rPr>
              <w:t>x 501–560</w:t>
              <w:br/>
              <w:t>y 69–83</w:t>
            </w:r>
          </w:p>
        </w:tc>
        <w:tc>
          <w:tcPr>
            <w:tcW w:type="dxa" w:w="3402"/>
          </w:tcPr>
          <w:p>
            <w:pPr>
              <w:spacing w:after="40"/>
            </w:pPr>
            <w:r>
              <w:rPr>
                <w:sz w:val="18"/>
              </w:rPr>
              <w:t>oben, links</w:t>
              <w:br/>
              <w:t>x 26.3–29.4 %</w:t>
              <w:br/>
              <w:t>y 7.8–9.4 %</w:t>
            </w:r>
          </w:p>
        </w:tc>
      </w:tr>
      <w:tr>
        <w:trPr>
          <w:cantSplit/>
        </w:trPr>
        <w:tc>
          <w:tcPr>
            <w:tcW w:type="dxa" w:w="3288"/>
          </w:tcPr>
          <w:p>
            <w:pPr>
              <w:spacing w:after="40"/>
            </w:pPr>
            <w:r>
              <w:rPr>
                <w:sz w:val="18"/>
              </w:rPr>
              <w:t>Elastic Compute Nodes</w:t>
            </w:r>
          </w:p>
        </w:tc>
        <w:tc>
          <w:tcPr>
            <w:tcW w:type="dxa" w:w="3005"/>
          </w:tcPr>
          <w:p>
            <w:pPr>
              <w:spacing w:after="40"/>
            </w:pPr>
            <w:r>
              <w:rPr>
                <w:sz w:val="18"/>
              </w:rPr>
              <w:t>x 42–184</w:t>
              <w:br/>
              <w:t>y 88–101</w:t>
            </w:r>
          </w:p>
        </w:tc>
        <w:tc>
          <w:tcPr>
            <w:tcW w:type="dxa" w:w="3402"/>
          </w:tcPr>
          <w:p>
            <w:pPr>
              <w:spacing w:after="40"/>
            </w:pPr>
            <w:r>
              <w:rPr>
                <w:sz w:val="18"/>
              </w:rPr>
              <w:t>oben, links</w:t>
              <w:br/>
              <w:t>x 2.2–9.7 %</w:t>
              <w:br/>
              <w:t>y 9.9–11.4 %</w:t>
            </w:r>
          </w:p>
        </w:tc>
      </w:tr>
      <w:tr>
        <w:trPr>
          <w:cantSplit/>
        </w:trPr>
        <w:tc>
          <w:tcPr>
            <w:tcW w:type="dxa" w:w="3288"/>
          </w:tcPr>
          <w:p>
            <w:pPr>
              <w:spacing w:after="40"/>
            </w:pPr>
            <w:r>
              <w:rPr>
                <w:sz w:val="18"/>
              </w:rPr>
              <w:t>User Account</w:t>
            </w:r>
          </w:p>
        </w:tc>
        <w:tc>
          <w:tcPr>
            <w:tcW w:type="dxa" w:w="3005"/>
          </w:tcPr>
          <w:p>
            <w:pPr>
              <w:spacing w:after="40"/>
            </w:pPr>
            <w:r>
              <w:rPr>
                <w:sz w:val="18"/>
              </w:rPr>
              <w:t>x 534–614</w:t>
              <w:br/>
              <w:t>y 108–118</w:t>
            </w:r>
          </w:p>
        </w:tc>
        <w:tc>
          <w:tcPr>
            <w:tcW w:type="dxa" w:w="3402"/>
          </w:tcPr>
          <w:p>
            <w:pPr>
              <w:spacing w:after="40"/>
            </w:pPr>
            <w:r>
              <w:rPr>
                <w:sz w:val="18"/>
              </w:rPr>
              <w:t>oben, links</w:t>
              <w:br/>
              <w:t>x 28.0–32.2 %</w:t>
              <w:br/>
              <w:t>y 12.2–13.3 %</w:t>
            </w:r>
          </w:p>
        </w:tc>
      </w:tr>
      <w:tr>
        <w:trPr>
          <w:cantSplit/>
        </w:trPr>
        <w:tc>
          <w:tcPr>
            <w:tcW w:type="dxa" w:w="3288"/>
          </w:tcPr>
          <w:p>
            <w:pPr>
              <w:spacing w:after="40"/>
            </w:pPr>
            <w:r>
              <w:rPr>
                <w:sz w:val="18"/>
              </w:rPr>
              <w:t>Search</w:t>
            </w:r>
          </w:p>
        </w:tc>
        <w:tc>
          <w:tcPr>
            <w:tcW w:type="dxa" w:w="3005"/>
          </w:tcPr>
          <w:p>
            <w:pPr>
              <w:spacing w:after="40"/>
            </w:pPr>
            <w:r>
              <w:rPr>
                <w:sz w:val="18"/>
              </w:rPr>
              <w:t>x 1668–1710</w:t>
              <w:br/>
              <w:t>y 113–123</w:t>
            </w:r>
          </w:p>
        </w:tc>
        <w:tc>
          <w:tcPr>
            <w:tcW w:type="dxa" w:w="3402"/>
          </w:tcPr>
          <w:p>
            <w:pPr>
              <w:spacing w:after="40"/>
            </w:pPr>
            <w:r>
              <w:rPr>
                <w:sz w:val="18"/>
              </w:rPr>
              <w:t>oben, rechts</w:t>
              <w:br/>
              <w:t>x 87.6–89.7 %</w:t>
              <w:br/>
              <w:t>y 12.8–13.9 %</w:t>
            </w:r>
          </w:p>
        </w:tc>
      </w:tr>
      <w:tr>
        <w:trPr>
          <w:cantSplit/>
        </w:trPr>
        <w:tc>
          <w:tcPr>
            <w:tcW w:type="dxa" w:w="3288"/>
          </w:tcPr>
          <w:p>
            <w:pPr>
              <w:spacing w:after="40"/>
            </w:pPr>
            <w:r>
              <w:rPr>
                <w:sz w:val="18"/>
              </w:rPr>
              <w:t>Data Integration</w:t>
            </w:r>
          </w:p>
        </w:tc>
        <w:tc>
          <w:tcPr>
            <w:tcW w:type="dxa" w:w="3005"/>
          </w:tcPr>
          <w:p>
            <w:pPr>
              <w:spacing w:after="40"/>
            </w:pPr>
            <w:r>
              <w:rPr>
                <w:sz w:val="18"/>
              </w:rPr>
              <w:t>x 42–138</w:t>
              <w:br/>
              <w:t>y 124–137</w:t>
            </w:r>
          </w:p>
        </w:tc>
        <w:tc>
          <w:tcPr>
            <w:tcW w:type="dxa" w:w="3402"/>
          </w:tcPr>
          <w:p>
            <w:pPr>
              <w:spacing w:after="40"/>
            </w:pPr>
            <w:r>
              <w:rPr>
                <w:sz w:val="18"/>
              </w:rPr>
              <w:t>oben, links</w:t>
              <w:br/>
              <w:t>x 2.2–7.3 %</w:t>
              <w:br/>
              <w:t>y 14.0–15.5 %</w:t>
            </w:r>
          </w:p>
        </w:tc>
      </w:tr>
      <w:tr>
        <w:trPr>
          <w:cantSplit/>
        </w:trPr>
        <w:tc>
          <w:tcPr>
            <w:tcW w:type="dxa" w:w="3288"/>
          </w:tcPr>
          <w:p>
            <w:pPr>
              <w:spacing w:after="40"/>
            </w:pPr>
            <w:r>
              <w:rPr>
                <w:sz w:val="18"/>
              </w:rPr>
              <w:t>Name</w:t>
            </w:r>
          </w:p>
        </w:tc>
        <w:tc>
          <w:tcPr>
            <w:tcW w:type="dxa" w:w="3005"/>
          </w:tcPr>
          <w:p>
            <w:pPr>
              <w:spacing w:after="40"/>
            </w:pPr>
            <w:r>
              <w:rPr>
                <w:sz w:val="18"/>
              </w:rPr>
              <w:t>x 265–300</w:t>
              <w:br/>
              <w:t>y 153–163</w:t>
            </w:r>
          </w:p>
        </w:tc>
        <w:tc>
          <w:tcPr>
            <w:tcW w:type="dxa" w:w="3402"/>
          </w:tcPr>
          <w:p>
            <w:pPr>
              <w:spacing w:after="40"/>
            </w:pPr>
            <w:r>
              <w:rPr>
                <w:sz w:val="18"/>
              </w:rPr>
              <w:t>oben, links</w:t>
              <w:br/>
              <w:t>x 13.9–15.8 %</w:t>
              <w:br/>
              <w:t>y 17.3–18.4 %</w:t>
            </w:r>
          </w:p>
        </w:tc>
      </w:tr>
      <w:tr>
        <w:trPr>
          <w:cantSplit/>
        </w:trPr>
        <w:tc>
          <w:tcPr>
            <w:tcW w:type="dxa" w:w="3288"/>
          </w:tcPr>
          <w:p>
            <w:pPr>
              <w:spacing w:after="40"/>
            </w:pPr>
            <w:r>
              <w:rPr>
                <w:sz w:val="18"/>
              </w:rPr>
              <w:t>Appearance</w:t>
            </w:r>
          </w:p>
        </w:tc>
        <w:tc>
          <w:tcPr>
            <w:tcW w:type="dxa" w:w="3005"/>
          </w:tcPr>
          <w:p>
            <w:pPr>
              <w:spacing w:after="40"/>
            </w:pPr>
            <w:r>
              <w:rPr>
                <w:sz w:val="18"/>
              </w:rPr>
              <w:t>x 533–606</w:t>
              <w:br/>
              <w:t>y 172–185</w:t>
            </w:r>
          </w:p>
        </w:tc>
        <w:tc>
          <w:tcPr>
            <w:tcW w:type="dxa" w:w="3402"/>
          </w:tcPr>
          <w:p>
            <w:pPr>
              <w:spacing w:after="40"/>
            </w:pPr>
            <w:r>
              <w:rPr>
                <w:sz w:val="18"/>
              </w:rPr>
              <w:t>oben, links</w:t>
              <w:br/>
              <w:t>x 28.0–31.8 %</w:t>
              <w:br/>
              <w:t>y 19.4–20.9 %</w:t>
            </w:r>
          </w:p>
        </w:tc>
      </w:tr>
      <w:tr>
        <w:trPr>
          <w:cantSplit/>
        </w:trPr>
        <w:tc>
          <w:tcPr>
            <w:tcW w:type="dxa" w:w="3288"/>
          </w:tcPr>
          <w:p>
            <w:pPr>
              <w:spacing w:after="40"/>
            </w:pPr>
            <w:r>
              <w:rPr>
                <w:sz w:val="18"/>
              </w:rPr>
              <w:t>Horizon</w:t>
            </w:r>
          </w:p>
        </w:tc>
        <w:tc>
          <w:tcPr>
            <w:tcW w:type="dxa" w:w="3005"/>
          </w:tcPr>
          <w:p>
            <w:pPr>
              <w:spacing w:after="40"/>
            </w:pPr>
            <w:r>
              <w:rPr>
                <w:sz w:val="18"/>
              </w:rPr>
              <w:t>x 534–579</w:t>
              <w:br/>
              <w:t>y 200–210</w:t>
            </w:r>
          </w:p>
        </w:tc>
        <w:tc>
          <w:tcPr>
            <w:tcW w:type="dxa" w:w="3402"/>
          </w:tcPr>
          <w:p>
            <w:pPr>
              <w:spacing w:after="40"/>
            </w:pPr>
            <w:r>
              <w:rPr>
                <w:sz w:val="18"/>
              </w:rPr>
              <w:t>oben, links</w:t>
              <w:br/>
              <w:t>x 28.0–30.4 %</w:t>
              <w:br/>
              <w:t>y 22.6–23.7 %</w:t>
            </w:r>
          </w:p>
        </w:tc>
      </w:tr>
      <w:tr>
        <w:trPr>
          <w:cantSplit/>
        </w:trPr>
        <w:tc>
          <w:tcPr>
            <w:tcW w:type="dxa" w:w="3288"/>
          </w:tcPr>
          <w:p>
            <w:pPr>
              <w:spacing w:after="40"/>
            </w:pPr>
            <w:r>
              <w:rPr>
                <w:sz w:val="18"/>
              </w:rPr>
              <w:t>Search</w:t>
            </w:r>
          </w:p>
        </w:tc>
        <w:tc>
          <w:tcPr>
            <w:tcW w:type="dxa" w:w="3005"/>
          </w:tcPr>
          <w:p>
            <w:pPr>
              <w:spacing w:after="40"/>
            </w:pPr>
            <w:r>
              <w:rPr>
                <w:sz w:val="18"/>
              </w:rPr>
              <w:t>x 41–82</w:t>
              <w:br/>
              <w:t>y 212–222</w:t>
            </w:r>
          </w:p>
        </w:tc>
        <w:tc>
          <w:tcPr>
            <w:tcW w:type="dxa" w:w="3402"/>
          </w:tcPr>
          <w:p>
            <w:pPr>
              <w:spacing w:after="40"/>
            </w:pPr>
            <w:r>
              <w:rPr>
                <w:sz w:val="18"/>
              </w:rPr>
              <w:t>oben, links</w:t>
              <w:br/>
              <w:t>x 2.2–4.3 %</w:t>
              <w:br/>
              <w:t>y 23.9–25.1 %</w:t>
            </w:r>
          </w:p>
        </w:tc>
      </w:tr>
      <w:tr>
        <w:trPr>
          <w:cantSplit/>
        </w:trPr>
        <w:tc>
          <w:tcPr>
            <w:tcW w:type="dxa" w:w="3288"/>
          </w:tcPr>
          <w:p>
            <w:pPr>
              <w:spacing w:after="40"/>
            </w:pPr>
            <w:r>
              <w:rPr>
                <w:sz w:val="18"/>
              </w:rPr>
              <w:t>First Name</w:t>
            </w:r>
          </w:p>
        </w:tc>
        <w:tc>
          <w:tcPr>
            <w:tcW w:type="dxa" w:w="3005"/>
          </w:tcPr>
          <w:p>
            <w:pPr>
              <w:spacing w:after="40"/>
            </w:pPr>
            <w:r>
              <w:rPr>
                <w:sz w:val="18"/>
              </w:rPr>
              <w:t>x 947–1012</w:t>
              <w:br/>
              <w:t>y 218–228</w:t>
            </w:r>
          </w:p>
        </w:tc>
        <w:tc>
          <w:tcPr>
            <w:tcW w:type="dxa" w:w="3402"/>
          </w:tcPr>
          <w:p>
            <w:pPr>
              <w:spacing w:after="40"/>
            </w:pPr>
            <w:r>
              <w:rPr>
                <w:sz w:val="18"/>
              </w:rPr>
              <w:t>oben, mittig</w:t>
              <w:br/>
              <w:t>x 49.7–53.1 %</w:t>
              <w:br/>
              <w:t>y 24.6–25.7 %</w:t>
            </w:r>
          </w:p>
        </w:tc>
      </w:tr>
      <w:tr>
        <w:trPr>
          <w:cantSplit/>
        </w:trPr>
        <w:tc>
          <w:tcPr>
            <w:tcW w:type="dxa" w:w="3288"/>
          </w:tcPr>
          <w:p>
            <w:pPr>
              <w:spacing w:after="40"/>
            </w:pPr>
            <w:r>
              <w:rPr>
                <w:sz w:val="18"/>
              </w:rPr>
              <w:t>Home Screen</w:t>
            </w:r>
          </w:p>
        </w:tc>
        <w:tc>
          <w:tcPr>
            <w:tcW w:type="dxa" w:w="3005"/>
          </w:tcPr>
          <w:p>
            <w:pPr>
              <w:spacing w:after="40"/>
            </w:pPr>
            <w:r>
              <w:rPr>
                <w:sz w:val="18"/>
              </w:rPr>
              <w:t>x 534–615</w:t>
              <w:br/>
              <w:t>y 236–246</w:t>
            </w:r>
          </w:p>
        </w:tc>
        <w:tc>
          <w:tcPr>
            <w:tcW w:type="dxa" w:w="3402"/>
          </w:tcPr>
          <w:p>
            <w:pPr>
              <w:spacing w:after="40"/>
            </w:pPr>
            <w:r>
              <w:rPr>
                <w:sz w:val="18"/>
              </w:rPr>
              <w:t>oben, links</w:t>
              <w:br/>
              <w:t>x 28.0–32.3 %</w:t>
              <w:br/>
              <w:t>y 26.6–27.8 %</w:t>
            </w:r>
          </w:p>
        </w:tc>
      </w:tr>
      <w:tr>
        <w:trPr>
          <w:cantSplit/>
        </w:trPr>
        <w:tc>
          <w:tcPr>
            <w:tcW w:type="dxa" w:w="3288"/>
          </w:tcPr>
          <w:p>
            <w:pPr>
              <w:spacing w:after="40"/>
            </w:pPr>
            <w:r>
              <w:rPr>
                <w:sz w:val="18"/>
              </w:rPr>
              <w:t>Last Name</w:t>
            </w:r>
          </w:p>
        </w:tc>
        <w:tc>
          <w:tcPr>
            <w:tcW w:type="dxa" w:w="3005"/>
          </w:tcPr>
          <w:p>
            <w:pPr>
              <w:spacing w:after="40"/>
            </w:pPr>
            <w:r>
              <w:rPr>
                <w:sz w:val="18"/>
              </w:rPr>
              <w:t>x 948–1012</w:t>
              <w:br/>
              <w:t>y 250–260</w:t>
            </w:r>
          </w:p>
        </w:tc>
        <w:tc>
          <w:tcPr>
            <w:tcW w:type="dxa" w:w="3402"/>
          </w:tcPr>
          <w:p>
            <w:pPr>
              <w:spacing w:after="40"/>
            </w:pPr>
            <w:r>
              <w:rPr>
                <w:sz w:val="18"/>
              </w:rPr>
              <w:t>oben, mittig</w:t>
              <w:br/>
              <w:t>x 49.8–53.1 %</w:t>
              <w:br/>
              <w:t>y 28.2–29.3 %</w:t>
            </w:r>
          </w:p>
        </w:tc>
      </w:tr>
      <w:tr>
        <w:trPr>
          <w:cantSplit/>
        </w:trPr>
        <w:tc>
          <w:tcPr>
            <w:tcW w:type="dxa" w:w="3288"/>
          </w:tcPr>
          <w:p>
            <w:pPr>
              <w:spacing w:after="40"/>
            </w:pPr>
            <w:r>
              <w:rPr>
                <w:sz w:val="18"/>
              </w:rPr>
              <w:t>home screen</w:t>
            </w:r>
          </w:p>
        </w:tc>
        <w:tc>
          <w:tcPr>
            <w:tcW w:type="dxa" w:w="3005"/>
          </w:tcPr>
          <w:p>
            <w:pPr>
              <w:spacing w:after="40"/>
            </w:pPr>
            <w:r>
              <w:rPr>
                <w:sz w:val="18"/>
              </w:rPr>
              <w:t>x 676–753</w:t>
              <w:br/>
              <w:t>y 264–274</w:t>
            </w:r>
          </w:p>
        </w:tc>
        <w:tc>
          <w:tcPr>
            <w:tcW w:type="dxa" w:w="3402"/>
          </w:tcPr>
          <w:p>
            <w:pPr>
              <w:spacing w:after="40"/>
            </w:pPr>
            <w:r>
              <w:rPr>
                <w:sz w:val="18"/>
              </w:rPr>
              <w:t>oben, mittig</w:t>
              <w:br/>
              <w:t>x 35.5–39.5 %</w:t>
              <w:br/>
              <w:t>y 29.9–30.9 %</w:t>
            </w:r>
          </w:p>
        </w:tc>
      </w:tr>
      <w:tr>
        <w:trPr>
          <w:cantSplit/>
        </w:trPr>
        <w:tc>
          <w:tcPr>
            <w:tcW w:type="dxa" w:w="3288"/>
          </w:tcPr>
          <w:p>
            <w:pPr>
              <w:spacing w:after="40"/>
            </w:pPr>
            <w:r>
              <w:rPr>
                <w:sz w:val="18"/>
              </w:rPr>
              <w:t>Apps</w:t>
            </w:r>
          </w:p>
        </w:tc>
        <w:tc>
          <w:tcPr>
            <w:tcW w:type="dxa" w:w="3005"/>
          </w:tcPr>
          <w:p>
            <w:pPr>
              <w:spacing w:after="40"/>
            </w:pPr>
            <w:r>
              <w:rPr>
                <w:sz w:val="18"/>
              </w:rPr>
              <w:t>x 17–47</w:t>
              <w:br/>
              <w:t>y 294–307</w:t>
            </w:r>
          </w:p>
        </w:tc>
        <w:tc>
          <w:tcPr>
            <w:tcW w:type="dxa" w:w="3402"/>
          </w:tcPr>
          <w:p>
            <w:pPr>
              <w:spacing w:after="40"/>
            </w:pPr>
            <w:r>
              <w:rPr>
                <w:sz w:val="18"/>
              </w:rPr>
              <w:t>auf mittlerer Höhe, links</w:t>
              <w:br/>
              <w:t>x 0.9–2.5 %</w:t>
              <w:br/>
              <w:t>y 33.2–34.7 %</w:t>
            </w:r>
          </w:p>
        </w:tc>
      </w:tr>
      <w:tr>
        <w:trPr>
          <w:cantSplit/>
        </w:trPr>
        <w:tc>
          <w:tcPr>
            <w:tcW w:type="dxa" w:w="3288"/>
          </w:tcPr>
          <w:p>
            <w:pPr>
              <w:spacing w:after="40"/>
            </w:pPr>
            <w:r>
              <w:rPr>
                <w:sz w:val="18"/>
              </w:rPr>
              <w:t>Language &amp; Region</w:t>
            </w:r>
          </w:p>
        </w:tc>
        <w:tc>
          <w:tcPr>
            <w:tcW w:type="dxa" w:w="3005"/>
          </w:tcPr>
          <w:p>
            <w:pPr>
              <w:spacing w:after="40"/>
            </w:pPr>
            <w:r>
              <w:rPr>
                <w:sz w:val="18"/>
              </w:rPr>
              <w:t>x 534–652</w:t>
              <w:br/>
              <w:t>y 300–313</w:t>
            </w:r>
          </w:p>
        </w:tc>
        <w:tc>
          <w:tcPr>
            <w:tcW w:type="dxa" w:w="3402"/>
          </w:tcPr>
          <w:p>
            <w:pPr>
              <w:spacing w:after="40"/>
            </w:pPr>
            <w:r>
              <w:rPr>
                <w:sz w:val="18"/>
              </w:rPr>
              <w:t>auf mittlerer Höhe, links</w:t>
              <w:br/>
              <w:t>x 28.0–34.2 %</w:t>
              <w:br/>
              <w:t>y 33.9–35.3 %</w:t>
            </w:r>
          </w:p>
        </w:tc>
      </w:tr>
      <w:tr>
        <w:trPr>
          <w:cantSplit/>
        </w:trPr>
        <w:tc>
          <w:tcPr>
            <w:tcW w:type="dxa" w:w="3288"/>
          </w:tcPr>
          <w:p>
            <w:pPr>
              <w:spacing w:after="40"/>
            </w:pPr>
            <w:r>
              <w:rPr>
                <w:sz w:val="18"/>
              </w:rPr>
              <w:t>Semantic Onboarding</w:t>
            </w:r>
          </w:p>
        </w:tc>
        <w:tc>
          <w:tcPr>
            <w:tcW w:type="dxa" w:w="3005"/>
          </w:tcPr>
          <w:p>
            <w:pPr>
              <w:spacing w:after="40"/>
            </w:pPr>
            <w:r>
              <w:rPr>
                <w:sz w:val="18"/>
              </w:rPr>
              <w:t>x 41–174</w:t>
              <w:br/>
              <w:t>y 330–343</w:t>
            </w:r>
          </w:p>
        </w:tc>
        <w:tc>
          <w:tcPr>
            <w:tcW w:type="dxa" w:w="3402"/>
          </w:tcPr>
          <w:p>
            <w:pPr>
              <w:spacing w:after="40"/>
            </w:pPr>
            <w:r>
              <w:rPr>
                <w:sz w:val="18"/>
              </w:rPr>
              <w:t>auf mittlerer Höhe, links</w:t>
              <w:br/>
              <w:t>x 2.2–9.1 %</w:t>
              <w:br/>
              <w:t>y 37.2–38.7 %</w:t>
            </w:r>
          </w:p>
        </w:tc>
      </w:tr>
      <w:tr>
        <w:trPr>
          <w:cantSplit/>
        </w:trPr>
        <w:tc>
          <w:tcPr>
            <w:tcW w:type="dxa" w:w="3288"/>
          </w:tcPr>
          <w:p>
            <w:pPr>
              <w:spacing w:after="40"/>
            </w:pPr>
            <w:r>
              <w:rPr>
                <w:sz w:val="18"/>
              </w:rPr>
              <w:t>Business Builder</w:t>
            </w:r>
          </w:p>
        </w:tc>
        <w:tc>
          <w:tcPr>
            <w:tcW w:type="dxa" w:w="3005"/>
          </w:tcPr>
          <w:p>
            <w:pPr>
              <w:spacing w:after="40"/>
            </w:pPr>
            <w:r>
              <w:rPr>
                <w:sz w:val="18"/>
              </w:rPr>
              <w:t>x 41–143</w:t>
              <w:br/>
              <w:t>y 366–376</w:t>
            </w:r>
          </w:p>
        </w:tc>
        <w:tc>
          <w:tcPr>
            <w:tcW w:type="dxa" w:w="3402"/>
          </w:tcPr>
          <w:p>
            <w:pPr>
              <w:spacing w:after="40"/>
            </w:pPr>
            <w:r>
              <w:rPr>
                <w:sz w:val="18"/>
              </w:rPr>
              <w:t>auf mittlerer Höhe, links</w:t>
              <w:br/>
              <w:t>x 2.2–7.5 %</w:t>
              <w:br/>
              <w:t>y 41.3–42.4 %</w:t>
            </w:r>
          </w:p>
        </w:tc>
      </w:tr>
      <w:tr>
        <w:trPr>
          <w:cantSplit/>
        </w:trPr>
        <w:tc>
          <w:tcPr>
            <w:tcW w:type="dxa" w:w="3288"/>
          </w:tcPr>
          <w:p>
            <w:pPr>
              <w:spacing w:after="40"/>
            </w:pPr>
            <w:r>
              <w:rPr>
                <w:sz w:val="18"/>
              </w:rPr>
              <w:t>Notifications</w:t>
            </w:r>
          </w:p>
        </w:tc>
        <w:tc>
          <w:tcPr>
            <w:tcW w:type="dxa" w:w="3005"/>
          </w:tcPr>
          <w:p>
            <w:pPr>
              <w:spacing w:after="40"/>
            </w:pPr>
            <w:r>
              <w:rPr>
                <w:sz w:val="18"/>
              </w:rPr>
              <w:t>x 534–608</w:t>
              <w:br/>
              <w:t>y 378–388</w:t>
            </w:r>
          </w:p>
        </w:tc>
        <w:tc>
          <w:tcPr>
            <w:tcW w:type="dxa" w:w="3402"/>
          </w:tcPr>
          <w:p>
            <w:pPr>
              <w:spacing w:after="40"/>
            </w:pPr>
            <w:r>
              <w:rPr>
                <w:sz w:val="18"/>
              </w:rPr>
              <w:t>auf mittlerer Höhe, links</w:t>
              <w:br/>
              <w:t>x 28.0–31.9 %</w:t>
              <w:br/>
              <w:t>y 42.7–43.8 %</w:t>
            </w:r>
          </w:p>
        </w:tc>
      </w:tr>
      <w:tr>
        <w:trPr>
          <w:cantSplit/>
        </w:trPr>
        <w:tc>
          <w:tcPr>
            <w:tcW w:type="dxa" w:w="3288"/>
          </w:tcPr>
          <w:p>
            <w:pPr>
              <w:spacing w:after="40"/>
            </w:pPr>
            <w:r>
              <w:rPr>
                <w:sz w:val="18"/>
              </w:rPr>
              <w:t>Data Builder</w:t>
            </w:r>
          </w:p>
        </w:tc>
        <w:tc>
          <w:tcPr>
            <w:tcW w:type="dxa" w:w="3005"/>
          </w:tcPr>
          <w:p>
            <w:pPr>
              <w:spacing w:after="40"/>
            </w:pPr>
            <w:r>
              <w:rPr>
                <w:sz w:val="18"/>
              </w:rPr>
              <w:t>x 41–117</w:t>
              <w:br/>
              <w:t>y 402–412</w:t>
            </w:r>
          </w:p>
        </w:tc>
        <w:tc>
          <w:tcPr>
            <w:tcW w:type="dxa" w:w="3402"/>
          </w:tcPr>
          <w:p>
            <w:pPr>
              <w:spacing w:after="40"/>
            </w:pPr>
            <w:r>
              <w:rPr>
                <w:sz w:val="18"/>
              </w:rPr>
              <w:t>auf mittlerer Höhe, links</w:t>
              <w:br/>
              <w:t>x 2.2–6.1 %</w:t>
              <w:br/>
              <w:t>y 45.4–46.5 %</w:t>
            </w:r>
          </w:p>
        </w:tc>
      </w:tr>
      <w:tr>
        <w:trPr>
          <w:cantSplit/>
        </w:trPr>
        <w:tc>
          <w:tcPr>
            <w:tcW w:type="dxa" w:w="3288"/>
          </w:tcPr>
          <w:p>
            <w:pPr>
              <w:spacing w:after="40"/>
            </w:pPr>
            <w:r>
              <w:rPr>
                <w:sz w:val="18"/>
              </w:rPr>
              <w:t>Connections</w:t>
            </w:r>
          </w:p>
        </w:tc>
        <w:tc>
          <w:tcPr>
            <w:tcW w:type="dxa" w:w="3005"/>
          </w:tcPr>
          <w:p>
            <w:pPr>
              <w:spacing w:after="40"/>
            </w:pPr>
            <w:r>
              <w:rPr>
                <w:sz w:val="18"/>
              </w:rPr>
              <w:t>x 41–117</w:t>
              <w:br/>
              <w:t>y 438–448</w:t>
            </w:r>
          </w:p>
        </w:tc>
        <w:tc>
          <w:tcPr>
            <w:tcW w:type="dxa" w:w="3402"/>
          </w:tcPr>
          <w:p>
            <w:pPr>
              <w:spacing w:after="40"/>
            </w:pPr>
            <w:r>
              <w:rPr>
                <w:sz w:val="18"/>
              </w:rPr>
              <w:t>auf mittlerer Höhe, links</w:t>
              <w:br/>
              <w:t>x 2.2–6.1 %</w:t>
              <w:br/>
              <w:t>y 49.4–50.6 %</w:t>
            </w:r>
          </w:p>
        </w:tc>
      </w:tr>
      <w:tr>
        <w:trPr>
          <w:cantSplit/>
        </w:trPr>
        <w:tc>
          <w:tcPr>
            <w:tcW w:type="dxa" w:w="3288"/>
          </w:tcPr>
          <w:p>
            <w:pPr>
              <w:spacing w:after="40"/>
            </w:pPr>
            <w:r>
              <w:rPr>
                <w:sz w:val="18"/>
              </w:rPr>
              <w:t>Settings</w:t>
            </w:r>
          </w:p>
        </w:tc>
        <w:tc>
          <w:tcPr>
            <w:tcW w:type="dxa" w:w="3005"/>
          </w:tcPr>
          <w:p>
            <w:pPr>
              <w:spacing w:after="40"/>
            </w:pPr>
            <w:r>
              <w:rPr>
                <w:sz w:val="18"/>
              </w:rPr>
              <w:t>x 551–599</w:t>
              <w:br/>
              <w:t>y 428–441</w:t>
            </w:r>
          </w:p>
        </w:tc>
        <w:tc>
          <w:tcPr>
            <w:tcW w:type="dxa" w:w="3402"/>
          </w:tcPr>
          <w:p>
            <w:pPr>
              <w:spacing w:after="40"/>
            </w:pPr>
            <w:r>
              <w:rPr>
                <w:sz w:val="18"/>
              </w:rPr>
              <w:t>auf mittlerer Höhe, links</w:t>
              <w:br/>
              <w:t>x 28.9–31.4 %</w:t>
              <w:br/>
              <w:t>y 48.3–49.8 %</w:t>
            </w:r>
          </w:p>
        </w:tc>
      </w:tr>
      <w:tr>
        <w:trPr>
          <w:cantSplit/>
        </w:trPr>
        <w:tc>
          <w:tcPr>
            <w:tcW w:type="dxa" w:w="3288"/>
          </w:tcPr>
          <w:p>
            <w:pPr>
              <w:spacing w:after="40"/>
            </w:pPr>
            <w:r>
              <w:rPr>
                <w:sz w:val="18"/>
              </w:rPr>
              <w:t>Show Business Name</w:t>
            </w:r>
          </w:p>
        </w:tc>
        <w:tc>
          <w:tcPr>
            <w:tcW w:type="dxa" w:w="3005"/>
          </w:tcPr>
          <w:p>
            <w:pPr>
              <w:spacing w:after="40"/>
            </w:pPr>
            <w:r>
              <w:rPr>
                <w:sz w:val="18"/>
              </w:rPr>
              <w:t>x 534–665</w:t>
              <w:br/>
              <w:t>y 456–466</w:t>
            </w:r>
          </w:p>
        </w:tc>
        <w:tc>
          <w:tcPr>
            <w:tcW w:type="dxa" w:w="3402"/>
          </w:tcPr>
          <w:p>
            <w:pPr>
              <w:spacing w:after="40"/>
            </w:pPr>
            <w:r>
              <w:rPr>
                <w:sz w:val="18"/>
              </w:rPr>
              <w:t>auf mittlerer Höhe, links</w:t>
              <w:br/>
              <w:t>x 28.0–34.9 %</w:t>
              <w:br/>
              <w:t>y 51.5–52.6 %</w:t>
            </w:r>
          </w:p>
        </w:tc>
      </w:tr>
      <w:tr>
        <w:trPr>
          <w:cantSplit/>
        </w:trPr>
        <w:tc>
          <w:tcPr>
            <w:tcW w:type="dxa" w:w="3288"/>
          </w:tcPr>
          <w:p>
            <w:pPr>
              <w:spacing w:after="40"/>
            </w:pPr>
            <w:r>
              <w:rPr>
                <w:sz w:val="18"/>
              </w:rPr>
              <w:t>Utilities</w:t>
            </w:r>
          </w:p>
        </w:tc>
        <w:tc>
          <w:tcPr>
            <w:tcW w:type="dxa" w:w="3005"/>
          </w:tcPr>
          <w:p>
            <w:pPr>
              <w:spacing w:after="40"/>
            </w:pPr>
            <w:r>
              <w:rPr>
                <w:sz w:val="18"/>
              </w:rPr>
              <w:t>x 18–61</w:t>
              <w:br/>
              <w:t>y 484–494</w:t>
            </w:r>
          </w:p>
        </w:tc>
        <w:tc>
          <w:tcPr>
            <w:tcW w:type="dxa" w:w="3402"/>
          </w:tcPr>
          <w:p>
            <w:pPr>
              <w:spacing w:after="40"/>
            </w:pPr>
            <w:r>
              <w:rPr>
                <w:sz w:val="18"/>
              </w:rPr>
              <w:t>auf mittlerer Höhe, links</w:t>
              <w:br/>
              <w:t>x 0.9–3.2 %</w:t>
              <w:br/>
              <w:t>y 54.6–55.8 %</w:t>
            </w:r>
          </w:p>
        </w:tc>
      </w:tr>
      <w:tr>
        <w:trPr>
          <w:cantSplit/>
        </w:trPr>
        <w:tc>
          <w:tcPr>
            <w:tcW w:type="dxa" w:w="3288"/>
          </w:tcPr>
          <w:p>
            <w:pPr>
              <w:spacing w:after="40"/>
            </w:pPr>
            <w:r>
              <w:rPr>
                <w:sz w:val="18"/>
              </w:rPr>
              <w:t>Privacy</w:t>
            </w:r>
          </w:p>
        </w:tc>
        <w:tc>
          <w:tcPr>
            <w:tcW w:type="dxa" w:w="3005"/>
          </w:tcPr>
          <w:p>
            <w:pPr>
              <w:spacing w:after="40"/>
            </w:pPr>
            <w:r>
              <w:rPr>
                <w:sz w:val="18"/>
              </w:rPr>
              <w:t>x 534–577</w:t>
              <w:br/>
              <w:t>y 506–519</w:t>
            </w:r>
          </w:p>
        </w:tc>
        <w:tc>
          <w:tcPr>
            <w:tcW w:type="dxa" w:w="3402"/>
          </w:tcPr>
          <w:p>
            <w:pPr>
              <w:spacing w:after="40"/>
            </w:pPr>
            <w:r>
              <w:rPr>
                <w:sz w:val="18"/>
              </w:rPr>
              <w:t>auf mittlerer Höhe, links</w:t>
              <w:br/>
              <w:t>x 28.0–30.3 %</w:t>
              <w:br/>
              <w:t>y 57.1–58.6 %</w:t>
            </w:r>
          </w:p>
        </w:tc>
      </w:tr>
      <w:tr>
        <w:trPr>
          <w:cantSplit/>
        </w:trPr>
        <w:tc>
          <w:tcPr>
            <w:tcW w:type="dxa" w:w="3288"/>
          </w:tcPr>
          <w:p>
            <w:pPr>
              <w:spacing w:after="40"/>
            </w:pPr>
            <w:r>
              <w:rPr>
                <w:sz w:val="18"/>
              </w:rPr>
              <w:t>Space Management</w:t>
            </w:r>
          </w:p>
        </w:tc>
        <w:tc>
          <w:tcPr>
            <w:tcW w:type="dxa" w:w="3005"/>
          </w:tcPr>
          <w:p>
            <w:pPr>
              <w:spacing w:after="40"/>
            </w:pPr>
            <w:r>
              <w:rPr>
                <w:sz w:val="18"/>
              </w:rPr>
              <w:t>x 41–164</w:t>
              <w:br/>
              <w:t>y 520–533</w:t>
            </w:r>
          </w:p>
        </w:tc>
        <w:tc>
          <w:tcPr>
            <w:tcW w:type="dxa" w:w="3402"/>
          </w:tcPr>
          <w:p>
            <w:pPr>
              <w:spacing w:after="40"/>
            </w:pPr>
            <w:r>
              <w:rPr>
                <w:sz w:val="18"/>
              </w:rPr>
              <w:t>auf mittlerer Höhe, links</w:t>
              <w:br/>
              <w:t>x 2.2–8.6 %</w:t>
              <w:br/>
              <w:t>y 58.7–60.2 %</w:t>
            </w:r>
          </w:p>
        </w:tc>
      </w:tr>
      <w:tr>
        <w:trPr>
          <w:cantSplit/>
        </w:trPr>
        <w:tc>
          <w:tcPr>
            <w:tcW w:type="dxa" w:w="3288"/>
          </w:tcPr>
          <w:p>
            <w:pPr>
              <w:spacing w:after="40"/>
            </w:pPr>
            <w:r>
              <w:rPr>
                <w:sz w:val="18"/>
              </w:rPr>
              <w:t>Translation</w:t>
            </w:r>
          </w:p>
        </w:tc>
        <w:tc>
          <w:tcPr>
            <w:tcW w:type="dxa" w:w="3005"/>
          </w:tcPr>
          <w:p>
            <w:pPr>
              <w:spacing w:after="40"/>
            </w:pPr>
            <w:r>
              <w:rPr>
                <w:sz w:val="18"/>
              </w:rPr>
              <w:t>x 40–107</w:t>
              <w:br/>
              <w:t>y 556–566</w:t>
            </w:r>
          </w:p>
        </w:tc>
        <w:tc>
          <w:tcPr>
            <w:tcW w:type="dxa" w:w="3402"/>
          </w:tcPr>
          <w:p>
            <w:pPr>
              <w:spacing w:after="40"/>
            </w:pPr>
            <w:r>
              <w:rPr>
                <w:sz w:val="18"/>
              </w:rPr>
              <w:t>auf mittlerer Höhe, links</w:t>
              <w:br/>
              <w:t>x 2.1–5.6 %</w:t>
              <w:br/>
              <w:t>y 62.8–63.9 %</w:t>
            </w:r>
          </w:p>
        </w:tc>
      </w:tr>
      <w:tr>
        <w:trPr>
          <w:cantSplit/>
        </w:trPr>
        <w:tc>
          <w:tcPr>
            <w:tcW w:type="dxa" w:w="3288"/>
          </w:tcPr>
          <w:p>
            <w:pPr>
              <w:spacing w:after="40"/>
            </w:pPr>
            <w:r>
              <w:rPr>
                <w:sz w:val="18"/>
              </w:rPr>
              <w:t>Consent Settings</w:t>
            </w:r>
          </w:p>
        </w:tc>
        <w:tc>
          <w:tcPr>
            <w:tcW w:type="dxa" w:w="3005"/>
          </w:tcPr>
          <w:p>
            <w:pPr>
              <w:spacing w:after="40"/>
            </w:pPr>
            <w:r>
              <w:rPr>
                <w:sz w:val="18"/>
              </w:rPr>
              <w:t>x 604–707</w:t>
              <w:br/>
              <w:t>y 556–569</w:t>
            </w:r>
          </w:p>
        </w:tc>
        <w:tc>
          <w:tcPr>
            <w:tcW w:type="dxa" w:w="3402"/>
          </w:tcPr>
          <w:p>
            <w:pPr>
              <w:spacing w:after="40"/>
            </w:pPr>
            <w:r>
              <w:rPr>
                <w:sz w:val="18"/>
              </w:rPr>
              <w:t>auf mittlerer Höhe, mittig</w:t>
              <w:br/>
              <w:t>x 31.7–37.1 %</w:t>
              <w:br/>
              <w:t>y 62.8–64.2 %</w:t>
            </w:r>
          </w:p>
        </w:tc>
      </w:tr>
      <w:tr>
        <w:trPr>
          <w:cantSplit/>
        </w:trPr>
        <w:tc>
          <w:tcPr>
            <w:tcW w:type="dxa" w:w="3288"/>
          </w:tcPr>
          <w:p>
            <w:pPr>
              <w:spacing w:after="40"/>
            </w:pPr>
            <w:r>
              <w:rPr>
                <w:sz w:val="18"/>
              </w:rPr>
              <w:t>Transport</w:t>
            </w:r>
          </w:p>
        </w:tc>
        <w:tc>
          <w:tcPr>
            <w:tcW w:type="dxa" w:w="3005"/>
          </w:tcPr>
          <w:p>
            <w:pPr>
              <w:spacing w:after="40"/>
            </w:pPr>
            <w:r>
              <w:rPr>
                <w:sz w:val="18"/>
              </w:rPr>
              <w:t>x 40–98</w:t>
              <w:br/>
              <w:t>y 592–605</w:t>
            </w:r>
          </w:p>
        </w:tc>
        <w:tc>
          <w:tcPr>
            <w:tcW w:type="dxa" w:w="3402"/>
          </w:tcPr>
          <w:p>
            <w:pPr>
              <w:spacing w:after="40"/>
            </w:pPr>
            <w:r>
              <w:rPr>
                <w:sz w:val="18"/>
              </w:rPr>
              <w:t>unten, links</w:t>
              <w:br/>
              <w:t>x 2.1–5.2 %</w:t>
              <w:br/>
              <w:t>y 66.8–68.3 %</w:t>
            </w:r>
          </w:p>
        </w:tc>
      </w:tr>
      <w:tr>
        <w:trPr>
          <w:cantSplit/>
        </w:trPr>
        <w:tc>
          <w:tcPr>
            <w:tcW w:type="dxa" w:w="3288"/>
          </w:tcPr>
          <w:p>
            <w:pPr>
              <w:spacing w:after="40"/>
            </w:pPr>
            <w:r>
              <w:rPr>
                <w:sz w:val="18"/>
              </w:rPr>
              <w:t>Not Authorized</w:t>
            </w:r>
          </w:p>
        </w:tc>
        <w:tc>
          <w:tcPr>
            <w:tcW w:type="dxa" w:w="3005"/>
          </w:tcPr>
          <w:p>
            <w:pPr>
              <w:spacing w:after="40"/>
            </w:pPr>
            <w:r>
              <w:rPr>
                <w:sz w:val="18"/>
              </w:rPr>
              <w:t>x 534–623</w:t>
              <w:br/>
              <w:t>y 584–594</w:t>
            </w:r>
          </w:p>
        </w:tc>
        <w:tc>
          <w:tcPr>
            <w:tcW w:type="dxa" w:w="3402"/>
          </w:tcPr>
          <w:p>
            <w:pPr>
              <w:spacing w:after="40"/>
            </w:pPr>
            <w:r>
              <w:rPr>
                <w:sz w:val="18"/>
              </w:rPr>
              <w:t>auf mittlerer Höhe, links</w:t>
              <w:br/>
              <w:t>x 28.0–32.7 %</w:t>
              <w:br/>
              <w:t>y 65.9–67.0 %</w:t>
            </w:r>
          </w:p>
        </w:tc>
      </w:tr>
      <w:tr>
        <w:trPr>
          <w:cantSplit/>
        </w:trPr>
        <w:tc>
          <w:tcPr>
            <w:tcW w:type="dxa" w:w="3288"/>
          </w:tcPr>
          <w:p>
            <w:pPr>
              <w:spacing w:after="40"/>
            </w:pPr>
            <w:r>
              <w:rPr>
                <w:sz w:val="18"/>
              </w:rPr>
              <w:t>Security</w:t>
            </w:r>
          </w:p>
        </w:tc>
        <w:tc>
          <w:tcPr>
            <w:tcW w:type="dxa" w:w="3005"/>
          </w:tcPr>
          <w:p>
            <w:pPr>
              <w:spacing w:after="40"/>
            </w:pPr>
            <w:r>
              <w:rPr>
                <w:sz w:val="18"/>
              </w:rPr>
              <w:t>x 41–90</w:t>
              <w:br/>
              <w:t>y 711–724</w:t>
            </w:r>
          </w:p>
        </w:tc>
        <w:tc>
          <w:tcPr>
            <w:tcW w:type="dxa" w:w="3402"/>
          </w:tcPr>
          <w:p>
            <w:pPr>
              <w:spacing w:after="40"/>
            </w:pPr>
            <w:r>
              <w:rPr>
                <w:sz w:val="18"/>
              </w:rPr>
              <w:t>unten, links</w:t>
              <w:br/>
              <w:t>x 2.2–4.7 %</w:t>
              <w:br/>
              <w:t>y 80.2–81.7 %</w:t>
            </w:r>
          </w:p>
        </w:tc>
      </w:tr>
      <w:tr>
        <w:trPr>
          <w:cantSplit/>
        </w:trPr>
        <w:tc>
          <w:tcPr>
            <w:tcW w:type="dxa" w:w="3288"/>
          </w:tcPr>
          <w:p>
            <w:pPr>
              <w:spacing w:after="40"/>
            </w:pPr>
            <w:r>
              <w:rPr>
                <w:sz w:val="18"/>
              </w:rPr>
              <w:t>System</w:t>
            </w:r>
          </w:p>
        </w:tc>
        <w:tc>
          <w:tcPr>
            <w:tcW w:type="dxa" w:w="3005"/>
          </w:tcPr>
          <w:p>
            <w:pPr>
              <w:spacing w:after="40"/>
            </w:pPr>
            <w:r>
              <w:rPr>
                <w:sz w:val="18"/>
              </w:rPr>
              <w:t>x 41–85</w:t>
              <w:br/>
              <w:t>y 783–796</w:t>
            </w:r>
          </w:p>
        </w:tc>
        <w:tc>
          <w:tcPr>
            <w:tcW w:type="dxa" w:w="3402"/>
          </w:tcPr>
          <w:p>
            <w:pPr>
              <w:spacing w:after="40"/>
            </w:pPr>
            <w:r>
              <w:rPr>
                <w:sz w:val="18"/>
              </w:rPr>
              <w:t>unten, links</w:t>
              <w:br/>
              <w:t>x 2.2–4.5 %</w:t>
              <w:br/>
              <w:t>y 88.4–89.8 %</w:t>
            </w:r>
          </w:p>
        </w:tc>
      </w:tr>
      <w:tr>
        <w:trPr>
          <w:cantSplit/>
        </w:trPr>
        <w:tc>
          <w:tcPr>
            <w:tcW w:type="dxa" w:w="3288"/>
          </w:tcPr>
          <w:p>
            <w:pPr>
              <w:spacing w:after="40"/>
            </w:pPr>
            <w:r>
              <w:rPr>
                <w:sz w:val="18"/>
              </w:rPr>
              <w:t>Close</w:t>
            </w:r>
          </w:p>
        </w:tc>
        <w:tc>
          <w:tcPr>
            <w:tcW w:type="dxa" w:w="3005"/>
          </w:tcPr>
          <w:p>
            <w:pPr>
              <w:spacing w:after="40"/>
            </w:pPr>
            <w:r>
              <w:rPr>
                <w:sz w:val="18"/>
              </w:rPr>
              <w:t>x 1354–1388</w:t>
              <w:br/>
              <w:t>y 783–793</w:t>
            </w:r>
          </w:p>
        </w:tc>
        <w:tc>
          <w:tcPr>
            <w:tcW w:type="dxa" w:w="3402"/>
          </w:tcPr>
          <w:p>
            <w:pPr>
              <w:spacing w:after="40"/>
            </w:pPr>
            <w:r>
              <w:rPr>
                <w:sz w:val="18"/>
              </w:rPr>
              <w:t>unten, rechts</w:t>
              <w:br/>
              <w:t>x 71.0–72.8 %</w:t>
              <w:br/>
              <w:t>y 88.4–89.5 %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p>
      <w:r>
        <w:br w:type="page"/>
      </w:r>
    </w:p>
    <w:p>
      <w:pPr>
        <w:pStyle w:val="Heading1"/>
      </w:pPr>
      <w:r>
        <w:t>Bild 21: Data Builder: SQL-View-Editor und Eigenschaften</w:t>
      </w:r>
    </w:p>
    <w:p>
      <w:r>
        <w:t>Bildformat: 1906 × 916 Pixel. Die folgenden Positionen beziehen sich auf dieses vollständige Bild.</w:t>
      </w:r>
    </w:p>
    <w:p>
      <w:pPr>
        <w:pStyle w:val="Heading2"/>
      </w:pPr>
      <w:r>
        <w:t>1. Gesamtaufbau und sichtbarer Zustand</w:t>
      </w:r>
    </w:p>
    <w:p>
      <w:pPr>
        <w:pStyle w:val="Heading3"/>
      </w:pPr>
      <w:r>
        <w:t>Gesamtansicht</w:t>
      </w:r>
    </w:p>
    <w:p>
      <w:r>
        <w:t>Die Ansicht ist in drei Arbeitsbereiche gegliedert: links ein Repository- beziehungsweise Quellenbereich, in der Mitte ein SQL-Editor und rechts ein Eigenschaftenpanel. Die globale Navigation bleibt am äußersten linken Rand sichtbar.</w:t>
      </w:r>
    </w:p>
    <w:p>
      <w:pPr>
        <w:pStyle w:val="Heading3"/>
      </w:pPr>
      <w:r>
        <w:t>Linker Arbeitsbereich</w:t>
      </w:r>
    </w:p>
    <w:p>
      <w:r>
        <w:t>Oben stehen die Register Repository und Sources. Darunter ist eine Objektliste mit Kategorien wie Custom CDS, Local Table, Remote Table, Replication Flow, SQL View und Task Chains sichtbar. Kleine Symbole kennzeichnen die Kategorien. Die Einträge stehen vertikal untereinander.</w:t>
      </w:r>
    </w:p>
    <w:p>
      <w:pPr>
        <w:pStyle w:val="Heading3"/>
      </w:pPr>
      <w:r>
        <w:t>Mittlerer Editor</w:t>
      </w:r>
    </w:p>
    <w:p>
      <w:r>
        <w:t>Der Editor zeigt eine SQL-Ansicht mit Zeilennummern am linken Rand. Die sichtbare Struktur besteht aus vielen kurzen Zeilen. Oben befindet sich „Format“. Die konkreten Feld- und Objektbezeichnungen im Code werden nicht beschrieben. Oberhalb des Editors liegt eine Werkzeugleiste mit mehreren Symbolen sowie Versions- und Detailoptionen.</w:t>
      </w:r>
    </w:p>
    <w:p>
      <w:pPr>
        <w:pStyle w:val="Heading3"/>
      </w:pPr>
      <w:r>
        <w:t>Rechtes Eigenschaftenpanel</w:t>
      </w:r>
    </w:p>
    <w:p>
      <w:r>
        <w:t>Das Panel heißt „Model Properties“. Sichtbare Feldüberschriften sind Business Name, Technical Name, Language, Release State und Semantic Usage. Weitere Optionen heißen Expose for Consumption und Run in Analytical Mode. Sichtbar sind „Not Released“, „Relational Dataset“ und der Status „Deployed“. Darunter stehen Deployed On und Data Validation Status. Die Eigenschaften sind als vertikale Formularliste angeordnet.</w:t>
      </w:r>
    </w:p>
    <w:p>
      <w:pPr>
        <w:pStyle w:val="Heading2"/>
      </w:pPr>
      <w:r>
        <w:t>2. Räumliche Beschreibung von oben nach unten</w:t>
      </w:r>
    </w:p>
    <w:p>
      <w:pPr>
        <w:pStyle w:val="Heading3"/>
      </w:pPr>
      <w:r>
        <w:t>Quellenbereich</w:t>
      </w:r>
    </w:p>
    <w:p>
      <w:r>
        <w:rPr>
          <w:b/>
        </w:rPr>
        <w:t xml:space="preserve">Ungefähre Bildregion: </w:t>
      </w:r>
      <w:r>
        <w:t>x 13–28 %, y 15–100 %</w:t>
      </w:r>
    </w:p>
    <w:p>
      <w:r>
        <w:t>Repository und Sources stehen oben als Register. Darunter liegen Kategorien mit kleinen Symbolen links. Custom CDS, Local Table, Remote Table, Replication Flow, SQL View und Task Chains folgen vertikal.</w:t>
      </w:r>
    </w:p>
    <w:p>
      <w:pPr>
        <w:pStyle w:val="Heading3"/>
      </w:pPr>
      <w:r>
        <w:t>SQL-Arbeitsfläche</w:t>
      </w:r>
    </w:p>
    <w:p>
      <w:r>
        <w:rPr>
          <w:b/>
        </w:rPr>
        <w:t xml:space="preserve">Ungefähre Bildregion: </w:t>
      </w:r>
      <w:r>
        <w:t>x 29–75 %, y 16–100 %</w:t>
      </w:r>
    </w:p>
    <w:p>
      <w:r>
        <w:t>Die Zeilennummern stehen am linken Rand des Editors. Die Codezeilen beginnen rechts daneben. Format liegt oben über dem Editor. Die Werkzeugleiste oberhalb enthält kleine Symbole sowie Versions und Details. Die eigentliche Codebedeutung wird nicht aus den verdeckten Stellen abgeleitet.</w:t>
      </w:r>
    </w:p>
    <w:p>
      <w:pPr>
        <w:pStyle w:val="Heading3"/>
      </w:pPr>
      <w:r>
        <w:t>Eigenschaftenpanel</w:t>
      </w:r>
    </w:p>
    <w:p>
      <w:r>
        <w:rPr>
          <w:b/>
        </w:rPr>
        <w:t xml:space="preserve">Ungefähre Bildregion: </w:t>
      </w:r>
      <w:r>
        <w:t>x 76–100 %, y 15–100 %</w:t>
      </w:r>
    </w:p>
    <w:p>
      <w:r>
        <w:t>Model Properties steht oben. Darunter folgen Business Name, Technical Name, Language, Release State, Semantic Usage, Expose for Consumption, Run in Analytical Mode, Status, Deployed On und Data Validation Status. Beschriftungen und Werte sind vertikal gestapelt. Die beiden Optionen zur Bereitstellung beziehungsweise zum analytischen Modus enthalten Schalter.</w:t>
      </w:r>
    </w:p>
    <w:p>
      <w:pPr>
        <w:pStyle w:val="Heading2"/>
      </w:pPr>
      <w:r>
        <w:t>3. Positionsverzeichnis der lesbaren Beschriftungen</w:t>
      </w:r>
    </w:p>
    <w:p>
      <w:r>
        <w:t>Sortierung nach Bildhöhe, innerhalb derselben Höhe von links nach rechts. Angegeben sind Textbegrenzungen; Abstände und Bedienelementflächen können darüber hinausreichen.</w:t>
      </w:r>
    </w:p>
    <w:tbl>
      <w:tblPr>
        <w:tblStyle w:val="LightShading-Accent1"/>
        <w:tblW w:type="auto" w:w="0"/>
        <w:tblLayout w:type="fixed"/>
        <w:tblLook w:firstColumn="1" w:firstRow="1" w:lastColumn="0" w:lastRow="0" w:noHBand="0" w:noVBand="1" w:val="04A0"/>
      </w:tblPr>
      <w:tblGrid>
        <w:gridCol w:w="3288"/>
        <w:gridCol w:w="3005"/>
        <w:gridCol w:w="3402"/>
      </w:tblGrid>
      <w:tr>
        <w:trPr>
          <w:tblHeader/>
        </w:trPr>
        <w:tc>
          <w:tcPr>
            <w:tcW w:type="dxa" w:w="3400"/>
          </w:tcPr>
          <w:p>
            <w:r>
              <w:t>Sichtbarer Text</w:t>
            </w:r>
          </w:p>
        </w:tc>
        <w:tc>
          <w:tcPr>
            <w:tcW w:type="dxa" w:w="3400"/>
          </w:tcPr>
          <w:p>
            <w:r>
              <w:t>Textposition in Pixeln</w:t>
            </w:r>
          </w:p>
        </w:tc>
        <w:tc>
          <w:tcPr>
            <w:tcW w:type="dxa" w:w="3400"/>
          </w:tcPr>
          <w:p>
            <w:r>
              <w:t>Relative Lage im Bild</w:t>
            </w:r>
          </w:p>
        </w:tc>
      </w:tr>
      <w:tr>
        <w:trPr>
          <w:cantSplit/>
        </w:trPr>
        <w:tc>
          <w:tcPr>
            <w:tcW w:type="dxa" w:w="3288"/>
          </w:tcPr>
          <w:p>
            <w:pPr>
              <w:spacing w:after="40"/>
            </w:pPr>
            <w:r>
              <w:rPr>
                <w:sz w:val="18"/>
              </w:rPr>
              <w:t>Data Builder</w:t>
            </w:r>
          </w:p>
        </w:tc>
        <w:tc>
          <w:tcPr>
            <w:tcW w:type="dxa" w:w="3005"/>
          </w:tcPr>
          <w:p>
            <w:pPr>
              <w:spacing w:after="40"/>
            </w:pPr>
            <w:r>
              <w:rPr>
                <w:sz w:val="18"/>
              </w:rPr>
              <w:t>x 222–297</w:t>
              <w:br/>
              <w:t>y 58–68</w:t>
            </w:r>
          </w:p>
        </w:tc>
        <w:tc>
          <w:tcPr>
            <w:tcW w:type="dxa" w:w="3402"/>
          </w:tcPr>
          <w:p>
            <w:pPr>
              <w:spacing w:after="40"/>
            </w:pPr>
            <w:r>
              <w:rPr>
                <w:sz w:val="18"/>
              </w:rPr>
              <w:t>oben, links</w:t>
              <w:br/>
              <w:t>x 11.6–15.6 %</w:t>
              <w:br/>
              <w:t>y 6.3–7.4 %</w:t>
            </w:r>
          </w:p>
        </w:tc>
      </w:tr>
      <w:tr>
        <w:trPr>
          <w:cantSplit/>
        </w:trPr>
        <w:tc>
          <w:tcPr>
            <w:tcW w:type="dxa" w:w="3288"/>
          </w:tcPr>
          <w:p>
            <w:pPr>
              <w:spacing w:after="40"/>
            </w:pPr>
            <w:r>
              <w:rPr>
                <w:sz w:val="18"/>
              </w:rPr>
              <w:t>Home</w:t>
            </w:r>
          </w:p>
        </w:tc>
        <w:tc>
          <w:tcPr>
            <w:tcW w:type="dxa" w:w="3005"/>
          </w:tcPr>
          <w:p>
            <w:pPr>
              <w:spacing w:after="40"/>
            </w:pPr>
            <w:r>
              <w:rPr>
                <w:sz w:val="18"/>
              </w:rPr>
              <w:t>x 46–82</w:t>
              <w:br/>
              <w:t>y 108–118</w:t>
            </w:r>
          </w:p>
        </w:tc>
        <w:tc>
          <w:tcPr>
            <w:tcW w:type="dxa" w:w="3402"/>
          </w:tcPr>
          <w:p>
            <w:pPr>
              <w:spacing w:after="40"/>
            </w:pPr>
            <w:r>
              <w:rPr>
                <w:sz w:val="18"/>
              </w:rPr>
              <w:t>oben, links</w:t>
              <w:br/>
              <w:t>x 2.4–4.3 %</w:t>
              <w:br/>
              <w:t>y 11.8–12.9 %</w:t>
            </w:r>
          </w:p>
        </w:tc>
      </w:tr>
      <w:tr>
        <w:trPr>
          <w:cantSplit/>
        </w:trPr>
        <w:tc>
          <w:tcPr>
            <w:tcW w:type="dxa" w:w="3288"/>
          </w:tcPr>
          <w:p>
            <w:pPr>
              <w:spacing w:after="40"/>
            </w:pPr>
            <w:r>
              <w:rPr>
                <w:sz w:val="18"/>
              </w:rPr>
              <w:t>Details</w:t>
            </w:r>
          </w:p>
        </w:tc>
        <w:tc>
          <w:tcPr>
            <w:tcW w:type="dxa" w:w="3005"/>
          </w:tcPr>
          <w:p>
            <w:pPr>
              <w:spacing w:after="40"/>
            </w:pPr>
            <w:r>
              <w:rPr>
                <w:sz w:val="18"/>
              </w:rPr>
              <w:t>x 1806–1844</w:t>
              <w:br/>
              <w:t>y 106–136</w:t>
            </w:r>
          </w:p>
        </w:tc>
        <w:tc>
          <w:tcPr>
            <w:tcW w:type="dxa" w:w="3402"/>
          </w:tcPr>
          <w:p>
            <w:pPr>
              <w:spacing w:after="40"/>
            </w:pPr>
            <w:r>
              <w:rPr>
                <w:sz w:val="18"/>
              </w:rPr>
              <w:t>oben, rechts</w:t>
              <w:br/>
              <w:t>x 94.8–96.7 %</w:t>
              <w:br/>
              <w:t>y 11.6–14.8 %</w:t>
            </w:r>
          </w:p>
        </w:tc>
      </w:tr>
      <w:tr>
        <w:trPr>
          <w:cantSplit/>
        </w:trPr>
        <w:tc>
          <w:tcPr>
            <w:tcW w:type="dxa" w:w="3288"/>
          </w:tcPr>
          <w:p>
            <w:pPr>
              <w:spacing w:after="40"/>
            </w:pPr>
            <w:r>
              <w:rPr>
                <w:sz w:val="18"/>
              </w:rPr>
              <w:t>of</w:t>
            </w:r>
          </w:p>
        </w:tc>
        <w:tc>
          <w:tcPr>
            <w:tcW w:type="dxa" w:w="3005"/>
          </w:tcPr>
          <w:p>
            <w:pPr>
              <w:spacing w:after="40"/>
            </w:pPr>
            <w:r>
              <w:rPr>
                <w:sz w:val="18"/>
              </w:rPr>
              <w:t>x 717–733</w:t>
              <w:br/>
              <w:t>y 121–137</w:t>
            </w:r>
          </w:p>
        </w:tc>
        <w:tc>
          <w:tcPr>
            <w:tcW w:type="dxa" w:w="3402"/>
          </w:tcPr>
          <w:p>
            <w:pPr>
              <w:spacing w:after="40"/>
            </w:pPr>
            <w:r>
              <w:rPr>
                <w:sz w:val="18"/>
              </w:rPr>
              <w:t>oben, mittig</w:t>
              <w:br/>
              <w:t>x 37.6–38.5 %</w:t>
              <w:br/>
              <w:t>y 13.2–15.0 %</w:t>
            </w:r>
          </w:p>
        </w:tc>
      </w:tr>
      <w:tr>
        <w:trPr>
          <w:cantSplit/>
        </w:trPr>
        <w:tc>
          <w:tcPr>
            <w:tcW w:type="dxa" w:w="3288"/>
          </w:tcPr>
          <w:p>
            <w:pPr>
              <w:spacing w:after="40"/>
            </w:pPr>
            <w:r>
              <w:rPr>
                <w:sz w:val="18"/>
              </w:rPr>
              <w:t>Versions</w:t>
            </w:r>
          </w:p>
        </w:tc>
        <w:tc>
          <w:tcPr>
            <w:tcW w:type="dxa" w:w="3005"/>
          </w:tcPr>
          <w:p>
            <w:pPr>
              <w:spacing w:after="40"/>
            </w:pPr>
            <w:r>
              <w:rPr>
                <w:sz w:val="18"/>
              </w:rPr>
              <w:t>x 1728–1780</w:t>
              <w:br/>
              <w:t>y 114–132</w:t>
            </w:r>
          </w:p>
        </w:tc>
        <w:tc>
          <w:tcPr>
            <w:tcW w:type="dxa" w:w="3402"/>
          </w:tcPr>
          <w:p>
            <w:pPr>
              <w:spacing w:after="40"/>
            </w:pPr>
            <w:r>
              <w:rPr>
                <w:sz w:val="18"/>
              </w:rPr>
              <w:t>oben, rechts</w:t>
              <w:br/>
              <w:t>x 90.7–93.4 %</w:t>
              <w:br/>
              <w:t>y 12.4–14.4 %</w:t>
            </w:r>
          </w:p>
        </w:tc>
      </w:tr>
      <w:tr>
        <w:trPr>
          <w:cantSplit/>
        </w:trPr>
        <w:tc>
          <w:tcPr>
            <w:tcW w:type="dxa" w:w="3288"/>
          </w:tcPr>
          <w:p>
            <w:pPr>
              <w:spacing w:after="40"/>
            </w:pPr>
            <w:r>
              <w:rPr>
                <w:sz w:val="18"/>
              </w:rPr>
              <w:t>Repository Explorer</w:t>
            </w:r>
          </w:p>
        </w:tc>
        <w:tc>
          <w:tcPr>
            <w:tcW w:type="dxa" w:w="3005"/>
          </w:tcPr>
          <w:p>
            <w:pPr>
              <w:spacing w:after="40"/>
            </w:pPr>
            <w:r>
              <w:rPr>
                <w:sz w:val="18"/>
              </w:rPr>
              <w:t>x 46–168</w:t>
              <w:br/>
              <w:t>y 144–157</w:t>
            </w:r>
          </w:p>
        </w:tc>
        <w:tc>
          <w:tcPr>
            <w:tcW w:type="dxa" w:w="3402"/>
          </w:tcPr>
          <w:p>
            <w:pPr>
              <w:spacing w:after="40"/>
            </w:pPr>
            <w:r>
              <w:rPr>
                <w:sz w:val="18"/>
              </w:rPr>
              <w:t>oben, links</w:t>
              <w:br/>
              <w:t>x 2.4–8.8 %</w:t>
              <w:br/>
              <w:t>y 15.7–17.1 %</w:t>
            </w:r>
          </w:p>
        </w:tc>
      </w:tr>
      <w:tr>
        <w:trPr>
          <w:cantSplit/>
        </w:trPr>
        <w:tc>
          <w:tcPr>
            <w:tcW w:type="dxa" w:w="3288"/>
          </w:tcPr>
          <w:p>
            <w:pPr>
              <w:spacing w:after="40"/>
            </w:pPr>
            <w:r>
              <w:rPr>
                <w:sz w:val="18"/>
              </w:rPr>
              <w:t>Repository</w:t>
            </w:r>
          </w:p>
        </w:tc>
        <w:tc>
          <w:tcPr>
            <w:tcW w:type="dxa" w:w="3005"/>
          </w:tcPr>
          <w:p>
            <w:pPr>
              <w:spacing w:after="40"/>
            </w:pPr>
            <w:r>
              <w:rPr>
                <w:sz w:val="18"/>
              </w:rPr>
              <w:t>x 290–361</w:t>
              <w:br/>
              <w:t>y 165–178</w:t>
            </w:r>
          </w:p>
        </w:tc>
        <w:tc>
          <w:tcPr>
            <w:tcW w:type="dxa" w:w="3402"/>
          </w:tcPr>
          <w:p>
            <w:pPr>
              <w:spacing w:after="40"/>
            </w:pPr>
            <w:r>
              <w:rPr>
                <w:sz w:val="18"/>
              </w:rPr>
              <w:t>oben, links</w:t>
              <w:br/>
              <w:t>x 15.2–18.9 %</w:t>
              <w:br/>
              <w:t>y 18.0–19.4 %</w:t>
            </w:r>
          </w:p>
        </w:tc>
      </w:tr>
      <w:tr>
        <w:trPr>
          <w:cantSplit/>
        </w:trPr>
        <w:tc>
          <w:tcPr>
            <w:tcW w:type="dxa" w:w="3288"/>
          </w:tcPr>
          <w:p>
            <w:pPr>
              <w:spacing w:after="40"/>
            </w:pPr>
            <w:r>
              <w:rPr>
                <w:sz w:val="18"/>
              </w:rPr>
              <w:t>Sources</w:t>
            </w:r>
          </w:p>
        </w:tc>
        <w:tc>
          <w:tcPr>
            <w:tcW w:type="dxa" w:w="3005"/>
          </w:tcPr>
          <w:p>
            <w:pPr>
              <w:spacing w:after="40"/>
            </w:pPr>
            <w:r>
              <w:rPr>
                <w:sz w:val="18"/>
              </w:rPr>
              <w:t>x 394–446</w:t>
              <w:br/>
              <w:t>y 165–175</w:t>
            </w:r>
          </w:p>
        </w:tc>
        <w:tc>
          <w:tcPr>
            <w:tcW w:type="dxa" w:w="3402"/>
          </w:tcPr>
          <w:p>
            <w:pPr>
              <w:spacing w:after="40"/>
            </w:pPr>
            <w:r>
              <w:rPr>
                <w:sz w:val="18"/>
              </w:rPr>
              <w:t>oben, links</w:t>
              <w:br/>
              <w:t>x 20.6–23.4 %</w:t>
              <w:br/>
              <w:t>y 18.0–19.1 %</w:t>
            </w:r>
          </w:p>
        </w:tc>
      </w:tr>
      <w:tr>
        <w:trPr>
          <w:cantSplit/>
        </w:trPr>
        <w:tc>
          <w:tcPr>
            <w:tcW w:type="dxa" w:w="3288"/>
          </w:tcPr>
          <w:p>
            <w:pPr>
              <w:spacing w:after="40"/>
            </w:pPr>
            <w:r>
              <w:rPr>
                <w:sz w:val="18"/>
              </w:rPr>
              <w:t>Format</w:t>
            </w:r>
          </w:p>
        </w:tc>
        <w:tc>
          <w:tcPr>
            <w:tcW w:type="dxa" w:w="3005"/>
          </w:tcPr>
          <w:p>
            <w:pPr>
              <w:spacing w:after="40"/>
            </w:pPr>
            <w:r>
              <w:rPr>
                <w:sz w:val="18"/>
              </w:rPr>
              <w:t>x 1388–1431</w:t>
              <w:br/>
              <w:t>y 169–179</w:t>
            </w:r>
          </w:p>
        </w:tc>
        <w:tc>
          <w:tcPr>
            <w:tcW w:type="dxa" w:w="3402"/>
          </w:tcPr>
          <w:p>
            <w:pPr>
              <w:spacing w:after="40"/>
            </w:pPr>
            <w:r>
              <w:rPr>
                <w:sz w:val="18"/>
              </w:rPr>
              <w:t>oben, rechts</w:t>
              <w:br/>
              <w:t>x 72.8–75.1 %</w:t>
              <w:br/>
              <w:t>y 18.4–19.5 %</w:t>
            </w:r>
          </w:p>
        </w:tc>
      </w:tr>
      <w:tr>
        <w:trPr>
          <w:cantSplit/>
        </w:trPr>
        <w:tc>
          <w:tcPr>
            <w:tcW w:type="dxa" w:w="3288"/>
          </w:tcPr>
          <w:p>
            <w:pPr>
              <w:spacing w:after="40"/>
            </w:pPr>
            <w:r>
              <w:rPr>
                <w:sz w:val="18"/>
              </w:rPr>
              <w:t>Model Properties</w:t>
            </w:r>
          </w:p>
        </w:tc>
        <w:tc>
          <w:tcPr>
            <w:tcW w:type="dxa" w:w="3005"/>
          </w:tcPr>
          <w:p>
            <w:pPr>
              <w:spacing w:after="40"/>
            </w:pPr>
            <w:r>
              <w:rPr>
                <w:sz w:val="18"/>
              </w:rPr>
              <w:t>x 1470–1574</w:t>
              <w:br/>
              <w:t>y 168–181</w:t>
            </w:r>
          </w:p>
        </w:tc>
        <w:tc>
          <w:tcPr>
            <w:tcW w:type="dxa" w:w="3402"/>
          </w:tcPr>
          <w:p>
            <w:pPr>
              <w:spacing w:after="40"/>
            </w:pPr>
            <w:r>
              <w:rPr>
                <w:sz w:val="18"/>
              </w:rPr>
              <w:t>oben, rechts</w:t>
              <w:br/>
              <w:t>x 77.2–82.6 %</w:t>
              <w:br/>
              <w:t>y 18.3–19.8 %</w:t>
            </w:r>
          </w:p>
        </w:tc>
      </w:tr>
      <w:tr>
        <w:trPr>
          <w:cantSplit/>
        </w:trPr>
        <w:tc>
          <w:tcPr>
            <w:tcW w:type="dxa" w:w="3288"/>
          </w:tcPr>
          <w:p>
            <w:pPr>
              <w:spacing w:after="40"/>
            </w:pPr>
            <w:r>
              <w:rPr>
                <w:sz w:val="18"/>
              </w:rPr>
              <w:t>Monitoring</w:t>
            </w:r>
          </w:p>
        </w:tc>
        <w:tc>
          <w:tcPr>
            <w:tcW w:type="dxa" w:w="3005"/>
          </w:tcPr>
          <w:p>
            <w:pPr>
              <w:spacing w:after="40"/>
            </w:pPr>
            <w:r>
              <w:rPr>
                <w:sz w:val="18"/>
              </w:rPr>
              <w:t>x 46–112</w:t>
              <w:br/>
              <w:t>y 180–193</w:t>
            </w:r>
          </w:p>
        </w:tc>
        <w:tc>
          <w:tcPr>
            <w:tcW w:type="dxa" w:w="3402"/>
          </w:tcPr>
          <w:p>
            <w:pPr>
              <w:spacing w:after="40"/>
            </w:pPr>
            <w:r>
              <w:rPr>
                <w:sz w:val="18"/>
              </w:rPr>
              <w:t>oben, links</w:t>
              <w:br/>
              <w:t>x 2.4–5.9 %</w:t>
              <w:br/>
              <w:t>y 19.7–21.1 %</w:t>
            </w:r>
          </w:p>
        </w:tc>
      </w:tr>
      <w:tr>
        <w:trPr>
          <w:cantSplit/>
        </w:trPr>
        <w:tc>
          <w:tcPr>
            <w:tcW w:type="dxa" w:w="3288"/>
          </w:tcPr>
          <w:p>
            <w:pPr>
              <w:spacing w:after="40"/>
            </w:pPr>
            <w:r>
              <w:rPr>
                <w:sz w:val="18"/>
              </w:rPr>
              <w:t>Catalog &amp; Marketplace</w:t>
            </w:r>
          </w:p>
        </w:tc>
        <w:tc>
          <w:tcPr>
            <w:tcW w:type="dxa" w:w="3005"/>
          </w:tcPr>
          <w:p>
            <w:pPr>
              <w:spacing w:after="40"/>
            </w:pPr>
            <w:r>
              <w:rPr>
                <w:sz w:val="18"/>
              </w:rPr>
              <w:t>x 46–186</w:t>
              <w:br/>
              <w:t>y 216–229</w:t>
            </w:r>
          </w:p>
        </w:tc>
        <w:tc>
          <w:tcPr>
            <w:tcW w:type="dxa" w:w="3402"/>
          </w:tcPr>
          <w:p>
            <w:pPr>
              <w:spacing w:after="40"/>
            </w:pPr>
            <w:r>
              <w:rPr>
                <w:sz w:val="18"/>
              </w:rPr>
              <w:t>oben, links</w:t>
              <w:br/>
              <w:t>x 2.4–9.8 %</w:t>
              <w:br/>
              <w:t>y 23.6–25.0 %</w:t>
            </w:r>
          </w:p>
        </w:tc>
      </w:tr>
      <w:tr>
        <w:trPr>
          <w:cantSplit/>
        </w:trPr>
        <w:tc>
          <w:tcPr>
            <w:tcW w:type="dxa" w:w="3288"/>
          </w:tcPr>
          <w:p>
            <w:pPr>
              <w:spacing w:after="40"/>
            </w:pPr>
            <w:r>
              <w:rPr>
                <w:sz w:val="18"/>
              </w:rPr>
              <w:t>Apps</w:t>
            </w:r>
          </w:p>
        </w:tc>
        <w:tc>
          <w:tcPr>
            <w:tcW w:type="dxa" w:w="3005"/>
          </w:tcPr>
          <w:p>
            <w:pPr>
              <w:spacing w:after="40"/>
            </w:pPr>
            <w:r>
              <w:rPr>
                <w:sz w:val="18"/>
              </w:rPr>
              <w:t>x 22–53</w:t>
              <w:br/>
              <w:t>y 262–275</w:t>
            </w:r>
          </w:p>
        </w:tc>
        <w:tc>
          <w:tcPr>
            <w:tcW w:type="dxa" w:w="3402"/>
          </w:tcPr>
          <w:p>
            <w:pPr>
              <w:spacing w:after="40"/>
            </w:pPr>
            <w:r>
              <w:rPr>
                <w:sz w:val="18"/>
              </w:rPr>
              <w:t>oben, links</w:t>
              <w:br/>
              <w:t>x 1.2–2.8 %</w:t>
              <w:br/>
              <w:t>y 28.6–30.0 %</w:t>
            </w:r>
          </w:p>
        </w:tc>
      </w:tr>
      <w:tr>
        <w:trPr>
          <w:cantSplit/>
        </w:trPr>
        <w:tc>
          <w:tcPr>
            <w:tcW w:type="dxa" w:w="3288"/>
          </w:tcPr>
          <w:p>
            <w:pPr>
              <w:spacing w:after="40"/>
            </w:pPr>
            <w:r>
              <w:rPr>
                <w:sz w:val="18"/>
              </w:rPr>
              <w:t>Semantic Onboarding</w:t>
            </w:r>
          </w:p>
        </w:tc>
        <w:tc>
          <w:tcPr>
            <w:tcW w:type="dxa" w:w="3005"/>
          </w:tcPr>
          <w:p>
            <w:pPr>
              <w:spacing w:after="40"/>
            </w:pPr>
            <w:r>
              <w:rPr>
                <w:sz w:val="18"/>
              </w:rPr>
              <w:t>x 46–180</w:t>
              <w:br/>
              <w:t>y 298–311</w:t>
            </w:r>
          </w:p>
        </w:tc>
        <w:tc>
          <w:tcPr>
            <w:tcW w:type="dxa" w:w="3402"/>
          </w:tcPr>
          <w:p>
            <w:pPr>
              <w:spacing w:after="40"/>
            </w:pPr>
            <w:r>
              <w:rPr>
                <w:sz w:val="18"/>
              </w:rPr>
              <w:t>auf mittlerer Höhe, links</w:t>
              <w:br/>
              <w:t>x 2.4–9.4 %</w:t>
              <w:br/>
              <w:t>y 32.5–34.0 %</w:t>
            </w:r>
          </w:p>
        </w:tc>
      </w:tr>
      <w:tr>
        <w:trPr>
          <w:cantSplit/>
        </w:trPr>
        <w:tc>
          <w:tcPr>
            <w:tcW w:type="dxa" w:w="3288"/>
          </w:tcPr>
          <w:p>
            <w:pPr>
              <w:spacing w:after="40"/>
            </w:pPr>
            <w:r>
              <w:rPr>
                <w:sz w:val="18"/>
              </w:rPr>
              <w:t>Custom CDS</w:t>
            </w:r>
          </w:p>
        </w:tc>
        <w:tc>
          <w:tcPr>
            <w:tcW w:type="dxa" w:w="3005"/>
          </w:tcPr>
          <w:p>
            <w:pPr>
              <w:spacing w:after="40"/>
            </w:pPr>
            <w:r>
              <w:rPr>
                <w:sz w:val="18"/>
              </w:rPr>
              <w:t>x 264–356</w:t>
              <w:br/>
              <w:t>y 304–316</w:t>
            </w:r>
          </w:p>
        </w:tc>
        <w:tc>
          <w:tcPr>
            <w:tcW w:type="dxa" w:w="3402"/>
          </w:tcPr>
          <w:p>
            <w:pPr>
              <w:spacing w:after="40"/>
            </w:pPr>
            <w:r>
              <w:rPr>
                <w:sz w:val="18"/>
              </w:rPr>
              <w:t>auf mittlerer Höhe, links</w:t>
              <w:br/>
              <w:t>x 13.9–18.7 %</w:t>
              <w:br/>
              <w:t>y 33.2–34.5 %</w:t>
            </w:r>
          </w:p>
        </w:tc>
      </w:tr>
      <w:tr>
        <w:trPr>
          <w:cantSplit/>
        </w:trPr>
        <w:tc>
          <w:tcPr>
            <w:tcW w:type="dxa" w:w="3288"/>
          </w:tcPr>
          <w:p>
            <w:pPr>
              <w:spacing w:after="40"/>
            </w:pPr>
            <w:r>
              <w:rPr>
                <w:sz w:val="18"/>
              </w:rPr>
              <w:t>Business Name:</w:t>
            </w:r>
          </w:p>
        </w:tc>
        <w:tc>
          <w:tcPr>
            <w:tcW w:type="dxa" w:w="3005"/>
          </w:tcPr>
          <w:p>
            <w:pPr>
              <w:spacing w:after="40"/>
            </w:pPr>
            <w:r>
              <w:rPr>
                <w:sz w:val="18"/>
              </w:rPr>
              <w:t>x 1473–1570</w:t>
              <w:br/>
              <w:t>y 295–305</w:t>
            </w:r>
          </w:p>
        </w:tc>
        <w:tc>
          <w:tcPr>
            <w:tcW w:type="dxa" w:w="3402"/>
          </w:tcPr>
          <w:p>
            <w:pPr>
              <w:spacing w:after="40"/>
            </w:pPr>
            <w:r>
              <w:rPr>
                <w:sz w:val="18"/>
              </w:rPr>
              <w:t>oben, rechts</w:t>
              <w:br/>
              <w:t>x 77.3–82.4 %</w:t>
              <w:br/>
              <w:t>y 32.2–33.3 %</w:t>
            </w:r>
          </w:p>
        </w:tc>
      </w:tr>
      <w:tr>
        <w:trPr>
          <w:cantSplit/>
        </w:trPr>
        <w:tc>
          <w:tcPr>
            <w:tcW w:type="dxa" w:w="3288"/>
          </w:tcPr>
          <w:p>
            <w:pPr>
              <w:spacing w:after="40"/>
            </w:pPr>
            <w:r>
              <w:rPr>
                <w:sz w:val="18"/>
              </w:rPr>
              <w:t>Business Builder</w:t>
            </w:r>
          </w:p>
        </w:tc>
        <w:tc>
          <w:tcPr>
            <w:tcW w:type="dxa" w:w="3005"/>
          </w:tcPr>
          <w:p>
            <w:pPr>
              <w:spacing w:after="40"/>
            </w:pPr>
            <w:r>
              <w:rPr>
                <w:sz w:val="18"/>
              </w:rPr>
              <w:t>x 46–149</w:t>
              <w:br/>
              <w:t>y 334–344</w:t>
            </w:r>
          </w:p>
        </w:tc>
        <w:tc>
          <w:tcPr>
            <w:tcW w:type="dxa" w:w="3402"/>
          </w:tcPr>
          <w:p>
            <w:pPr>
              <w:spacing w:after="40"/>
            </w:pPr>
            <w:r>
              <w:rPr>
                <w:sz w:val="18"/>
              </w:rPr>
              <w:t>auf mittlerer Höhe, links</w:t>
              <w:br/>
              <w:t>x 2.4–7.8 %</w:t>
              <w:br/>
              <w:t>y 36.5–37.6 %</w:t>
            </w:r>
          </w:p>
        </w:tc>
      </w:tr>
      <w:tr>
        <w:trPr>
          <w:cantSplit/>
        </w:trPr>
        <w:tc>
          <w:tcPr>
            <w:tcW w:type="dxa" w:w="3288"/>
          </w:tcPr>
          <w:p>
            <w:pPr>
              <w:spacing w:after="40"/>
            </w:pPr>
            <w:r>
              <w:rPr>
                <w:sz w:val="18"/>
              </w:rPr>
              <w:t>Local Table</w:t>
            </w:r>
          </w:p>
        </w:tc>
        <w:tc>
          <w:tcPr>
            <w:tcW w:type="dxa" w:w="3005"/>
          </w:tcPr>
          <w:p>
            <w:pPr>
              <w:spacing w:after="40"/>
            </w:pPr>
            <w:r>
              <w:rPr>
                <w:sz w:val="18"/>
              </w:rPr>
              <w:t>x 264–348</w:t>
              <w:br/>
              <w:t>y 337–349</w:t>
            </w:r>
          </w:p>
        </w:tc>
        <w:tc>
          <w:tcPr>
            <w:tcW w:type="dxa" w:w="3402"/>
          </w:tcPr>
          <w:p>
            <w:pPr>
              <w:spacing w:after="40"/>
            </w:pPr>
            <w:r>
              <w:rPr>
                <w:sz w:val="18"/>
              </w:rPr>
              <w:t>auf mittlerer Höhe, links</w:t>
              <w:br/>
              <w:t>x 13.9–18.3 %</w:t>
              <w:br/>
              <w:t>y 36.8–38.1 %</w:t>
            </w:r>
          </w:p>
        </w:tc>
      </w:tr>
      <w:tr>
        <w:trPr>
          <w:cantSplit/>
        </w:trPr>
        <w:tc>
          <w:tcPr>
            <w:tcW w:type="dxa" w:w="3288"/>
          </w:tcPr>
          <w:p>
            <w:pPr>
              <w:spacing w:after="40"/>
            </w:pPr>
            <w:r>
              <w:rPr>
                <w:sz w:val="18"/>
              </w:rPr>
              <w:t>Technical Name:</w:t>
            </w:r>
          </w:p>
        </w:tc>
        <w:tc>
          <w:tcPr>
            <w:tcW w:type="dxa" w:w="3005"/>
          </w:tcPr>
          <w:p>
            <w:pPr>
              <w:spacing w:after="40"/>
            </w:pPr>
            <w:r>
              <w:rPr>
                <w:sz w:val="18"/>
              </w:rPr>
              <w:t>x 1472–1573</w:t>
              <w:br/>
              <w:t>y 355–365</w:t>
            </w:r>
          </w:p>
        </w:tc>
        <w:tc>
          <w:tcPr>
            <w:tcW w:type="dxa" w:w="3402"/>
          </w:tcPr>
          <w:p>
            <w:pPr>
              <w:spacing w:after="40"/>
            </w:pPr>
            <w:r>
              <w:rPr>
                <w:sz w:val="18"/>
              </w:rPr>
              <w:t>auf mittlerer Höhe, rechts</w:t>
              <w:br/>
              <w:t>x 77.3–82.5 %</w:t>
              <w:br/>
              <w:t>y 38.8–39.8 %</w:t>
            </w:r>
          </w:p>
        </w:tc>
      </w:tr>
      <w:tr>
        <w:trPr>
          <w:cantSplit/>
        </w:trPr>
        <w:tc>
          <w:tcPr>
            <w:tcW w:type="dxa" w:w="3288"/>
          </w:tcPr>
          <w:p>
            <w:pPr>
              <w:spacing w:after="40"/>
            </w:pPr>
            <w:r>
              <w:rPr>
                <w:sz w:val="18"/>
              </w:rPr>
              <w:t>Data Builder</w:t>
            </w:r>
          </w:p>
        </w:tc>
        <w:tc>
          <w:tcPr>
            <w:tcW w:type="dxa" w:w="3005"/>
          </w:tcPr>
          <w:p>
            <w:pPr>
              <w:spacing w:after="40"/>
            </w:pPr>
            <w:r>
              <w:rPr>
                <w:sz w:val="18"/>
              </w:rPr>
              <w:t>x 46–123</w:t>
              <w:br/>
              <w:t>y 370–380</w:t>
            </w:r>
          </w:p>
        </w:tc>
        <w:tc>
          <w:tcPr>
            <w:tcW w:type="dxa" w:w="3402"/>
          </w:tcPr>
          <w:p>
            <w:pPr>
              <w:spacing w:after="40"/>
            </w:pPr>
            <w:r>
              <w:rPr>
                <w:sz w:val="18"/>
              </w:rPr>
              <w:t>auf mittlerer Höhe, links</w:t>
              <w:br/>
              <w:t>x 2.4–6.5 %</w:t>
              <w:br/>
              <w:t>y 40.4–41.5 %</w:t>
            </w:r>
          </w:p>
        </w:tc>
      </w:tr>
      <w:tr>
        <w:trPr>
          <w:cantSplit/>
        </w:trPr>
        <w:tc>
          <w:tcPr>
            <w:tcW w:type="dxa" w:w="3288"/>
          </w:tcPr>
          <w:p>
            <w:pPr>
              <w:spacing w:after="40"/>
            </w:pPr>
            <w:r>
              <w:rPr>
                <w:sz w:val="18"/>
              </w:rPr>
              <w:t>Connections</w:t>
            </w:r>
          </w:p>
        </w:tc>
        <w:tc>
          <w:tcPr>
            <w:tcW w:type="dxa" w:w="3005"/>
          </w:tcPr>
          <w:p>
            <w:pPr>
              <w:spacing w:after="40"/>
            </w:pPr>
            <w:r>
              <w:rPr>
                <w:sz w:val="18"/>
              </w:rPr>
              <w:t>x 46–122</w:t>
              <w:br/>
              <w:t>y 406–416</w:t>
            </w:r>
          </w:p>
        </w:tc>
        <w:tc>
          <w:tcPr>
            <w:tcW w:type="dxa" w:w="3402"/>
          </w:tcPr>
          <w:p>
            <w:pPr>
              <w:spacing w:after="40"/>
            </w:pPr>
            <w:r>
              <w:rPr>
                <w:sz w:val="18"/>
              </w:rPr>
              <w:t>auf mittlerer Höhe, links</w:t>
              <w:br/>
              <w:t>x 2.4–6.4 %</w:t>
              <w:br/>
              <w:t>y 44.3–45.4 %</w:t>
            </w:r>
          </w:p>
        </w:tc>
      </w:tr>
      <w:tr>
        <w:trPr>
          <w:cantSplit/>
        </w:trPr>
        <w:tc>
          <w:tcPr>
            <w:tcW w:type="dxa" w:w="3288"/>
          </w:tcPr>
          <w:p>
            <w:pPr>
              <w:spacing w:after="40"/>
            </w:pPr>
            <w:r>
              <w:rPr>
                <w:sz w:val="18"/>
              </w:rPr>
              <w:t>Language:</w:t>
            </w:r>
          </w:p>
        </w:tc>
        <w:tc>
          <w:tcPr>
            <w:tcW w:type="dxa" w:w="3005"/>
          </w:tcPr>
          <w:p>
            <w:pPr>
              <w:spacing w:after="40"/>
            </w:pPr>
            <w:r>
              <w:rPr>
                <w:sz w:val="18"/>
              </w:rPr>
              <w:t>x 1473–1535</w:t>
              <w:br/>
              <w:t>y 416–429</w:t>
            </w:r>
          </w:p>
        </w:tc>
        <w:tc>
          <w:tcPr>
            <w:tcW w:type="dxa" w:w="3402"/>
          </w:tcPr>
          <w:p>
            <w:pPr>
              <w:spacing w:after="40"/>
            </w:pPr>
            <w:r>
              <w:rPr>
                <w:sz w:val="18"/>
              </w:rPr>
              <w:t>auf mittlerer Höhe, rechts</w:t>
              <w:br/>
              <w:t>x 77.3–80.5 %</w:t>
              <w:br/>
              <w:t>y 45.4–46.8 %</w:t>
            </w:r>
          </w:p>
        </w:tc>
      </w:tr>
      <w:tr>
        <w:trPr>
          <w:cantSplit/>
        </w:trPr>
        <w:tc>
          <w:tcPr>
            <w:tcW w:type="dxa" w:w="3288"/>
          </w:tcPr>
          <w:p>
            <w:pPr>
              <w:spacing w:after="40"/>
            </w:pPr>
            <w:r>
              <w:rPr>
                <w:sz w:val="18"/>
              </w:rPr>
              <w:t>Utilities</w:t>
            </w:r>
          </w:p>
        </w:tc>
        <w:tc>
          <w:tcPr>
            <w:tcW w:type="dxa" w:w="3005"/>
          </w:tcPr>
          <w:p>
            <w:pPr>
              <w:spacing w:after="40"/>
            </w:pPr>
            <w:r>
              <w:rPr>
                <w:sz w:val="18"/>
              </w:rPr>
              <w:t>x 23–67</w:t>
              <w:br/>
              <w:t>y 452–462</w:t>
            </w:r>
          </w:p>
        </w:tc>
        <w:tc>
          <w:tcPr>
            <w:tcW w:type="dxa" w:w="3402"/>
          </w:tcPr>
          <w:p>
            <w:pPr>
              <w:spacing w:after="40"/>
            </w:pPr>
            <w:r>
              <w:rPr>
                <w:sz w:val="18"/>
              </w:rPr>
              <w:t>auf mittlerer Höhe, links</w:t>
              <w:br/>
              <w:t>x 1.2–3.5 %</w:t>
              <w:br/>
              <w:t>y 49.3–50.4 %</w:t>
            </w:r>
          </w:p>
        </w:tc>
      </w:tr>
      <w:tr>
        <w:trPr>
          <w:cantSplit/>
        </w:trPr>
        <w:tc>
          <w:tcPr>
            <w:tcW w:type="dxa" w:w="3288"/>
          </w:tcPr>
          <w:p>
            <w:pPr>
              <w:spacing w:after="40"/>
            </w:pPr>
            <w:r>
              <w:rPr>
                <w:sz w:val="18"/>
              </w:rPr>
              <w:t>Release State:</w:t>
            </w:r>
          </w:p>
        </w:tc>
        <w:tc>
          <w:tcPr>
            <w:tcW w:type="dxa" w:w="3005"/>
          </w:tcPr>
          <w:p>
            <w:pPr>
              <w:spacing w:after="40"/>
            </w:pPr>
            <w:r>
              <w:rPr>
                <w:sz w:val="18"/>
              </w:rPr>
              <w:t>x 1473–1560</w:t>
              <w:br/>
              <w:t>y 476–486</w:t>
            </w:r>
          </w:p>
        </w:tc>
        <w:tc>
          <w:tcPr>
            <w:tcW w:type="dxa" w:w="3402"/>
          </w:tcPr>
          <w:p>
            <w:pPr>
              <w:spacing w:after="40"/>
            </w:pPr>
            <w:r>
              <w:rPr>
                <w:sz w:val="18"/>
              </w:rPr>
              <w:t>auf mittlerer Höhe, rechts</w:t>
              <w:br/>
              <w:t>x 77.3–81.8 %</w:t>
              <w:br/>
              <w:t>y 52.0–53.1 %</w:t>
            </w:r>
          </w:p>
        </w:tc>
      </w:tr>
      <w:tr>
        <w:trPr>
          <w:cantSplit/>
        </w:trPr>
        <w:tc>
          <w:tcPr>
            <w:tcW w:type="dxa" w:w="3288"/>
          </w:tcPr>
          <w:p>
            <w:pPr>
              <w:spacing w:after="40"/>
            </w:pPr>
            <w:r>
              <w:rPr>
                <w:sz w:val="18"/>
              </w:rPr>
              <w:t>Space Management</w:t>
            </w:r>
          </w:p>
        </w:tc>
        <w:tc>
          <w:tcPr>
            <w:tcW w:type="dxa" w:w="3005"/>
          </w:tcPr>
          <w:p>
            <w:pPr>
              <w:spacing w:after="40"/>
            </w:pPr>
            <w:r>
              <w:rPr>
                <w:sz w:val="18"/>
              </w:rPr>
              <w:t>x 46–169</w:t>
              <w:br/>
              <w:t>y 488–501</w:t>
            </w:r>
          </w:p>
        </w:tc>
        <w:tc>
          <w:tcPr>
            <w:tcW w:type="dxa" w:w="3402"/>
          </w:tcPr>
          <w:p>
            <w:pPr>
              <w:spacing w:after="40"/>
            </w:pPr>
            <w:r>
              <w:rPr>
                <w:sz w:val="18"/>
              </w:rPr>
              <w:t>auf mittlerer Höhe, links</w:t>
              <w:br/>
              <w:t>x 2.4–8.9 %</w:t>
              <w:br/>
              <w:t>y 53.3–54.7 %</w:t>
            </w:r>
          </w:p>
        </w:tc>
      </w:tr>
      <w:tr>
        <w:trPr>
          <w:cantSplit/>
        </w:trPr>
        <w:tc>
          <w:tcPr>
            <w:tcW w:type="dxa" w:w="3288"/>
          </w:tcPr>
          <w:p>
            <w:pPr>
              <w:spacing w:after="40"/>
            </w:pPr>
            <w:r>
              <w:rPr>
                <w:sz w:val="18"/>
              </w:rPr>
              <w:t>Not Released</w:t>
            </w:r>
          </w:p>
        </w:tc>
        <w:tc>
          <w:tcPr>
            <w:tcW w:type="dxa" w:w="3005"/>
          </w:tcPr>
          <w:p>
            <w:pPr>
              <w:spacing w:after="40"/>
            </w:pPr>
            <w:r>
              <w:rPr>
                <w:sz w:val="18"/>
              </w:rPr>
              <w:t>x 1481–1563</w:t>
              <w:br/>
              <w:t>y 502–512</w:t>
            </w:r>
          </w:p>
        </w:tc>
        <w:tc>
          <w:tcPr>
            <w:tcW w:type="dxa" w:w="3402"/>
          </w:tcPr>
          <w:p>
            <w:pPr>
              <w:spacing w:after="40"/>
            </w:pPr>
            <w:r>
              <w:rPr>
                <w:sz w:val="18"/>
              </w:rPr>
              <w:t>auf mittlerer Höhe, rechts</w:t>
              <w:br/>
              <w:t>x 77.7–82.0 %</w:t>
              <w:br/>
              <w:t>y 54.8–55.9 %</w:t>
            </w:r>
          </w:p>
        </w:tc>
      </w:tr>
      <w:tr>
        <w:trPr>
          <w:cantSplit/>
        </w:trPr>
        <w:tc>
          <w:tcPr>
            <w:tcW w:type="dxa" w:w="3288"/>
          </w:tcPr>
          <w:p>
            <w:pPr>
              <w:spacing w:after="40"/>
            </w:pPr>
            <w:r>
              <w:rPr>
                <w:sz w:val="18"/>
              </w:rPr>
              <w:t>Translation</w:t>
            </w:r>
          </w:p>
        </w:tc>
        <w:tc>
          <w:tcPr>
            <w:tcW w:type="dxa" w:w="3005"/>
          </w:tcPr>
          <w:p>
            <w:pPr>
              <w:spacing w:after="40"/>
            </w:pPr>
            <w:r>
              <w:rPr>
                <w:sz w:val="18"/>
              </w:rPr>
              <w:t>x 46–113</w:t>
              <w:br/>
              <w:t>y 524–534</w:t>
            </w:r>
          </w:p>
        </w:tc>
        <w:tc>
          <w:tcPr>
            <w:tcW w:type="dxa" w:w="3402"/>
          </w:tcPr>
          <w:p>
            <w:pPr>
              <w:spacing w:after="40"/>
            </w:pPr>
            <w:r>
              <w:rPr>
                <w:sz w:val="18"/>
              </w:rPr>
              <w:t>auf mittlerer Höhe, links</w:t>
              <w:br/>
              <w:t>x 2.4–5.9 %</w:t>
              <w:br/>
              <w:t>y 57.2–58.3 %</w:t>
            </w:r>
          </w:p>
        </w:tc>
      </w:tr>
      <w:tr>
        <w:trPr>
          <w:cantSplit/>
        </w:trPr>
        <w:tc>
          <w:tcPr>
            <w:tcW w:type="dxa" w:w="3288"/>
          </w:tcPr>
          <w:p>
            <w:pPr>
              <w:spacing w:after="40"/>
            </w:pPr>
            <w:r>
              <w:rPr>
                <w:sz w:val="18"/>
              </w:rPr>
              <w:t>Semantic Usage:</w:t>
            </w:r>
          </w:p>
        </w:tc>
        <w:tc>
          <w:tcPr>
            <w:tcW w:type="dxa" w:w="3005"/>
          </w:tcPr>
          <w:p>
            <w:pPr>
              <w:spacing w:after="40"/>
            </w:pPr>
            <w:r>
              <w:rPr>
                <w:sz w:val="18"/>
              </w:rPr>
              <w:t>x 1473–1575</w:t>
              <w:br/>
              <w:t>y 536–549</w:t>
            </w:r>
          </w:p>
        </w:tc>
        <w:tc>
          <w:tcPr>
            <w:tcW w:type="dxa" w:w="3402"/>
          </w:tcPr>
          <w:p>
            <w:pPr>
              <w:spacing w:after="40"/>
            </w:pPr>
            <w:r>
              <w:rPr>
                <w:sz w:val="18"/>
              </w:rPr>
              <w:t>auf mittlerer Höhe, rechts</w:t>
              <w:br/>
              <w:t>x 77.3–82.6 %</w:t>
              <w:br/>
              <w:t>y 58.5–59.9 %</w:t>
            </w:r>
          </w:p>
        </w:tc>
      </w:tr>
      <w:tr>
        <w:trPr>
          <w:cantSplit/>
        </w:trPr>
        <w:tc>
          <w:tcPr>
            <w:tcW w:type="dxa" w:w="3288"/>
          </w:tcPr>
          <w:p>
            <w:pPr>
              <w:spacing w:after="40"/>
            </w:pPr>
            <w:r>
              <w:rPr>
                <w:sz w:val="18"/>
              </w:rPr>
              <w:t>Transport</w:t>
            </w:r>
          </w:p>
        </w:tc>
        <w:tc>
          <w:tcPr>
            <w:tcW w:type="dxa" w:w="3005"/>
          </w:tcPr>
          <w:p>
            <w:pPr>
              <w:spacing w:after="40"/>
            </w:pPr>
            <w:r>
              <w:rPr>
                <w:sz w:val="18"/>
              </w:rPr>
              <w:t>x 46–104</w:t>
              <w:br/>
              <w:t>y 560–573</w:t>
            </w:r>
          </w:p>
        </w:tc>
        <w:tc>
          <w:tcPr>
            <w:tcW w:type="dxa" w:w="3402"/>
          </w:tcPr>
          <w:p>
            <w:pPr>
              <w:spacing w:after="40"/>
            </w:pPr>
            <w:r>
              <w:rPr>
                <w:sz w:val="18"/>
              </w:rPr>
              <w:t>auf mittlerer Höhe, links</w:t>
              <w:br/>
              <w:t>x 2.4–5.5 %</w:t>
              <w:br/>
              <w:t>y 61.1–62.6 %</w:t>
            </w:r>
          </w:p>
        </w:tc>
      </w:tr>
      <w:tr>
        <w:trPr>
          <w:cantSplit/>
        </w:trPr>
        <w:tc>
          <w:tcPr>
            <w:tcW w:type="dxa" w:w="3288"/>
          </w:tcPr>
          <w:p>
            <w:pPr>
              <w:spacing w:after="40"/>
            </w:pPr>
            <w:r>
              <w:rPr>
                <w:sz w:val="18"/>
              </w:rPr>
              <w:t>Relational Dataset</w:t>
            </w:r>
          </w:p>
        </w:tc>
        <w:tc>
          <w:tcPr>
            <w:tcW w:type="dxa" w:w="3005"/>
          </w:tcPr>
          <w:p>
            <w:pPr>
              <w:spacing w:after="40"/>
            </w:pPr>
            <w:r>
              <w:rPr>
                <w:sz w:val="18"/>
              </w:rPr>
              <w:t>x 1481–1593</w:t>
              <w:br/>
              <w:t>y 562–572</w:t>
            </w:r>
          </w:p>
        </w:tc>
        <w:tc>
          <w:tcPr>
            <w:tcW w:type="dxa" w:w="3402"/>
          </w:tcPr>
          <w:p>
            <w:pPr>
              <w:spacing w:after="40"/>
            </w:pPr>
            <w:r>
              <w:rPr>
                <w:sz w:val="18"/>
              </w:rPr>
              <w:t>auf mittlerer Höhe, rechts</w:t>
              <w:br/>
              <w:t>x 77.7–83.6 %</w:t>
              <w:br/>
              <w:t>y 61.4–62.4 %</w:t>
            </w:r>
          </w:p>
        </w:tc>
      </w:tr>
      <w:tr>
        <w:trPr>
          <w:cantSplit/>
        </w:trPr>
        <w:tc>
          <w:tcPr>
            <w:tcW w:type="dxa" w:w="3288"/>
          </w:tcPr>
          <w:p>
            <w:pPr>
              <w:spacing w:after="40"/>
            </w:pPr>
            <w:r>
              <w:rPr>
                <w:sz w:val="18"/>
              </w:rPr>
              <w:t>Data Sharing Cockpit</w:t>
            </w:r>
          </w:p>
        </w:tc>
        <w:tc>
          <w:tcPr>
            <w:tcW w:type="dxa" w:w="3005"/>
          </w:tcPr>
          <w:p>
            <w:pPr>
              <w:spacing w:after="40"/>
            </w:pPr>
            <w:r>
              <w:rPr>
                <w:sz w:val="18"/>
              </w:rPr>
              <w:t>x 46–176</w:t>
              <w:br/>
              <w:t>y 596–609</w:t>
            </w:r>
          </w:p>
        </w:tc>
        <w:tc>
          <w:tcPr>
            <w:tcW w:type="dxa" w:w="3402"/>
          </w:tcPr>
          <w:p>
            <w:pPr>
              <w:spacing w:after="40"/>
            </w:pPr>
            <w:r>
              <w:rPr>
                <w:sz w:val="18"/>
              </w:rPr>
              <w:t>auf mittlerer Höhe, links</w:t>
              <w:br/>
              <w:t>x 2.4–9.2 %</w:t>
              <w:br/>
              <w:t>y 65.1–66.5 %</w:t>
            </w:r>
          </w:p>
        </w:tc>
      </w:tr>
      <w:tr>
        <w:trPr>
          <w:cantSplit/>
        </w:trPr>
        <w:tc>
          <w:tcPr>
            <w:tcW w:type="dxa" w:w="3288"/>
          </w:tcPr>
          <w:p>
            <w:pPr>
              <w:spacing w:after="40"/>
            </w:pPr>
            <w:r>
              <w:rPr>
                <w:sz w:val="18"/>
              </w:rPr>
              <w:t>Expose for Consumption</w:t>
            </w:r>
          </w:p>
        </w:tc>
        <w:tc>
          <w:tcPr>
            <w:tcW w:type="dxa" w:w="3005"/>
          </w:tcPr>
          <w:p>
            <w:pPr>
              <w:spacing w:after="40"/>
            </w:pPr>
            <w:r>
              <w:rPr>
                <w:sz w:val="18"/>
              </w:rPr>
              <w:t>x 1473–1623</w:t>
              <w:br/>
              <w:t>y 600–613</w:t>
            </w:r>
          </w:p>
        </w:tc>
        <w:tc>
          <w:tcPr>
            <w:tcW w:type="dxa" w:w="3402"/>
          </w:tcPr>
          <w:p>
            <w:pPr>
              <w:spacing w:after="40"/>
            </w:pPr>
            <w:r>
              <w:rPr>
                <w:sz w:val="18"/>
              </w:rPr>
              <w:t>auf mittlerer Höhe, rechts</w:t>
              <w:br/>
              <w:t>x 77.3–85.2 %</w:t>
              <w:br/>
              <w:t>y 65.5–66.9 %</w:t>
            </w:r>
          </w:p>
        </w:tc>
      </w:tr>
      <w:tr>
        <w:trPr>
          <w:cantSplit/>
        </w:trPr>
        <w:tc>
          <w:tcPr>
            <w:tcW w:type="dxa" w:w="3288"/>
          </w:tcPr>
          <w:p>
            <w:pPr>
              <w:spacing w:after="40"/>
            </w:pPr>
            <w:r>
              <w:rPr>
                <w:sz w:val="18"/>
              </w:rPr>
              <w:t>Run in Analytical Mode:</w:t>
            </w:r>
          </w:p>
        </w:tc>
        <w:tc>
          <w:tcPr>
            <w:tcW w:type="dxa" w:w="3005"/>
          </w:tcPr>
          <w:p>
            <w:pPr>
              <w:spacing w:after="40"/>
            </w:pPr>
            <w:r>
              <w:rPr>
                <w:sz w:val="18"/>
              </w:rPr>
              <w:t>x 1473–1617</w:t>
              <w:br/>
              <w:t>y 662–675</w:t>
            </w:r>
          </w:p>
        </w:tc>
        <w:tc>
          <w:tcPr>
            <w:tcW w:type="dxa" w:w="3402"/>
          </w:tcPr>
          <w:p>
            <w:pPr>
              <w:spacing w:after="40"/>
            </w:pPr>
            <w:r>
              <w:rPr>
                <w:sz w:val="18"/>
              </w:rPr>
              <w:t>unten, rechts</w:t>
              <w:br/>
              <w:t>x 77.3–84.8 %</w:t>
              <w:br/>
              <w:t>y 72.3–73.7 %</w:t>
            </w:r>
          </w:p>
        </w:tc>
      </w:tr>
      <w:tr>
        <w:trPr>
          <w:cantSplit/>
        </w:trPr>
        <w:tc>
          <w:tcPr>
            <w:tcW w:type="dxa" w:w="3288"/>
          </w:tcPr>
          <w:p>
            <w:pPr>
              <w:spacing w:after="40"/>
            </w:pPr>
            <w:r>
              <w:rPr>
                <w:sz w:val="18"/>
              </w:rPr>
              <w:t>Status:</w:t>
            </w:r>
          </w:p>
        </w:tc>
        <w:tc>
          <w:tcPr>
            <w:tcW w:type="dxa" w:w="3005"/>
          </w:tcPr>
          <w:p>
            <w:pPr>
              <w:spacing w:after="40"/>
            </w:pPr>
            <w:r>
              <w:rPr>
                <w:sz w:val="18"/>
              </w:rPr>
              <w:t>x 1473–1514</w:t>
              <w:br/>
              <w:t>y 722–732</w:t>
            </w:r>
          </w:p>
        </w:tc>
        <w:tc>
          <w:tcPr>
            <w:tcW w:type="dxa" w:w="3402"/>
          </w:tcPr>
          <w:p>
            <w:pPr>
              <w:spacing w:after="40"/>
            </w:pPr>
            <w:r>
              <w:rPr>
                <w:sz w:val="18"/>
              </w:rPr>
              <w:t>unten, rechts</w:t>
              <w:br/>
              <w:t>x 77.3–79.4 %</w:t>
              <w:br/>
              <w:t>y 78.8–79.9 %</w:t>
            </w:r>
          </w:p>
        </w:tc>
      </w:tr>
      <w:tr>
        <w:trPr>
          <w:cantSplit/>
        </w:trPr>
        <w:tc>
          <w:tcPr>
            <w:tcW w:type="dxa" w:w="3288"/>
          </w:tcPr>
          <w:p>
            <w:pPr>
              <w:spacing w:after="40"/>
            </w:pPr>
            <w:r>
              <w:rPr>
                <w:sz w:val="18"/>
              </w:rPr>
              <w:t>Deployed</w:t>
            </w:r>
          </w:p>
        </w:tc>
        <w:tc>
          <w:tcPr>
            <w:tcW w:type="dxa" w:w="3005"/>
          </w:tcPr>
          <w:p>
            <w:pPr>
              <w:spacing w:after="40"/>
            </w:pPr>
            <w:r>
              <w:rPr>
                <w:sz w:val="18"/>
              </w:rPr>
              <w:t>x 1493–1551</w:t>
              <w:br/>
              <w:t>y 748–761</w:t>
            </w:r>
          </w:p>
        </w:tc>
        <w:tc>
          <w:tcPr>
            <w:tcW w:type="dxa" w:w="3402"/>
          </w:tcPr>
          <w:p>
            <w:pPr>
              <w:spacing w:after="40"/>
            </w:pPr>
            <w:r>
              <w:rPr>
                <w:sz w:val="18"/>
              </w:rPr>
              <w:t>unten, rechts</w:t>
              <w:br/>
              <w:t>x 78.3–81.4 %</w:t>
              <w:br/>
              <w:t>y 81.7–83.1 %</w:t>
            </w:r>
          </w:p>
        </w:tc>
      </w:tr>
      <w:tr>
        <w:trPr>
          <w:cantSplit/>
        </w:trPr>
        <w:tc>
          <w:tcPr>
            <w:tcW w:type="dxa" w:w="3288"/>
          </w:tcPr>
          <w:p>
            <w:pPr>
              <w:spacing w:after="40"/>
            </w:pPr>
            <w:r>
              <w:rPr>
                <w:sz w:val="18"/>
              </w:rPr>
              <w:t>Deployed On:</w:t>
            </w:r>
          </w:p>
        </w:tc>
        <w:tc>
          <w:tcPr>
            <w:tcW w:type="dxa" w:w="3005"/>
          </w:tcPr>
          <w:p>
            <w:pPr>
              <w:spacing w:after="40"/>
            </w:pPr>
            <w:r>
              <w:rPr>
                <w:sz w:val="18"/>
              </w:rPr>
              <w:t>x 1473–1556</w:t>
              <w:br/>
              <w:t>y 784–797</w:t>
            </w:r>
          </w:p>
        </w:tc>
        <w:tc>
          <w:tcPr>
            <w:tcW w:type="dxa" w:w="3402"/>
          </w:tcPr>
          <w:p>
            <w:pPr>
              <w:spacing w:after="40"/>
            </w:pPr>
            <w:r>
              <w:rPr>
                <w:sz w:val="18"/>
              </w:rPr>
              <w:t>unten, rechts</w:t>
              <w:br/>
              <w:t>x 77.3–81.6 %</w:t>
              <w:br/>
              <w:t>y 85.6–87.0 %</w:t>
            </w:r>
          </w:p>
        </w:tc>
      </w:tr>
      <w:tr>
        <w:trPr>
          <w:cantSplit/>
        </w:trPr>
        <w:tc>
          <w:tcPr>
            <w:tcW w:type="dxa" w:w="3288"/>
          </w:tcPr>
          <w:p>
            <w:pPr>
              <w:spacing w:after="40"/>
            </w:pPr>
            <w:r>
              <w:rPr>
                <w:sz w:val="18"/>
              </w:rPr>
              <w:t>Status:</w:t>
            </w:r>
          </w:p>
        </w:tc>
        <w:tc>
          <w:tcPr>
            <w:tcW w:type="dxa" w:w="3005"/>
          </w:tcPr>
          <w:p>
            <w:pPr>
              <w:spacing w:after="40"/>
            </w:pPr>
            <w:r>
              <w:rPr>
                <w:sz w:val="18"/>
              </w:rPr>
              <w:t>x 1570–1611</w:t>
              <w:br/>
              <w:t>y 844–854</w:t>
            </w:r>
          </w:p>
        </w:tc>
        <w:tc>
          <w:tcPr>
            <w:tcW w:type="dxa" w:w="3402"/>
          </w:tcPr>
          <w:p>
            <w:pPr>
              <w:spacing w:after="40"/>
            </w:pPr>
            <w:r>
              <w:rPr>
                <w:sz w:val="18"/>
              </w:rPr>
              <w:t>unten, rechts</w:t>
              <w:br/>
              <w:t>x 82.4–84.5 %</w:t>
              <w:br/>
              <w:t>y 92.1–93.2 %</w:t>
            </w:r>
          </w:p>
        </w:tc>
      </w:tr>
      <w:tr>
        <w:trPr>
          <w:cantSplit/>
        </w:trPr>
        <w:tc>
          <w:tcPr>
            <w:tcW w:type="dxa" w:w="3288"/>
          </w:tcPr>
          <w:p>
            <w:pPr>
              <w:spacing w:after="40"/>
            </w:pPr>
            <w:r>
              <w:rPr>
                <w:sz w:val="18"/>
              </w:rPr>
              <w:t>Security</w:t>
            </w:r>
          </w:p>
        </w:tc>
        <w:tc>
          <w:tcPr>
            <w:tcW w:type="dxa" w:w="3005"/>
          </w:tcPr>
          <w:p>
            <w:pPr>
              <w:spacing w:after="40"/>
            </w:pPr>
            <w:r>
              <w:rPr>
                <w:sz w:val="18"/>
              </w:rPr>
              <w:t>x 46–96</w:t>
              <w:br/>
              <w:t>y 850–863</w:t>
            </w:r>
          </w:p>
        </w:tc>
        <w:tc>
          <w:tcPr>
            <w:tcW w:type="dxa" w:w="3402"/>
          </w:tcPr>
          <w:p>
            <w:pPr>
              <w:spacing w:after="40"/>
            </w:pPr>
            <w:r>
              <w:rPr>
                <w:sz w:val="18"/>
              </w:rPr>
              <w:t>unten, links</w:t>
              <w:br/>
              <w:t>x 2.4–5.0 %</w:t>
              <w:br/>
              <w:t>y 92.8–94.2 %</w:t>
            </w:r>
          </w:p>
        </w:tc>
      </w:tr>
      <w:tr>
        <w:trPr>
          <w:cantSplit/>
        </w:trPr>
        <w:tc>
          <w:tcPr>
            <w:tcW w:type="dxa" w:w="3288"/>
          </w:tcPr>
          <w:p>
            <w:pPr>
              <w:spacing w:after="40"/>
            </w:pPr>
            <w:r>
              <w:rPr>
                <w:sz w:val="18"/>
              </w:rPr>
              <w:t>System</w:t>
            </w:r>
          </w:p>
        </w:tc>
        <w:tc>
          <w:tcPr>
            <w:tcW w:type="dxa" w:w="3005"/>
          </w:tcPr>
          <w:p>
            <w:pPr>
              <w:spacing w:after="40"/>
            </w:pPr>
            <w:r>
              <w:rPr>
                <w:sz w:val="18"/>
              </w:rPr>
              <w:t>x 46–91</w:t>
              <w:br/>
              <w:t>y 886–899</w:t>
            </w:r>
          </w:p>
        </w:tc>
        <w:tc>
          <w:tcPr>
            <w:tcW w:type="dxa" w:w="3402"/>
          </w:tcPr>
          <w:p>
            <w:pPr>
              <w:spacing w:after="40"/>
            </w:pPr>
            <w:r>
              <w:rPr>
                <w:sz w:val="18"/>
              </w:rPr>
              <w:t>unten, links</w:t>
              <w:br/>
              <w:t>x 2.4–4.8 %</w:t>
              <w:br/>
              <w:t>y 96.7–98.1 %</w:t>
            </w:r>
          </w:p>
        </w:tc>
      </w:tr>
    </w:tbl>
    <w:p>
      <w:pPr>
        <w:pStyle w:val="Heading2"/>
      </w:pPr>
      <w:r>
        <w:t>4. Abgrenzung</w:t>
      </w:r>
    </w:p>
    <w:p>
      <w:r>
        <w:t>Die Beschreibung benennt nur den sichtbaren Zustand dieses Screenshots. Aus Symbolen ohne lesbare Beschriftung wird keine konkrete Funktion abgeleitet. Inhalte hinter schwarzen Balken und nicht sichtbare Bereiche außerhalb des Bildrandes bleiben unbeschrieben.</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Detaillierte Bildbeschreibungen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Mucea, Calin V.</dc:creator>
  <keywords/>
  <dc:description>generated by python-docx</dc:description>
  <lastModifiedBy>Mucea, Calin V.</lastModifiedBy>
  <revision>1</revision>
  <dcterms:created xsi:type="dcterms:W3CDTF">2026-10-09T12:32:07.2346546Z</dcterms:created>
  <dcterms:modified xsi:type="dcterms:W3CDTF">2026-10-09T12:32:07.2346546Z</dcterms:modified>
  <category/>
</coreProperties>
</file>