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SAP Datasphere – Aufbau, Oberfläche und Funktionen (Referenzhandbuch)</w:t>
      </w:r>
    </w:p>
    <w:p>
      <w:pPr>
        <w:pStyle w:val="Heading1"/>
      </w:pPr>
      <w:r>
        <w:t>1. Überblick und Einordnung</w:t>
      </w:r>
    </w:p>
    <w:p>
      <w:pPr>
        <w:pStyle w:val="Heading2"/>
      </w:pPr>
      <w:r>
        <w:t>1.1 Was SAP Datasphere ist</w:t>
      </w:r>
    </w:p>
    <w:p>
      <w:r>
        <w:t>SAP Datasphere ist ein Cloud-Dienst von SAP. Er verbindet, integriert, modelliert und stellt Daten aus SAP- und Nicht-SAP-Quellen bereit. Fachlich vereint er Funktionen aus vier Bereichen:</w:t>
      </w:r>
    </w:p>
    <w:p>
      <w:pPr>
        <w:pStyle w:val="ListBullet"/>
      </w:pPr>
      <w:r>
        <w:t>Data Warehousing</w:t>
      </w:r>
    </w:p>
    <w:p>
      <w:pPr>
        <w:pStyle w:val="ListBullet"/>
      </w:pPr>
      <w:r>
        <w:t>Datenintegration</w:t>
      </w:r>
    </w:p>
    <w:p>
      <w:pPr>
        <w:pStyle w:val="ListBullet"/>
      </w:pPr>
      <w:r>
        <w:t>semantische Modellierung</w:t>
      </w:r>
    </w:p>
    <w:p>
      <w:pPr>
        <w:pStyle w:val="ListBullet"/>
      </w:pPr>
      <w:r>
        <w:t>Daten-Governance</w:t>
      </w:r>
    </w:p>
    <w:p>
      <w:r>
        <w:t>SAP beschreibt SAP Datasphere heute als zentrale Komponente von SAP Business Data Cloud. Dort dient SAP Datasphere als „Wissenskern“ (</w:t>
      </w:r>
      <w:r>
        <w:rPr>
          <w:i/>
        </w:rPr>
        <w:t>knowledge core</w:t>
      </w:r>
      <w:r>
        <w:t>): Es führt Semantik, Datenprodukte und Modellierung zusammen. So bleibt der fachliche Kontext der Daten auch in hybriden und Multi-Cloud-Landschaften erhalten (Produktseite sap.com).</w:t>
      </w:r>
    </w:p>
    <w:p>
      <w:r>
        <w:t xml:space="preserve">Der Dienst wird als Software-as-a-Service auf der SAP Business Technology Platform (SAP BTP) betrieben. Die Bedienung erfolgt vollständig im Webbrowser (nicht verifiziert). Ältere Unterlagen nennen das Produkt noch </w:t>
      </w:r>
      <w:r>
        <w:rPr>
          <w:i/>
        </w:rPr>
        <w:t>SAP Data Warehouse Cloud</w:t>
      </w:r>
      <w:r>
        <w:t>. SAP hat es 2023 in SAP Datasphere umbenannt (nicht verifiziert). Unter dem früheren Namen findet man daher noch technische Bezeichnungen, Hinweise (</w:t>
      </w:r>
      <w:r>
        <w:rPr>
          <w:i/>
        </w:rPr>
        <w:t>SAP Notes</w:t>
      </w:r>
      <w:r>
        <w:t>) und Community-Beiträge.</w:t>
      </w:r>
    </w:p>
    <w:p>
      <w:r>
        <w:t>Für Anwender teilt sich SAP Datasphere in mehrere Funktionsbereiche. Jeder Bereich hat in diesem Handbuch ein eigenes Kapitel:</w:t>
      </w:r>
    </w:p>
    <w:p>
      <w:pPr>
        <w:pStyle w:val="ListBullet"/>
      </w:pPr>
      <w:r>
        <w:t>Bereichsverwaltung (</w:t>
      </w:r>
      <w:r>
        <w:rPr>
          <w:i/>
        </w:rPr>
        <w:t>Space Management</w:t>
      </w:r>
      <w:r>
        <w:t>)</w:t>
      </w:r>
    </w:p>
    <w:p>
      <w:pPr>
        <w:pStyle w:val="ListBullet"/>
      </w:pPr>
      <w:r>
        <w:t>Datenbaustein (</w:t>
      </w:r>
      <w:r>
        <w:rPr>
          <w:i/>
        </w:rPr>
        <w:t>Data Builder</w:t>
      </w:r>
      <w:r>
        <w:t>)</w:t>
      </w:r>
    </w:p>
    <w:p>
      <w:pPr>
        <w:pStyle w:val="ListBullet"/>
      </w:pPr>
      <w:r>
        <w:t>Business-Baustein (</w:t>
      </w:r>
      <w:r>
        <w:rPr>
          <w:i/>
        </w:rPr>
        <w:t>Business Builder</w:t>
      </w:r>
      <w:r>
        <w:t>)</w:t>
      </w:r>
    </w:p>
    <w:p>
      <w:pPr>
        <w:pStyle w:val="ListBullet"/>
      </w:pPr>
      <w:r>
        <w:t>Katalog (</w:t>
      </w:r>
      <w:r>
        <w:rPr>
          <w:i/>
        </w:rPr>
        <w:t>Catalog</w:t>
      </w:r>
      <w:r>
        <w:t>) und Datenmarktplatz (</w:t>
      </w:r>
      <w:r>
        <w:rPr>
          <w:i/>
        </w:rPr>
        <w:t>Data Marketplace</w:t>
      </w:r>
      <w:r>
        <w:t>)</w:t>
      </w:r>
    </w:p>
    <w:p>
      <w:pPr>
        <w:pStyle w:val="ListBullet"/>
      </w:pPr>
      <w:r>
        <w:t>Überwachung (</w:t>
      </w:r>
      <w:r>
        <w:rPr>
          <w:i/>
        </w:rPr>
        <w:t>Data Integration Monitor</w:t>
      </w:r>
      <w:r>
        <w:t xml:space="preserve">, </w:t>
      </w:r>
      <w:r>
        <w:rPr>
          <w:i/>
        </w:rPr>
        <w:t>System Monitor</w:t>
      </w:r>
      <w:r>
        <w:t>)</w:t>
      </w:r>
    </w:p>
    <w:p>
      <w:pPr>
        <w:pStyle w:val="ListBullet"/>
      </w:pPr>
      <w:r>
        <w:t>Administration</w:t>
      </w:r>
    </w:p>
    <w:p>
      <w:pPr>
        <w:pStyle w:val="Heading2"/>
      </w:pPr>
      <w:r>
        <w:t>1.2 Positionierung innerhalb von SAP Business Data Cloud</w:t>
      </w:r>
    </w:p>
    <w:p>
      <w:r>
        <w:t>SAP Business Data Cloud (BDC) ist ein Lösungspaket. Es verbindet die Funktionen von SAP Datasphere, SAP Analytics Cloud und SAP Business Warehouse mit einem verwalteten SAP Databricks und mit sogenannten intelligenten Anwendungen (</w:t>
      </w:r>
      <w:r>
        <w:rPr>
          <w:i/>
        </w:rPr>
        <w:t>Intelligent Applications</w:t>
      </w:r>
      <w:r>
        <w:t>). Dazu gehören auch Datenprodukte (</w:t>
      </w:r>
      <w:r>
        <w:rPr>
          <w:i/>
        </w:rPr>
        <w:t>Data Products</w:t>
      </w:r>
      <w:r>
        <w:t>) für SAP-Fachanwendungen (Produktseite SAP Databricks auf sap.com).</w:t>
      </w:r>
    </w:p>
    <w:p>
      <w:r>
        <w:t>Laut SAP bilden diese Komponenten gemeinsam eine Business Data Fabric. Sie verknüpft Daten, Kontext und KI über die gesamte Systemlandschaft und hat eine eingebaute Governance (Darstellung sap.com).</w:t>
      </w:r>
    </w:p>
    <w:p>
      <w:r>
        <w:t>Aufgaben von SAP Datasphere innerhalb von BDC:</w:t>
      </w:r>
    </w:p>
    <w:tbl>
      <w:tblPr>
        <w:tblStyle w:val="TableGrid"/>
        <w:tblW w:type="auto" w:w="0"/>
        <w:tblLook w:firstColumn="1" w:firstRow="1" w:lastColumn="0" w:lastRow="0" w:noHBand="0" w:noVBand="1" w:val="04A0"/>
      </w:tblPr>
      <w:tblGrid>
        <w:gridCol w:w="4320"/>
        <w:gridCol w:w="4320"/>
      </w:tblGrid>
      <w:tr>
        <w:tc>
          <w:tcPr>
            <w:tcW w:type="dxa" w:w="4320"/>
          </w:tcPr>
          <w:p>
            <w:r>
              <w:rPr>
                <w:b/>
              </w:rPr>
              <w:t>Aufgabe in BDC</w:t>
            </w:r>
          </w:p>
        </w:tc>
        <w:tc>
          <w:tcPr>
            <w:tcW w:type="dxa" w:w="4320"/>
          </w:tcPr>
          <w:p>
            <w:r>
              <w:rPr>
                <w:b/>
              </w:rPr>
              <w:t>Beitrag von SAP Datasphere</w:t>
            </w:r>
          </w:p>
        </w:tc>
      </w:tr>
      <w:tr>
        <w:tc>
          <w:tcPr>
            <w:tcW w:type="dxa" w:w="4320"/>
          </w:tcPr>
          <w:p>
            <w:r>
              <w:t>Semantische Schicht</w:t>
            </w:r>
          </w:p>
        </w:tc>
        <w:tc>
          <w:tcPr>
            <w:tcW w:type="dxa" w:w="4320"/>
          </w:tcPr>
          <w:p>
            <w:r>
              <w:t>Fachliche Modelle, Kennzahlen und Dimensionen mit Geschäftskontext (siehe Kapitel 6 und 7)</w:t>
            </w:r>
          </w:p>
        </w:tc>
      </w:tr>
      <w:tr>
        <w:tc>
          <w:tcPr>
            <w:tcW w:type="dxa" w:w="4320"/>
          </w:tcPr>
          <w:p>
            <w:r>
              <w:t>Datenprodukte</w:t>
            </w:r>
          </w:p>
        </w:tc>
        <w:tc>
          <w:tcPr>
            <w:tcW w:type="dxa" w:w="4320"/>
          </w:tcPr>
          <w:p>
            <w:r>
              <w:t>Datenprodukte entdecken, installieren und nutzen, auch von SAP bereitgestellte (siehe Kapitel 8)</w:t>
            </w:r>
          </w:p>
        </w:tc>
      </w:tr>
      <w:tr>
        <w:tc>
          <w:tcPr>
            <w:tcW w:type="dxa" w:w="4320"/>
          </w:tcPr>
          <w:p>
            <w:r>
              <w:t>Integration</w:t>
            </w:r>
          </w:p>
        </w:tc>
        <w:tc>
          <w:tcPr>
            <w:tcW w:type="dxa" w:w="4320"/>
          </w:tcPr>
          <w:p>
            <w:r>
              <w:t>Verbindungen zu SAP- und Nicht-SAP-Quellen, Replikation, Föderation (siehe Kapitel 5)</w:t>
            </w:r>
          </w:p>
        </w:tc>
      </w:tr>
      <w:tr>
        <w:tc>
          <w:tcPr>
            <w:tcW w:type="dxa" w:w="4320"/>
          </w:tcPr>
          <w:p>
            <w:r>
              <w:t>Governance</w:t>
            </w:r>
          </w:p>
        </w:tc>
        <w:tc>
          <w:tcPr>
            <w:tcW w:type="dxa" w:w="4320"/>
          </w:tcPr>
          <w:p>
            <w:r>
              <w:t>Katalog, Metadaten, Zugriffssteuerung (siehe Kapitel 8 und 9)</w:t>
            </w:r>
          </w:p>
        </w:tc>
      </w:tr>
    </w:tbl>
    <w:p>
      <w:r>
        <w:t xml:space="preserve">Datenprodukte in BDC werden laut SAP-Referenzarchitektur über hochwertige Metadaten und das Delta-Sharing-Protokoll bereitgestellt. Sie sind für intensive Lesezugriffe ausgelegt (SAP Architecture Center). Welche Datenprodukte und intelligenten Anwendungen konkret verfügbar sind, hängt vom BDC-Vertrag ab. </w:t>
      </w:r>
      <w:r>
        <w:rPr>
          <w:b/>
        </w:rPr>
        <w:t>⚠ abhängig von Lizenz/Freischaltung</w:t>
      </w:r>
    </w:p>
    <w:p>
      <w:r>
        <w:t>SAP Datasphere ist weiterhin auch als eigenständiges Abonnement erhältlich, also ohne BDC (nicht verifiziert). Dieses Handbuch beschreibt die Oberfläche generisch. Funktionen, die nur im BDC-Kontext verfügbar sind, werden gesondert gekennzeichnet.</w:t>
      </w:r>
    </w:p>
    <w:p>
      <w:pPr>
        <w:pStyle w:val="Heading2"/>
      </w:pPr>
      <w:r>
        <w:t>1.3 Architekturüberblick</w:t>
      </w:r>
    </w:p>
    <w:p>
      <w:pPr>
        <w:pStyle w:val="Heading3"/>
      </w:pPr>
      <w:r>
        <w:t>1.3.1 Business Data Fabric als Leitbild</w:t>
      </w:r>
    </w:p>
    <w:p>
      <w:r>
        <w:t xml:space="preserve">SAP verwendet für SAP Datasphere den Begriff </w:t>
      </w:r>
      <w:r>
        <w:rPr>
          <w:i/>
        </w:rPr>
        <w:t>Business Data Fabric</w:t>
      </w:r>
      <w:r>
        <w:t>. Gemeint ist eine Architektur, die nicht alle Daten physisch an einen Ort kopiert. Stattdessen werden Daten bei Bedarf verbunden (föderiert), repliziert oder als Datenprodukt geteilt, und ihre Semantik bleibt dabei erhalten (sap.com). Dahinter steht der Gedanke einer möglichst kopierfreien Datenbereitstellung (</w:t>
      </w:r>
      <w:r>
        <w:rPr>
          <w:i/>
        </w:rPr>
        <w:t>zero-copy</w:t>
      </w:r>
      <w:r>
        <w:t>). SAP beschreibt diesen Ansatz zum Beispiel für die Nutzung von SAP-BW-Datenprodukten in SAP Datasphere und SAP Databricks (SAP Architecture Center).</w:t>
      </w:r>
    </w:p>
    <w:p>
      <w:pPr>
        <w:pStyle w:val="Heading3"/>
      </w:pPr>
      <w:r>
        <w:t>1.3.2 SAP HANA Cloud als technische Basis</w:t>
      </w:r>
    </w:p>
    <w:p>
      <w:r>
        <w:t>Technisch basiert SAP Datasphere auf einer SAP HANA Cloud-Datenbank. Diese Datenbank wird mit dem Mandanten bereitgestellt (nicht verifiziert). Sie stellt drei Speicherarten bereit:</w:t>
      </w:r>
    </w:p>
    <w:p>
      <w:pPr>
        <w:pStyle w:val="ListBullet"/>
      </w:pPr>
      <w:r>
        <w:t>In-Memory-Speicher (</w:t>
      </w:r>
      <w:r>
        <w:rPr>
          <w:i/>
        </w:rPr>
        <w:t>Memory</w:t>
      </w:r>
      <w:r>
        <w:t>)</w:t>
      </w:r>
    </w:p>
    <w:p>
      <w:pPr>
        <w:pStyle w:val="ListBullet"/>
      </w:pPr>
      <w:r>
        <w:t>Plattenspeicher (</w:t>
      </w:r>
      <w:r>
        <w:rPr>
          <w:i/>
        </w:rPr>
        <w:t>Disk</w:t>
      </w:r>
      <w:r>
        <w:t>)</w:t>
      </w:r>
    </w:p>
    <w:p>
      <w:pPr>
        <w:pStyle w:val="ListBullet"/>
      </w:pPr>
      <w:r>
        <w:t>Rechenleistung (</w:t>
      </w:r>
      <w:r>
        <w:rPr>
          <w:i/>
        </w:rPr>
        <w:t>Compute</w:t>
      </w:r>
      <w:r>
        <w:t>)</w:t>
      </w:r>
    </w:p>
    <w:p>
      <w:r>
        <w:t xml:space="preserve">Laut der Seite </w:t>
      </w:r>
      <w:r>
        <w:rPr>
          <w:i/>
        </w:rPr>
        <w:t>Configure the Size of Your SAP Datasphere Tenant</w:t>
      </w:r>
      <w:r>
        <w:t xml:space="preserve"> werden diese Ressourcen über Capacity Units zugeteilt (help.sap.com).</w:t>
      </w:r>
    </w:p>
    <w:p>
      <w:r>
        <w:t>Jeder Bereich (siehe 1.3.3) erhält ein eigenes Datenbankschema. SQL-Zugriffe von außen laufen über Datenbankbenutzer (</w:t>
      </w:r>
      <w:r>
        <w:rPr>
          <w:i/>
        </w:rPr>
        <w:t>Database Users</w:t>
      </w:r>
      <w:r>
        <w:t>) und Open-SQL-Schemas (nicht verifiziert; Details in Kapitel 12).</w:t>
      </w:r>
    </w:p>
    <w:p>
      <w:pPr>
        <w:pStyle w:val="Heading3"/>
      </w:pPr>
      <w:r>
        <w:t>1.3.3 Bereiche (Spaces)</w:t>
      </w:r>
    </w:p>
    <w:p>
      <w:r>
        <w:t>Der Bereich (</w:t>
      </w:r>
      <w:r>
        <w:rPr>
          <w:i/>
        </w:rPr>
        <w:t>Space</w:t>
      </w:r>
      <w:r>
        <w:t>) ist die zentrale Organisationseinheit in SAP Datasphere. Ein Bereich ist eine abgeschottete Arbeitsumgebung mit eigenen Elementen:</w:t>
      </w:r>
    </w:p>
    <w:p>
      <w:pPr>
        <w:pStyle w:val="ListBullet"/>
      </w:pPr>
      <w:r>
        <w:t>Benutzern und Zuordnungen</w:t>
      </w:r>
    </w:p>
    <w:p>
      <w:pPr>
        <w:pStyle w:val="ListBullet"/>
      </w:pPr>
      <w:r>
        <w:t>Verbindungen</w:t>
      </w:r>
    </w:p>
    <w:p>
      <w:pPr>
        <w:pStyle w:val="ListBullet"/>
      </w:pPr>
      <w:r>
        <w:t>Datenobjekten</w:t>
      </w:r>
    </w:p>
    <w:p>
      <w:pPr>
        <w:pStyle w:val="ListBullet"/>
      </w:pPr>
      <w:r>
        <w:t>Speicher- und Rechenkontingenten</w:t>
      </w:r>
    </w:p>
    <w:p>
      <w:r>
        <w:t>Objekte anderer Bereiche lassen sich nur nutzen, wenn sie ausdrücklich freigegeben werden (</w:t>
      </w:r>
      <w:r>
        <w:rPr>
          <w:i/>
        </w:rPr>
        <w:t>Sharing</w:t>
      </w:r>
      <w:r>
        <w:t xml:space="preserve">) (nicht verifiziert). Neben dem Standardbereich gibt es Sonderformen wie den Bereichstyp </w:t>
      </w:r>
      <w:r>
        <w:rPr>
          <w:i/>
        </w:rPr>
        <w:t>SAP BW bridge</w:t>
      </w:r>
      <w:r>
        <w:t xml:space="preserve">. Je nach Mandantenausstattung kommen weitere Typen hinzu, etwa ein Bereich für dateibasierten Objektspeicher (nicht verifiziert). </w:t>
      </w:r>
      <w:r>
        <w:rPr>
          <w:b/>
        </w:rPr>
        <w:t>⚠ abhängig von Lizenz/Freischaltung</w:t>
      </w:r>
    </w:p>
    <w:p>
      <w:r>
        <w:t>Wie man Bereiche anlegt, konfiguriert und überwacht, steht in Kapitel 4.</w:t>
      </w:r>
    </w:p>
    <w:p>
      <w:pPr>
        <w:pStyle w:val="Heading3"/>
      </w:pPr>
      <w:r>
        <w:t>1.3.4 Data Lake und Object Store</w:t>
      </w:r>
    </w:p>
    <w:p>
      <w:r>
        <w:t>Daten, die selten genutzt werden oder sehr umfangreich sind, können außerhalb des In-Memory-Speichers abgelegt werden. Der Capacity Unit Estimator von SAP führt dafür zwei eigene Ressourcenarten:</w:t>
      </w:r>
    </w:p>
    <w:p>
      <w:pPr>
        <w:pStyle w:val="ListBullet"/>
      </w:pPr>
      <w:r>
        <w:t>Data Lake</w:t>
      </w:r>
    </w:p>
    <w:p>
      <w:pPr>
        <w:pStyle w:val="ListBullet"/>
      </w:pPr>
      <w:r>
        <w:t>Object Store</w:t>
      </w:r>
    </w:p>
    <w:p>
      <w:r>
        <w:t>Beide werden getrennt von Memory und Disk dimensioniert (SAP Datasphere Capacity Unit Estimator).</w:t>
      </w:r>
    </w:p>
    <w:p>
      <w:r>
        <w:t xml:space="preserve">Der Data Lake beruht auf </w:t>
      </w:r>
      <w:r>
        <w:rPr>
          <w:i/>
        </w:rPr>
        <w:t>SAP HANA Cloud, data lake</w:t>
      </w:r>
      <w:r>
        <w:t>. Der Object Store dient im BDC-Kontext als dateibasierter Speicher, unter anderem für Datenprodukte (nicht verifiziert). Ob eine Speicherart verfügbar ist, hängt von drei Faktoren ab:</w:t>
      </w:r>
    </w:p>
    <w:p>
      <w:pPr>
        <w:pStyle w:val="ListBullet"/>
      </w:pPr>
      <w:r>
        <w:t>Mandantentyp</w:t>
      </w:r>
    </w:p>
    <w:p>
      <w:pPr>
        <w:pStyle w:val="ListBullet"/>
      </w:pPr>
      <w:r>
        <w:t>Region bzw. Hyperscaler</w:t>
      </w:r>
    </w:p>
    <w:p>
      <w:pPr>
        <w:pStyle w:val="ListBullet"/>
      </w:pPr>
      <w:r>
        <w:t>Vertrag</w:t>
      </w:r>
    </w:p>
    <w:p>
      <w:r>
        <w:rPr>
          <w:b/>
        </w:rPr>
        <w:t>⚠ abhängig von Lizenz/Freischaltung</w:t>
      </w:r>
    </w:p>
    <w:p>
      <w:r>
        <w:t>Hinweis: SAP hat das Angebot an Speicherarten in den letzten Releases mehrfach verändert. Welche Optionen ein konkreter Mandant anbietet, ist in der Mandantenkonfiguration nachzusehen (siehe Kapitel 3).</w:t>
      </w:r>
    </w:p>
    <w:p>
      <w:pPr>
        <w:pStyle w:val="Heading3"/>
      </w:pPr>
      <w:r>
        <w:t>1.3.5 Gesamtbild in Schichten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Schicht</w:t>
            </w:r>
          </w:p>
        </w:tc>
        <w:tc>
          <w:tcPr>
            <w:tcW w:type="dxa" w:w="2880"/>
          </w:tcPr>
          <w:p>
            <w:r>
              <w:rPr>
                <w:b/>
              </w:rPr>
              <w:t>Bestandteile (Kurzüberblick)</w:t>
            </w:r>
          </w:p>
        </w:tc>
        <w:tc>
          <w:tcPr>
            <w:tcW w:type="dxa" w:w="2880"/>
          </w:tcPr>
          <w:p>
            <w:r>
              <w:rPr>
                <w:b/>
              </w:rPr>
              <w:t>Kapitel</w:t>
            </w:r>
          </w:p>
        </w:tc>
      </w:tr>
      <w:tr>
        <w:tc>
          <w:tcPr>
            <w:tcW w:type="dxa" w:w="2880"/>
          </w:tcPr>
          <w:p>
            <w:r>
              <w:t>Quellen</w:t>
            </w:r>
          </w:p>
        </w:tc>
        <w:tc>
          <w:tcPr>
            <w:tcW w:type="dxa" w:w="2880"/>
          </w:tcPr>
          <w:p>
            <w:r>
              <w:t>SAP S/4HANA, SAP BW, Cloud-Anwendungen, Datenbanken, Dateien</w:t>
            </w:r>
          </w:p>
        </w:tc>
        <w:tc>
          <w:tcPr>
            <w:tcW w:type="dxa" w:w="2880"/>
          </w:tcPr>
          <w:p>
            <w:r>
              <w:t>5</w:t>
            </w:r>
          </w:p>
        </w:tc>
      </w:tr>
      <w:tr>
        <w:tc>
          <w:tcPr>
            <w:tcW w:type="dxa" w:w="2880"/>
          </w:tcPr>
          <w:p>
            <w:r>
              <w:t>Integration</w:t>
            </w:r>
          </w:p>
        </w:tc>
        <w:tc>
          <w:tcPr>
            <w:tcW w:type="dxa" w:w="2880"/>
          </w:tcPr>
          <w:p>
            <w:r>
              <w:t>Verbindungen, Replikations-, Daten- und Transformationsflüsse, Föderation</w:t>
            </w:r>
          </w:p>
        </w:tc>
        <w:tc>
          <w:tcPr>
            <w:tcW w:type="dxa" w:w="2880"/>
          </w:tcPr>
          <w:p>
            <w:r>
              <w:t>5, 6</w:t>
            </w:r>
          </w:p>
        </w:tc>
      </w:tr>
      <w:tr>
        <w:tc>
          <w:tcPr>
            <w:tcW w:type="dxa" w:w="2880"/>
          </w:tcPr>
          <w:p>
            <w:r>
              <w:t>Speicherung</w:t>
            </w:r>
          </w:p>
        </w:tc>
        <w:tc>
          <w:tcPr>
            <w:tcW w:type="dxa" w:w="2880"/>
          </w:tcPr>
          <w:p>
            <w:r>
              <w:t>SAP HANA Cloud (Memory/Disk), Data Lake, Object Store</w:t>
            </w:r>
          </w:p>
        </w:tc>
        <w:tc>
          <w:tcPr>
            <w:tcW w:type="dxa" w:w="2880"/>
          </w:tcPr>
          <w:p>
            <w:r>
              <w:t>3, 4</w:t>
            </w:r>
          </w:p>
        </w:tc>
      </w:tr>
      <w:tr>
        <w:tc>
          <w:tcPr>
            <w:tcW w:type="dxa" w:w="2880"/>
          </w:tcPr>
          <w:p>
            <w:r>
              <w:t>Modellierung</w:t>
            </w:r>
          </w:p>
        </w:tc>
        <w:tc>
          <w:tcPr>
            <w:tcW w:type="dxa" w:w="2880"/>
          </w:tcPr>
          <w:p>
            <w:r>
              <w:t>Data Builder, Business Builder</w:t>
            </w:r>
          </w:p>
        </w:tc>
        <w:tc>
          <w:tcPr>
            <w:tcW w:type="dxa" w:w="2880"/>
          </w:tcPr>
          <w:p>
            <w:r>
              <w:t>6, 7</w:t>
            </w:r>
          </w:p>
        </w:tc>
      </w:tr>
      <w:tr>
        <w:tc>
          <w:tcPr>
            <w:tcW w:type="dxa" w:w="2880"/>
          </w:tcPr>
          <w:p>
            <w:r>
              <w:t>Governance</w:t>
            </w:r>
          </w:p>
        </w:tc>
        <w:tc>
          <w:tcPr>
            <w:tcW w:type="dxa" w:w="2880"/>
          </w:tcPr>
          <w:p>
            <w:r>
              <w:t>Katalog, Datenmarktplatz, Datenprodukte, Berechtigungen</w:t>
            </w:r>
          </w:p>
        </w:tc>
        <w:tc>
          <w:tcPr>
            <w:tcW w:type="dxa" w:w="2880"/>
          </w:tcPr>
          <w:p>
            <w:r>
              <w:t>8, 9</w:t>
            </w:r>
          </w:p>
        </w:tc>
      </w:tr>
      <w:tr>
        <w:tc>
          <w:tcPr>
            <w:tcW w:type="dxa" w:w="2880"/>
          </w:tcPr>
          <w:p>
            <w:r>
              <w:t>Betrieb</w:t>
            </w:r>
          </w:p>
        </w:tc>
        <w:tc>
          <w:tcPr>
            <w:tcW w:type="dxa" w:w="2880"/>
          </w:tcPr>
          <w:p>
            <w:r>
              <w:t>Monitoring, Transport, Lebenszyklus</w:t>
            </w:r>
          </w:p>
        </w:tc>
        <w:tc>
          <w:tcPr>
            <w:tcW w:type="dxa" w:w="2880"/>
          </w:tcPr>
          <w:p>
            <w:r>
              <w:t>10, 11</w:t>
            </w:r>
          </w:p>
        </w:tc>
      </w:tr>
      <w:tr>
        <w:tc>
          <w:tcPr>
            <w:tcW w:type="dxa" w:w="2880"/>
          </w:tcPr>
          <w:p>
            <w:r>
              <w:t>Verbrauch</w:t>
            </w:r>
          </w:p>
        </w:tc>
        <w:tc>
          <w:tcPr>
            <w:tcW w:type="dxa" w:w="2880"/>
          </w:tcPr>
          <w:p>
            <w:r>
              <w:t>SAP Analytics Cloud, Werkzeuge von Drittanbietern, SQL/OData</w:t>
            </w:r>
          </w:p>
        </w:tc>
        <w:tc>
          <w:tcPr>
            <w:tcW w:type="dxa" w:w="2880"/>
          </w:tcPr>
          <w:p>
            <w:r>
              <w:t>12</w:t>
            </w:r>
          </w:p>
        </w:tc>
      </w:tr>
    </w:tbl>
    <w:p>
      <w:pPr>
        <w:pStyle w:val="Heading2"/>
      </w:pPr>
      <w:r>
        <w:t>1.4 Zusammenspiel mit anderen SAP-Produkten</w:t>
      </w:r>
    </w:p>
    <w:p>
      <w:pPr>
        <w:pStyle w:val="Heading3"/>
      </w:pPr>
      <w:r>
        <w:t>1.4.1 SAP Analytics Cloud</w:t>
      </w:r>
    </w:p>
    <w:p>
      <w:r>
        <w:t>SAP Analytics Cloud (SAC) ist das Standardwerkzeug für die Analyse von Daten aus SAP Datasphere. Seine Aufgaben:</w:t>
      </w:r>
    </w:p>
    <w:p>
      <w:pPr>
        <w:pStyle w:val="ListBullet"/>
      </w:pPr>
      <w:r>
        <w:t>Berichte (</w:t>
      </w:r>
      <w:r>
        <w:rPr>
          <w:i/>
        </w:rPr>
        <w:t>Stories</w:t>
      </w:r>
      <w:r>
        <w:t>)</w:t>
      </w:r>
    </w:p>
    <w:p>
      <w:pPr>
        <w:pStyle w:val="ListBullet"/>
      </w:pPr>
      <w:r>
        <w:t>Dashboards</w:t>
      </w:r>
    </w:p>
    <w:p>
      <w:pPr>
        <w:pStyle w:val="ListBullet"/>
      </w:pPr>
      <w:r>
        <w:t>Planung</w:t>
      </w:r>
    </w:p>
    <w:p>
      <w:r>
        <w:t>SAC greift in der Regel über eine Live-Verbindung auf analytische Modelle in SAP Datasphere zu, ohne die Daten zu kopieren (nicht verifiziert). In BDC sind SAP Analytics Cloud und SAP Datasphere als gemeinsame Bestandteile vorgesehen (sap.com). Die technischen Verbrauchswege beschreibt Kapitel 12.</w:t>
      </w:r>
    </w:p>
    <w:p>
      <w:pPr>
        <w:pStyle w:val="Heading3"/>
      </w:pPr>
      <w:r>
        <w:t>1.4.2 SAP Databricks</w:t>
      </w:r>
    </w:p>
    <w:p>
      <w:r>
        <w:t>SAP Databricks ist eine von SAP verwaltete Databricks-Umgebung innerhalb von BDC (sap.com). Sie ist für Data-Engineering-, Machine-Learning- und KI-Szenarien gedacht.</w:t>
      </w:r>
    </w:p>
    <w:p>
      <w:r>
        <w:t xml:space="preserve">Der Datenaustausch mit SAP Datasphere läuft über Datenprodukte und Delta Sharing (SAP Architecture Center). So stehen Daten aus SAP-Anwendungen in Databricks zur Verfügung, ohne dass jedes Mal eine eigene Replikation nötig ist. </w:t>
      </w:r>
      <w:r>
        <w:rPr>
          <w:b/>
        </w:rPr>
        <w:t>⚠ abhängig von Lizenz/Freischaltung (nur im BDC-Kontext)</w:t>
      </w:r>
    </w:p>
    <w:p>
      <w:pPr>
        <w:pStyle w:val="Heading3"/>
      </w:pPr>
      <w:r>
        <w:t>1.4.3 SAP BW und SAP BW Bridge</w:t>
      </w:r>
    </w:p>
    <w:p>
      <w:r>
        <w:t>Für Kunden mit bestehendem SAP BW bzw. SAP BW/4HANA gibt es zwei Wege:</w:t>
      </w:r>
    </w:p>
    <w:p>
      <w:pPr>
        <w:pStyle w:val="ListBullet"/>
      </w:pPr>
      <w:r>
        <w:rPr>
          <w:b/>
        </w:rPr>
        <w:t>Anbindung und Datenprodukte:</w:t>
      </w:r>
      <w:r>
        <w:t xml:space="preserve"> Vorhandene BW-Systeme lassen sich als Quelle anbinden. Laut SAP-Referenzarchitektur können sie in BDC außerdem als Datenprodukte genutzt werden: in SAP Datasphere für Analysen, in SAP Databricks für ML/KI (SAP Architecture Center).</w:t>
      </w:r>
    </w:p>
    <w:p>
      <w:pPr>
        <w:pStyle w:val="ListBullet"/>
      </w:pPr>
      <w:r>
        <w:rPr>
          <w:b/>
        </w:rPr>
        <w:t>SAP BW Bridge:</w:t>
      </w:r>
      <w:r>
        <w:t xml:space="preserve"> Eine ABAP-basierte BW-Umgebung, die innerhalb von SAP Datasphere bereitgestellt wird. Sie dient dazu, vorhandene BW-Ladelogik (</w:t>
      </w:r>
      <w:r>
        <w:rPr>
          <w:i/>
        </w:rPr>
        <w:t>Staging</w:t>
      </w:r>
      <w:r>
        <w:t xml:space="preserve">) und Datenflüsse wiederzuverwenden und in die Cloud zu übernehmen. Ihre Objekte werden über einen eigenen Bereichstyp in SAP Datasphere eingebunden (nicht verifiziert). Die BW Bridge wird im Estimator als eigene Kapazitätsart geführt (SAP Datasphere Capacity Unit Estimator). </w:t>
      </w:r>
      <w:r>
        <w:rPr>
          <w:b/>
        </w:rPr>
        <w:t>⚠ abhängig von Lizenz/Freischaltung</w:t>
      </w:r>
    </w:p>
    <w:p>
      <w:pPr>
        <w:pStyle w:val="Heading2"/>
      </w:pPr>
      <w:r>
        <w:t>1.5 Mandant (Tenant) und Bereitstellung</w:t>
      </w:r>
    </w:p>
    <w:p>
      <w:r>
        <w:t>Ein Mandant (</w:t>
      </w:r>
      <w:r>
        <w:rPr>
          <w:i/>
        </w:rPr>
        <w:t>Tenant</w:t>
      </w:r>
      <w:r>
        <w:t>) ist eine eigenständige Instanz von SAP Datasphere. Er hat eine eigene URL, eigene Benutzer, eigene Bereiche und eine eigene SAP HANA Cloud-Datenbank (nicht verifiziert).</w:t>
      </w:r>
    </w:p>
    <w:p>
      <w:r>
        <w:t>Bereitgestellt wird ein Mandant auf zwei Wegen (nicht verifiziert):</w:t>
      </w:r>
    </w:p>
    <w:p>
      <w:pPr>
        <w:pStyle w:val="ListBullet"/>
      </w:pPr>
      <w:r>
        <w:t>über ein Abonnement</w:t>
      </w:r>
    </w:p>
    <w:p>
      <w:pPr>
        <w:pStyle w:val="ListBullet"/>
      </w:pPr>
      <w:r>
        <w:t>über ein verbrauchsbasiertes Modell der SAP BTP im SAP BTP Cockpit</w:t>
      </w:r>
    </w:p>
    <w:p>
      <w:r>
        <w:t xml:space="preserve">Die Rechenzentren liegen je nach Region bei einem der Hyperscaler, die SAP unterstützt. </w:t>
      </w:r>
      <w:r>
        <w:rPr>
          <w:b/>
        </w:rPr>
        <w:t>⚠ Funktionsumfang abhängig von Region/Hyperscaler</w:t>
      </w:r>
    </w:p>
    <w:p>
      <w:r>
        <w:t>Beim Aufbau einer Landschaft kann der Kunde mehrere Mandanten betreiben, zum Beispiel getrennt für Entwicklung, Test und Produktion. Inhalte werden dann zwischen den Mandanten transportiert (siehe Kapitel 11).</w:t>
      </w:r>
    </w:p>
    <w:p>
      <w:r>
        <w:t>Erstkonfiguration, Benutzerverwaltung und Identitätsanbieter beschreibt Kapitel 3. Anmeldung und Navigation in der Oberfläche beschreibt Kapitel 2.</w:t>
      </w:r>
    </w:p>
    <w:p>
      <w:pPr>
        <w:pStyle w:val="Heading2"/>
      </w:pPr>
      <w:r>
        <w:t>1.6 Lizenz- und Kapazitätsmodell (Grundzüge)</w:t>
      </w:r>
    </w:p>
    <w:p>
      <w:r>
        <w:t xml:space="preserve">Die Abrechnungseinheit von SAP Datasphere ist die Capacity Unit (CU). Laut SAP-Dokumentation werden einem Mandanten Capacity Units zugeteilt, um Speicher- und Rechenressourcen zu erhalten. Die Größe lässt sich nach dem fachlichen Bedarf konfigurieren. Das gilt sowohl für Mandanten auf Abonnementbasis als auch für verbrauchsbasierte Mandanten mit Standardplan (help.sap.com, </w:t>
      </w:r>
      <w:r>
        <w:rPr>
          <w:i/>
        </w:rPr>
        <w:t>Configure the Size of Your SAP Datasphere Tenant</w:t>
      </w:r>
      <w:r>
        <w:t>).</w:t>
      </w:r>
    </w:p>
    <w:p>
      <w:r>
        <w:t>Der offizielle Capacity Unit Estimator von SAP ermittelt den CU-Bedarf aus folgenden Ressourcen:</w:t>
      </w:r>
    </w:p>
    <w:tbl>
      <w:tblPr>
        <w:tblStyle w:val="TableGrid"/>
        <w:tblW w:type="auto" w:w="0"/>
        <w:tblLook w:firstColumn="1" w:firstRow="1" w:lastColumn="0" w:lastRow="0" w:noHBand="0" w:noVBand="1" w:val="04A0"/>
      </w:tblPr>
      <w:tblGrid>
        <w:gridCol w:w="4320"/>
        <w:gridCol w:w="4320"/>
      </w:tblGrid>
      <w:tr>
        <w:tc>
          <w:tcPr>
            <w:tcW w:type="dxa" w:w="4320"/>
          </w:tcPr>
          <w:p>
            <w:r>
              <w:rPr>
                <w:b/>
              </w:rPr>
              <w:t>Ressource (Bezeichnung im Estimator)</w:t>
            </w:r>
          </w:p>
        </w:tc>
        <w:tc>
          <w:tcPr>
            <w:tcW w:type="dxa" w:w="4320"/>
          </w:tcPr>
          <w:p>
            <w:r>
              <w:rPr>
                <w:b/>
              </w:rPr>
              <w:t>Grobe Bedeutung</w:t>
            </w:r>
          </w:p>
        </w:tc>
      </w:tr>
      <w:tr>
        <w:tc>
          <w:tcPr>
            <w:tcW w:type="dxa" w:w="4320"/>
          </w:tcPr>
          <w:p>
            <w:r>
              <w:rPr>
                <w:i/>
              </w:rPr>
              <w:t>Storage</w:t>
            </w:r>
          </w:p>
        </w:tc>
        <w:tc>
          <w:tcPr>
            <w:tcW w:type="dxa" w:w="4320"/>
          </w:tcPr>
          <w:p>
            <w:r>
              <w:t>Plattenspeicher der SAP HANA Cloud-Datenbank</w:t>
            </w:r>
          </w:p>
        </w:tc>
      </w:tr>
      <w:tr>
        <w:tc>
          <w:tcPr>
            <w:tcW w:type="dxa" w:w="4320"/>
          </w:tcPr>
          <w:p>
            <w:r>
              <w:rPr>
                <w:i/>
              </w:rPr>
              <w:t>Compute</w:t>
            </w:r>
          </w:p>
        </w:tc>
        <w:tc>
          <w:tcPr>
            <w:tcW w:type="dxa" w:w="4320"/>
          </w:tcPr>
          <w:p>
            <w:r>
              <w:t>Arbeitsspeicher und Rechenleistung</w:t>
            </w:r>
          </w:p>
        </w:tc>
      </w:tr>
      <w:tr>
        <w:tc>
          <w:tcPr>
            <w:tcW w:type="dxa" w:w="4320"/>
          </w:tcPr>
          <w:p>
            <w:r>
              <w:rPr>
                <w:i/>
              </w:rPr>
              <w:t>Data Lake</w:t>
            </w:r>
          </w:p>
        </w:tc>
        <w:tc>
          <w:tcPr>
            <w:tcW w:type="dxa" w:w="4320"/>
          </w:tcPr>
          <w:p>
            <w:r>
              <w:t>Speicher in SAP HANA Cloud, data lake</w:t>
            </w:r>
          </w:p>
        </w:tc>
      </w:tr>
      <w:tr>
        <w:tc>
          <w:tcPr>
            <w:tcW w:type="dxa" w:w="4320"/>
          </w:tcPr>
          <w:p>
            <w:r>
              <w:rPr>
                <w:i/>
              </w:rPr>
              <w:t>BW Bridge</w:t>
            </w:r>
          </w:p>
        </w:tc>
        <w:tc>
          <w:tcPr>
            <w:tcW w:type="dxa" w:w="4320"/>
          </w:tcPr>
          <w:p>
            <w:r>
              <w:t>Kapazität der SAP-BW-Bridge-Umgebung</w:t>
            </w:r>
          </w:p>
        </w:tc>
      </w:tr>
      <w:tr>
        <w:tc>
          <w:tcPr>
            <w:tcW w:type="dxa" w:w="4320"/>
          </w:tcPr>
          <w:p>
            <w:r>
              <w:rPr>
                <w:i/>
              </w:rPr>
              <w:t>Data Integration</w:t>
            </w:r>
          </w:p>
        </w:tc>
        <w:tc>
          <w:tcPr>
            <w:tcW w:type="dxa" w:w="4320"/>
          </w:tcPr>
          <w:p>
            <w:r>
              <w:t>Ausführungskapazität für Integrationsaufgaben</w:t>
            </w:r>
          </w:p>
        </w:tc>
      </w:tr>
      <w:tr>
        <w:tc>
          <w:tcPr>
            <w:tcW w:type="dxa" w:w="4320"/>
          </w:tcPr>
          <w:p>
            <w:r>
              <w:rPr>
                <w:i/>
              </w:rPr>
              <w:t>Catalog</w:t>
            </w:r>
          </w:p>
        </w:tc>
        <w:tc>
          <w:tcPr>
            <w:tcW w:type="dxa" w:w="4320"/>
          </w:tcPr>
          <w:p>
            <w:r>
              <w:t>Kapazität des Katalogs</w:t>
            </w:r>
          </w:p>
        </w:tc>
      </w:tr>
      <w:tr>
        <w:tc>
          <w:tcPr>
            <w:tcW w:type="dxa" w:w="4320"/>
          </w:tcPr>
          <w:p>
            <w:r>
              <w:rPr>
                <w:i/>
              </w:rPr>
              <w:t>Premium Outbound</w:t>
            </w:r>
          </w:p>
        </w:tc>
        <w:tc>
          <w:tcPr>
            <w:tcW w:type="dxa" w:w="4320"/>
          </w:tcPr>
          <w:p>
            <w:r>
              <w:t>Ausgehende Datenintegration in Ziele außerhalb von SAP</w:t>
            </w:r>
          </w:p>
        </w:tc>
      </w:tr>
      <w:tr>
        <w:tc>
          <w:tcPr>
            <w:tcW w:type="dxa" w:w="4320"/>
          </w:tcPr>
          <w:p>
            <w:r>
              <w:rPr>
                <w:i/>
              </w:rPr>
              <w:t>Elastic Compute Nodes</w:t>
            </w:r>
          </w:p>
        </w:tc>
        <w:tc>
          <w:tcPr>
            <w:tcW w:type="dxa" w:w="4320"/>
          </w:tcPr>
          <w:p>
            <w:r>
              <w:t>Zusätzliche, zeitweise zuschaltbare Rechenknoten</w:t>
            </w:r>
          </w:p>
        </w:tc>
      </w:tr>
      <w:tr>
        <w:tc>
          <w:tcPr>
            <w:tcW w:type="dxa" w:w="4320"/>
          </w:tcPr>
          <w:p>
            <w:r>
              <w:rPr>
                <w:i/>
              </w:rPr>
              <w:t>Object Store</w:t>
            </w:r>
          </w:p>
        </w:tc>
        <w:tc>
          <w:tcPr>
            <w:tcW w:type="dxa" w:w="4320"/>
          </w:tcPr>
          <w:p>
            <w:r>
              <w:t>Dateibasierter Objektspeicher</w:t>
            </w:r>
          </w:p>
        </w:tc>
      </w:tr>
    </w:tbl>
    <w:p>
      <w:r>
        <w:t>Die Bezeichnungen der Ressourcen sind im Estimator belegt (SAP Datasphere Capacity Unit Estimator). Die Spalte „Grobe Bedeutung“ ist eine Zusammenfassung und nicht verifiziert.</w:t>
      </w:r>
    </w:p>
    <w:p>
      <w:r>
        <w:t>Der SAP-Hinweis 3507826 bestätigt: CU sind die Einheiten, die von den zugrunde liegenden Diensten von SAP Datasphere verbraucht werden. Den Bedarf ermittelt man mit dem Estimator (SAP Note 3507826).</w:t>
      </w:r>
    </w:p>
    <w:p>
      <w:r>
        <w:t>Für die Praxis wichtig:</w:t>
      </w:r>
    </w:p>
    <w:p>
      <w:pPr>
        <w:pStyle w:val="ListNumber"/>
      </w:pPr>
      <w:r>
        <w:t>Die Mandantengröße wird in der Mandantenkonfiguration festgelegt. Manche Änderungen, etwa eine Verkleinerung des Speichers, sind nur eingeschränkt oder gar nicht möglich (nicht verifiziert; siehe Kapitel 3).</w:t>
      </w:r>
    </w:p>
    <w:p>
      <w:pPr>
        <w:pStyle w:val="ListNumber"/>
      </w:pPr>
      <w:r>
        <w:t>Die Ressourcen des Mandanten werden in der Bereichsverwaltung auf die einzelnen Bereiche verteilt (siehe Kapitel 4).</w:t>
      </w:r>
    </w:p>
    <w:p>
      <w:pPr>
        <w:pStyle w:val="ListNumber"/>
      </w:pPr>
      <w:r>
        <w:t>Den Verbrauch überwacht man im System Monitor (siehe Kapitel 10).</w:t>
      </w:r>
    </w:p>
    <w:p>
      <w:r>
        <w:t>Preise und Umrechnungsfaktoren von CU in Ressourcen ändert SAP regelmäßig. Sie stehen deshalb nicht in diesem Handbuch. Maßgeblich sind der aktuelle Estimator und der eigene Vertrag.</w:t>
      </w:r>
    </w:p>
    <w:p>
      <w:pPr>
        <w:pStyle w:val="Heading2"/>
      </w:pPr>
      <w:r>
        <w:t>1.7 Lesehinweise zum Dokument</w:t>
      </w:r>
    </w:p>
    <w:p>
      <w:pPr>
        <w:pStyle w:val="ListBullet"/>
      </w:pPr>
      <w:r>
        <w:rPr>
          <w:b/>
        </w:rPr>
        <w:t>Aufbau:</w:t>
      </w:r>
      <w:r>
        <w:t xml:space="preserve"> Kapitel 2 führt in die Oberfläche und die Navigation ein. Kapitel 3 bis 12 beschreiben je einen Funktionsbereich nach demselben Schema: Zweck, Aufruf, Oberflächenaufbau, Funktionen, typische Abläufe, Grenzen und eine Berechtigungstabelle. Kapitel 13 enthält das Glossar Deutsch/Englisch und das Quellenverzeichnis.</w:t>
      </w:r>
    </w:p>
    <w:p>
      <w:pPr>
        <w:pStyle w:val="ListBullet"/>
      </w:pPr>
      <w:r>
        <w:rPr>
          <w:b/>
        </w:rPr>
        <w:t>Begriffe:</w:t>
      </w:r>
      <w:r>
        <w:t xml:space="preserve"> Die Oberfläche von SAP Datasphere ist überwiegend englisch. Offizielle UI-Bezeichnungen stehen beim ersten Auftreten kursiv in Klammern. Danach wird der deutsche Begriff verwendet.</w:t>
      </w:r>
    </w:p>
    <w:p>
      <w:pPr>
        <w:pStyle w:val="ListBullet"/>
      </w:pPr>
      <w:r>
        <w:rPr>
          <w:b/>
        </w:rPr>
        <w:t>Stand und Änderungen:</w:t>
      </w:r>
      <w:r>
        <w:t xml:space="preserve"> SAP aktualisiert SAP Datasphere in kurzen Abständen. Menüs, Schaltflächentexte und Dialoge können sich deshalb ändern. Exakte Oberflächentexte werden nur genannt, wenn die Dokumentation sie belegt.</w:t>
      </w:r>
    </w:p>
    <w:p>
      <w:pPr>
        <w:pStyle w:val="ListBullet"/>
      </w:pPr>
      <w:r>
        <w:rPr>
          <w:b/>
        </w:rPr>
        <w:t>Kennzeichnungen:</w:t>
      </w:r>
      <w:r>
        <w:t xml:space="preserve"> Lizenz-, Beta-, Hyperscaler- oder mandantenabhängige Funktionen sind mit „⚠ abhängig von Lizenz/Freischaltung“ markiert. Nicht belegte Aussagen sind mit „nicht verifiziert“ gekennzeichnet.</w:t>
      </w:r>
    </w:p>
    <w:p>
      <w:pPr>
        <w:pStyle w:val="ListBullet"/>
      </w:pPr>
      <w:r>
        <w:rPr>
          <w:b/>
        </w:rPr>
        <w:t>Rollen:</w:t>
      </w:r>
      <w:r>
        <w:t xml:space="preserve"> Sichtbarkeit und Bedienbarkeit von Funktionen hängen von den zugewiesenen Rollen und Privilegien ab. Fehlt ein Menüeintrag, liegt das meist an der Berechtigung (siehe Kapitel 3 und 9).</w:t>
      </w:r>
    </w:p>
    <w:p>
      <w:pPr>
        <w:pStyle w:val="Heading1"/>
      </w:pPr>
      <w:r>
        <w:t>2. Benutzeroberfläche und Navigation</w:t>
      </w:r>
    </w:p>
    <w:p>
      <w:pPr>
        <w:pStyle w:val="Heading2"/>
      </w:pPr>
      <w:r>
        <w:t>2.1 Zweck und Einordnung</w:t>
      </w:r>
    </w:p>
    <w:p>
      <w:r>
        <w:t>Dieses Kapitel beschreibt den Rahmen der Oberfläche, der für alle Anwendungen von SAP Datasphere gleich ist. Dazu gehören:</w:t>
      </w:r>
    </w:p>
    <w:p>
      <w:pPr>
        <w:pStyle w:val="ListBullet"/>
      </w:pPr>
      <w:r>
        <w:t>die Startseite (</w:t>
      </w:r>
      <w:r>
        <w:rPr>
          <w:i/>
        </w:rPr>
        <w:t>Home</w:t>
      </w:r>
      <w:r>
        <w:t>),</w:t>
      </w:r>
    </w:p>
    <w:p>
      <w:pPr>
        <w:pStyle w:val="ListBullet"/>
      </w:pPr>
      <w:r>
        <w:t>die obere Shell-Leiste (</w:t>
      </w:r>
      <w:r>
        <w:rPr>
          <w:i/>
        </w:rPr>
        <w:t>Shell Bar</w:t>
      </w:r>
      <w:r>
        <w:t>),</w:t>
      </w:r>
    </w:p>
    <w:p>
      <w:pPr>
        <w:pStyle w:val="ListBullet"/>
      </w:pPr>
      <w:r>
        <w:t>die linke Seitenleiste (</w:t>
      </w:r>
      <w:r>
        <w:rPr>
          <w:i/>
        </w:rPr>
        <w:t>Side Navigation</w:t>
      </w:r>
      <w:r>
        <w:t>),</w:t>
      </w:r>
    </w:p>
    <w:p>
      <w:pPr>
        <w:pStyle w:val="ListBullet"/>
      </w:pPr>
      <w:r>
        <w:t>übergreifende Dienste wie Suche, Benachrichtigungen, Hilfe und persönliche Einstellungen,</w:t>
      </w:r>
    </w:p>
    <w:p>
      <w:pPr>
        <w:pStyle w:val="ListBullet"/>
      </w:pPr>
      <w:r>
        <w:t>UI-Muster, die in mehreren Editoren auftreten: Objektstatus, Bereitstellen (</w:t>
      </w:r>
      <w:r>
        <w:rPr>
          <w:i/>
        </w:rPr>
        <w:t>Deploy</w:t>
      </w:r>
      <w:r>
        <w:t>), Freigabe-Kennzeichen und Auswirkungs- und Herkunftsanalyse (</w:t>
      </w:r>
      <w:r>
        <w:rPr>
          <w:i/>
        </w:rPr>
        <w:t>Impact and Lineage Analysis</w:t>
      </w:r>
      <w:r>
        <w:t>).</w:t>
      </w:r>
    </w:p>
    <w:p>
      <w:r>
        <w:t>Die fachlichen Funktionen der einzelnen Anwendungen behandeln die Kapitel 3 bis 12. Hier steht nur, wie man sie erreicht und welche Bedienmuster überall gleich sind.</w:t>
      </w:r>
    </w:p>
    <w:p>
      <w:r>
        <w:t>Laut SAP sind alle Anwendungen (</w:t>
      </w:r>
      <w:r>
        <w:rPr>
          <w:i/>
        </w:rPr>
        <w:t>Apps</w:t>
      </w:r>
      <w:r>
        <w:t>) über die linke Seitenleiste erreichbar. Jede Anwendung setzt bestimmte Privilegien voraus. Anwendungen, für die einem Benutzer die Privilegien fehlen, werden ihm nicht angezeigt (Getting Started with SAP Datasphere). Die Oberfläche sieht deshalb je nach Rolle unterschiedlich aus. Rollen und Privilegien beschreiben Kapitel 3 und Kapitel 9.</w:t>
      </w:r>
    </w:p>
    <w:p>
      <w:pPr>
        <w:pStyle w:val="Heading2"/>
      </w:pPr>
      <w:r>
        <w:t>2.2 Aufruf und Anmeldung</w:t>
      </w:r>
    </w:p>
    <w:p>
      <w:pPr>
        <w:pStyle w:val="ListNumber"/>
      </w:pPr>
      <w:r>
        <w:t>Rufen Sie die Mandanten-URL von SAP Datasphere im Browser auf. Die URL vergibt die Administration beim Einrichten des Mandanten, siehe Kapitel 3.</w:t>
      </w:r>
    </w:p>
    <w:p>
      <w:pPr>
        <w:pStyle w:val="ListNumber"/>
      </w:pPr>
      <w:r>
        <w:t>Melden Sie sich über den eingerichteten Identitätsanbieter an. Das ist entweder der Standard-Identitätsdienst von SAP oder ein angebundener eigener Anbieter (siehe Kapitel 3).</w:t>
      </w:r>
    </w:p>
    <w:p>
      <w:pPr>
        <w:pStyle w:val="ListNumber"/>
      </w:pPr>
      <w:r>
        <w:t>Nach der Anmeldung erscheint die Startseite (</w:t>
      </w:r>
      <w:r>
        <w:rPr>
          <w:i/>
        </w:rPr>
        <w:t>Home</w:t>
      </w:r>
      <w:r>
        <w:t>).</w:t>
      </w:r>
    </w:p>
    <w:p>
      <w:r>
        <w:rPr>
          <w:b/>
        </w:rPr>
        <w:t>Benötigte Berechtigung:</w:t>
      </w:r>
      <w:r>
        <w:t xml:space="preserve"> Für die Anmeldung braucht man einen Benutzer im Mandanten mit mindestens einer Rolle. Benutzer, die Daten nur über externe Werkzeuge nutzen, brauchen nach SAP keinen Zugang zur Oberfläche und können eine reine Verbraucherrolle erhalten (siehe Kapitel 9 und 12). Welche Einträge in der Seitenleiste erscheinen, hängt von den Privilegien der zugewiesenen Rollen ab.</w:t>
      </w:r>
    </w:p>
    <w:p>
      <w:pPr>
        <w:pStyle w:val="Heading2"/>
      </w:pPr>
      <w:r>
        <w:t>2.3 Aufbau der Oberfläche</w:t>
      </w:r>
    </w:p>
    <w:p>
      <w:r>
        <w:t>Die Oberfläche besteht aus drei festen Zonen: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Zone</w:t>
            </w:r>
          </w:p>
        </w:tc>
        <w:tc>
          <w:tcPr>
            <w:tcW w:type="dxa" w:w="2880"/>
          </w:tcPr>
          <w:p>
            <w:r>
              <w:rPr>
                <w:b/>
              </w:rPr>
              <w:t>Lage</w:t>
            </w:r>
          </w:p>
        </w:tc>
        <w:tc>
          <w:tcPr>
            <w:tcW w:type="dxa" w:w="2880"/>
          </w:tcPr>
          <w:p>
            <w:r>
              <w:rPr>
                <w:b/>
              </w:rPr>
              <w:t>Inhalt</w:t>
            </w:r>
          </w:p>
        </w:tc>
      </w:tr>
      <w:tr>
        <w:tc>
          <w:tcPr>
            <w:tcW w:type="dxa" w:w="2880"/>
          </w:tcPr>
          <w:p>
            <w:r>
              <w:t>Shell-Leiste (</w:t>
            </w:r>
            <w:r>
              <w:rPr>
                <w:i/>
              </w:rPr>
              <w:t>Shell Bar</w:t>
            </w:r>
            <w:r>
              <w:t>)</w:t>
            </w:r>
          </w:p>
        </w:tc>
        <w:tc>
          <w:tcPr>
            <w:tcW w:type="dxa" w:w="2880"/>
          </w:tcPr>
          <w:p>
            <w:r>
              <w:t>oben, über die ganze Breite</w:t>
            </w:r>
          </w:p>
        </w:tc>
        <w:tc>
          <w:tcPr>
            <w:tcW w:type="dxa" w:w="2880"/>
          </w:tcPr>
          <w:p>
            <w:r>
              <w:t>Produktlogo/-name, Suche, Benachrichtigungen, Hilfe, Benutzermenü</w:t>
            </w:r>
          </w:p>
        </w:tc>
      </w:tr>
      <w:tr>
        <w:tc>
          <w:tcPr>
            <w:tcW w:type="dxa" w:w="2880"/>
          </w:tcPr>
          <w:p>
            <w:r>
              <w:t>Seitenleiste (</w:t>
            </w:r>
            <w:r>
              <w:rPr>
                <w:i/>
              </w:rPr>
              <w:t>Side Navigation</w:t>
            </w:r>
            <w:r>
              <w:t>)</w:t>
            </w:r>
          </w:p>
        </w:tc>
        <w:tc>
          <w:tcPr>
            <w:tcW w:type="dxa" w:w="2880"/>
          </w:tcPr>
          <w:p>
            <w:r>
              <w:t>links, ein- und ausklappbar</w:t>
            </w:r>
          </w:p>
        </w:tc>
        <w:tc>
          <w:tcPr>
            <w:tcW w:type="dxa" w:w="2880"/>
          </w:tcPr>
          <w:p>
            <w:r>
              <w:t>Einstiegspunkte aller berechtigten Anwendungen</w:t>
            </w:r>
          </w:p>
        </w:tc>
      </w:tr>
      <w:tr>
        <w:tc>
          <w:tcPr>
            <w:tcW w:type="dxa" w:w="2880"/>
          </w:tcPr>
          <w:p>
            <w:r>
              <w:t>Arbeitsbereich</w:t>
            </w:r>
          </w:p>
        </w:tc>
        <w:tc>
          <w:tcPr>
            <w:tcW w:type="dxa" w:w="2880"/>
          </w:tcPr>
          <w:p>
            <w:r>
              <w:t>Mitte/rechts</w:t>
            </w:r>
          </w:p>
        </w:tc>
        <w:tc>
          <w:tcPr>
            <w:tcW w:type="dxa" w:w="2880"/>
          </w:tcPr>
          <w:p>
            <w:r>
              <w:t>jeweils geöffnete Anwendung, Editor oder Liste, ggf. mit Eigenschaftsbereich (</w:t>
            </w:r>
            <w:r>
              <w:rPr>
                <w:i/>
              </w:rPr>
              <w:t>Properties Panel</w:t>
            </w:r>
            <w:r>
              <w:t>) rechts</w:t>
            </w:r>
          </w:p>
        </w:tc>
      </w:tr>
    </w:tbl>
    <w:p>
      <w:pPr>
        <w:pStyle w:val="Heading3"/>
      </w:pPr>
      <w:r>
        <w:t>2.3.1 Shell-Leiste (Shell Bar)</w:t>
      </w:r>
    </w:p>
    <w:p>
      <w:r>
        <w:t>Die Shell-Leiste ist in allen Anwendungen sichtbar. Belegt sind diese Elemente:</w:t>
      </w:r>
    </w:p>
    <w:p>
      <w:pPr>
        <w:pStyle w:val="ListBullet"/>
      </w:pPr>
      <w:r>
        <w:rPr>
          <w:b/>
        </w:rPr>
        <w:t>Benutzersymbol</w:t>
      </w:r>
      <w:r>
        <w:t xml:space="preserve"> (</w:t>
      </w:r>
      <w:r>
        <w:rPr>
          <w:i/>
        </w:rPr>
        <w:t>User Icon</w:t>
      </w:r>
      <w:r>
        <w:t>): öffnet das Benutzermenü mit dem Eintrag Einstellungen (</w:t>
      </w:r>
      <w:r>
        <w:rPr>
          <w:i/>
        </w:rPr>
        <w:t>Settings</w:t>
      </w:r>
      <w:r>
        <w:t>), siehe 2.4.5 (Changing SAP Datasphere Settings).</w:t>
      </w:r>
    </w:p>
    <w:p>
      <w:pPr>
        <w:pStyle w:val="ListBullet"/>
      </w:pPr>
      <w:r>
        <w:rPr>
          <w:b/>
        </w:rPr>
        <w:t>Hilfe</w:t>
      </w:r>
      <w:r>
        <w:t>: Ein Fragezeichen-Symbol oben rechts öffnet die integrierte kontextbezogene Hilfe (</w:t>
      </w:r>
      <w:r>
        <w:rPr>
          <w:i/>
        </w:rPr>
        <w:t>In-App Help</w:t>
      </w:r>
      <w:r>
        <w:t>). Sie zeigt eine kurze Beschreibung dessen, was man im aktuellen Bild tun kann (Getting Started with SAP Datasphere).</w:t>
      </w:r>
    </w:p>
    <w:p>
      <w:pPr>
        <w:pStyle w:val="ListBullet"/>
      </w:pPr>
      <w:r>
        <w:rPr>
          <w:b/>
        </w:rPr>
        <w:t>Benachrichtigungen</w:t>
      </w:r>
      <w:r>
        <w:t xml:space="preserve"> (</w:t>
      </w:r>
      <w:r>
        <w:rPr>
          <w:i/>
        </w:rPr>
        <w:t>Notifications</w:t>
      </w:r>
      <w:r>
        <w:t>), siehe 2.4.3.</w:t>
      </w:r>
    </w:p>
    <w:p>
      <w:pPr>
        <w:pStyle w:val="ListBullet"/>
      </w:pPr>
      <w:r>
        <w:rPr>
          <w:b/>
        </w:rPr>
        <w:t>Suche</w:t>
      </w:r>
      <w:r>
        <w:t>, siehe 2.4.2.</w:t>
      </w:r>
    </w:p>
    <w:p>
      <w:r>
        <w:t>Weitere mögliche Elemente sind nicht verifiziert: ein Feedback-Symbol, ein Produktwechsler zu verbundenen SAP-Anwendungen und die Anzeige des Mandanten- bzw. Systemnamens. Diese Elemente sind möglicherweise ⚠ abhängig von Lizenz/Freischaltung, zum Beispiel in Mandanten von SAP Business Data Cloud.</w:t>
      </w:r>
    </w:p>
    <w:p>
      <w:pPr>
        <w:pStyle w:val="Heading3"/>
      </w:pPr>
      <w:r>
        <w:t>2.3.2 Linke Seitenleiste (Side Navigation)</w:t>
      </w:r>
    </w:p>
    <w:p>
      <w:r>
        <w:t xml:space="preserve">Die Seitenleiste lässt sich ausklappen, sodass neben den Symbolen auch die Bezeichnungen erscheinen. Sie lässt sich auch einklappen, dann bleiben nur die Symbole sichtbar (Getting Started with SAP Datasphere). Die folgende Tabelle zeigt die üblichen Einträge mit Verweis auf das zuständige Kapitel. </w:t>
      </w:r>
      <w:r>
        <w:rPr>
          <w:b/>
        </w:rPr>
        <w:t>Reihenfolge und genaue Gruppierung sind nicht verifiziert.</w:t>
      </w:r>
      <w:r>
        <w:t xml:space="preserve"> Sie haben sich zwischen den Releases mehrfach geändert und müssen am aktuellen Mandanten geprüft werden.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Eintrag (deutsch / englisch)</w:t>
            </w:r>
          </w:p>
        </w:tc>
        <w:tc>
          <w:tcPr>
            <w:tcW w:type="dxa" w:w="2880"/>
          </w:tcPr>
          <w:p>
            <w:r>
              <w:rPr>
                <w:b/>
              </w:rPr>
              <w:t>Kurzbeschreibung</w:t>
            </w:r>
          </w:p>
        </w:tc>
        <w:tc>
          <w:tcPr>
            <w:tcW w:type="dxa" w:w="2880"/>
          </w:tcPr>
          <w:p>
            <w:r>
              <w:rPr>
                <w:b/>
              </w:rPr>
              <w:t>Kapitel</w:t>
            </w:r>
          </w:p>
        </w:tc>
      </w:tr>
      <w:tr>
        <w:tc>
          <w:tcPr>
            <w:tcW w:type="dxa" w:w="2880"/>
          </w:tcPr>
          <w:p>
            <w:r>
              <w:t>Startseite (</w:t>
            </w:r>
            <w:r>
              <w:rPr>
                <w:i/>
              </w:rPr>
              <w:t>Home</w:t>
            </w:r>
            <w:r>
              <w:t>)</w:t>
            </w:r>
          </w:p>
        </w:tc>
        <w:tc>
          <w:tcPr>
            <w:tcW w:type="dxa" w:w="2880"/>
          </w:tcPr>
          <w:p>
            <w:r>
              <w:t>anpassbare Einstiegsseite</w:t>
            </w:r>
          </w:p>
        </w:tc>
        <w:tc>
          <w:tcPr>
            <w:tcW w:type="dxa" w:w="2880"/>
          </w:tcPr>
          <w:p>
            <w:r>
              <w:t>2.4.1</w:t>
            </w:r>
          </w:p>
        </w:tc>
      </w:tr>
      <w:tr>
        <w:tc>
          <w:tcPr>
            <w:tcW w:type="dxa" w:w="2880"/>
          </w:tcPr>
          <w:p>
            <w:r>
              <w:t>Katalog &amp; Marktplatz (</w:t>
            </w:r>
            <w:r>
              <w:rPr>
                <w:i/>
              </w:rPr>
              <w:t>Catalog &amp; Marketplace</w:t>
            </w:r>
            <w:r>
              <w:t>)</w:t>
            </w:r>
          </w:p>
        </w:tc>
        <w:tc>
          <w:tcPr>
            <w:tcW w:type="dxa" w:w="2880"/>
          </w:tcPr>
          <w:p>
            <w:r>
              <w:t>Suche nach Assets und Datenprodukten</w:t>
            </w:r>
          </w:p>
        </w:tc>
        <w:tc>
          <w:tcPr>
            <w:tcW w:type="dxa" w:w="2880"/>
          </w:tcPr>
          <w:p>
            <w:r>
              <w:t>8</w:t>
            </w:r>
          </w:p>
        </w:tc>
      </w:tr>
      <w:tr>
        <w:tc>
          <w:tcPr>
            <w:tcW w:type="dxa" w:w="2880"/>
          </w:tcPr>
          <w:p>
            <w:r>
              <w:t>Repository-Explorer (</w:t>
            </w:r>
            <w:r>
              <w:rPr>
                <w:i/>
              </w:rPr>
              <w:t>Repository Explorer</w:t>
            </w:r>
            <w:r>
              <w:t>)</w:t>
            </w:r>
          </w:p>
        </w:tc>
        <w:tc>
          <w:tcPr>
            <w:tcW w:type="dxa" w:w="2880"/>
          </w:tcPr>
          <w:p>
            <w:r>
              <w:t>spaceübergreifende Objektliste (nicht verifiziert)</w:t>
            </w:r>
          </w:p>
        </w:tc>
        <w:tc>
          <w:tcPr>
            <w:tcW w:type="dxa" w:w="2880"/>
          </w:tcPr>
          <w:p>
            <w:r>
              <w:t>2.4.7</w:t>
            </w:r>
          </w:p>
        </w:tc>
      </w:tr>
      <w:tr>
        <w:tc>
          <w:tcPr>
            <w:tcW w:type="dxa" w:w="2880"/>
          </w:tcPr>
          <w:p>
            <w:r>
              <w:t>Semantisches Onboarding (</w:t>
            </w:r>
            <w:r>
              <w:rPr>
                <w:i/>
              </w:rPr>
              <w:t>Semantic Onboarding</w:t>
            </w:r>
            <w:r>
              <w:t>)</w:t>
            </w:r>
          </w:p>
        </w:tc>
        <w:tc>
          <w:tcPr>
            <w:tcW w:type="dxa" w:w="2880"/>
          </w:tcPr>
          <w:p>
            <w:r>
              <w:t>Import von Inhalten und Entitäten (nicht verifiziert)</w:t>
            </w:r>
          </w:p>
        </w:tc>
        <w:tc>
          <w:tcPr>
            <w:tcW w:type="dxa" w:w="2880"/>
          </w:tcPr>
          <w:p>
            <w:r>
              <w:t>6</w:t>
            </w:r>
          </w:p>
        </w:tc>
      </w:tr>
      <w:tr>
        <w:tc>
          <w:tcPr>
            <w:tcW w:type="dxa" w:w="2880"/>
          </w:tcPr>
          <w:p>
            <w:r>
              <w:t>Business Builder (</w:t>
            </w:r>
            <w:r>
              <w:rPr>
                <w:i/>
              </w:rPr>
              <w:t>Business Builder</w:t>
            </w:r>
            <w:r>
              <w:t>)</w:t>
            </w:r>
          </w:p>
        </w:tc>
        <w:tc>
          <w:tcPr>
            <w:tcW w:type="dxa" w:w="2880"/>
          </w:tcPr>
          <w:p>
            <w:r>
              <w:t>semantische Geschäftsmodellierung</w:t>
            </w:r>
          </w:p>
        </w:tc>
        <w:tc>
          <w:tcPr>
            <w:tcW w:type="dxa" w:w="2880"/>
          </w:tcPr>
          <w:p>
            <w:r>
              <w:t>7</w:t>
            </w:r>
          </w:p>
        </w:tc>
      </w:tr>
      <w:tr>
        <w:tc>
          <w:tcPr>
            <w:tcW w:type="dxa" w:w="2880"/>
          </w:tcPr>
          <w:p>
            <w:r>
              <w:t>Datenbaustein (</w:t>
            </w:r>
            <w:r>
              <w:rPr>
                <w:i/>
              </w:rPr>
              <w:t>Data Builder</w:t>
            </w:r>
            <w:r>
              <w:t>)</w:t>
            </w:r>
          </w:p>
        </w:tc>
        <w:tc>
          <w:tcPr>
            <w:tcW w:type="dxa" w:w="2880"/>
          </w:tcPr>
          <w:p>
            <w:r>
              <w:t>Tabellen, Views, Flüsse, Aufgabenketten</w:t>
            </w:r>
          </w:p>
        </w:tc>
        <w:tc>
          <w:tcPr>
            <w:tcW w:type="dxa" w:w="2880"/>
          </w:tcPr>
          <w:p>
            <w:r>
              <w:t>6</w:t>
            </w:r>
          </w:p>
        </w:tc>
      </w:tr>
      <w:tr>
        <w:tc>
          <w:tcPr>
            <w:tcW w:type="dxa" w:w="2880"/>
          </w:tcPr>
          <w:p>
            <w:r>
              <w:t>Datenzugriffskontrollen (</w:t>
            </w:r>
            <w:r>
              <w:rPr>
                <w:i/>
              </w:rPr>
              <w:t>Data Access Controls</w:t>
            </w:r>
            <w:r>
              <w:t>)</w:t>
            </w:r>
          </w:p>
        </w:tc>
        <w:tc>
          <w:tcPr>
            <w:tcW w:type="dxa" w:w="2880"/>
          </w:tcPr>
          <w:p>
            <w:r>
              <w:t>zeilenbasierte Sicherheit</w:t>
            </w:r>
          </w:p>
        </w:tc>
        <w:tc>
          <w:tcPr>
            <w:tcW w:type="dxa" w:w="2880"/>
          </w:tcPr>
          <w:p>
            <w:r>
              <w:t>9</w:t>
            </w:r>
          </w:p>
        </w:tc>
      </w:tr>
      <w:tr>
        <w:tc>
          <w:tcPr>
            <w:tcW w:type="dxa" w:w="2880"/>
          </w:tcPr>
          <w:p>
            <w:r>
              <w:t>Datenintegrationsmonitor (</w:t>
            </w:r>
            <w:r>
              <w:rPr>
                <w:i/>
              </w:rPr>
              <w:t>Data Integration Monitor</w:t>
            </w:r>
            <w:r>
              <w:t>)</w:t>
            </w:r>
          </w:p>
        </w:tc>
        <w:tc>
          <w:tcPr>
            <w:tcW w:type="dxa" w:w="2880"/>
          </w:tcPr>
          <w:p>
            <w:r>
              <w:t>Überwachung von Läufen</w:t>
            </w:r>
          </w:p>
        </w:tc>
        <w:tc>
          <w:tcPr>
            <w:tcW w:type="dxa" w:w="2880"/>
          </w:tcPr>
          <w:p>
            <w:r>
              <w:t>10</w:t>
            </w:r>
          </w:p>
        </w:tc>
      </w:tr>
      <w:tr>
        <w:tc>
          <w:tcPr>
            <w:tcW w:type="dxa" w:w="2880"/>
          </w:tcPr>
          <w:p>
            <w:r>
              <w:t>Verbindungen (</w:t>
            </w:r>
            <w:r>
              <w:rPr>
                <w:i/>
              </w:rPr>
              <w:t>Connections</w:t>
            </w:r>
            <w:r>
              <w:t>)</w:t>
            </w:r>
          </w:p>
        </w:tc>
        <w:tc>
          <w:tcPr>
            <w:tcW w:type="dxa" w:w="2880"/>
          </w:tcPr>
          <w:p>
            <w:r>
              <w:t>Quellsystem-Verbindungen</w:t>
            </w:r>
          </w:p>
        </w:tc>
        <w:tc>
          <w:tcPr>
            <w:tcW w:type="dxa" w:w="2880"/>
          </w:tcPr>
          <w:p>
            <w:r>
              <w:t>5</w:t>
            </w:r>
          </w:p>
        </w:tc>
      </w:tr>
      <w:tr>
        <w:tc>
          <w:tcPr>
            <w:tcW w:type="dxa" w:w="2880"/>
          </w:tcPr>
          <w:p>
            <w:r>
              <w:t>Data Sharing Cockpit (</w:t>
            </w:r>
            <w:r>
              <w:rPr>
                <w:i/>
              </w:rPr>
              <w:t>Data Sharing Cockpit</w:t>
            </w:r>
            <w:r>
              <w:t>)</w:t>
            </w:r>
          </w:p>
        </w:tc>
        <w:tc>
          <w:tcPr>
            <w:tcW w:type="dxa" w:w="2880"/>
          </w:tcPr>
          <w:p>
            <w:r>
              <w:t>Anbieterseite des Marktplatzes (nicht verifiziert)</w:t>
            </w:r>
          </w:p>
        </w:tc>
        <w:tc>
          <w:tcPr>
            <w:tcW w:type="dxa" w:w="2880"/>
          </w:tcPr>
          <w:p>
            <w:r>
              <w:t>8</w:t>
            </w:r>
          </w:p>
        </w:tc>
      </w:tr>
      <w:tr>
        <w:tc>
          <w:tcPr>
            <w:tcW w:type="dxa" w:w="2880"/>
          </w:tcPr>
          <w:p>
            <w:r>
              <w:t>Bereichsverwaltung (</w:t>
            </w:r>
            <w:r>
              <w:rPr>
                <w:i/>
              </w:rPr>
              <w:t>Space Management</w:t>
            </w:r>
            <w:r>
              <w:t>)</w:t>
            </w:r>
          </w:p>
        </w:tc>
        <w:tc>
          <w:tcPr>
            <w:tcW w:type="dxa" w:w="2880"/>
          </w:tcPr>
          <w:p>
            <w:r>
              <w:t>Anlegen und Konfigurieren von Bereichen (</w:t>
            </w:r>
            <w:r>
              <w:rPr>
                <w:i/>
              </w:rPr>
              <w:t>Spaces</w:t>
            </w:r>
            <w:r>
              <w:t>)</w:t>
            </w:r>
          </w:p>
        </w:tc>
        <w:tc>
          <w:tcPr>
            <w:tcW w:type="dxa" w:w="2880"/>
          </w:tcPr>
          <w:p>
            <w:r>
              <w:t>4</w:t>
            </w:r>
          </w:p>
        </w:tc>
      </w:tr>
      <w:tr>
        <w:tc>
          <w:tcPr>
            <w:tcW w:type="dxa" w:w="2880"/>
          </w:tcPr>
          <w:p>
            <w:r>
              <w:t>Systemmonitor (</w:t>
            </w:r>
            <w:r>
              <w:rPr>
                <w:i/>
              </w:rPr>
              <w:t>System Monitor</w:t>
            </w:r>
            <w:r>
              <w:t>)</w:t>
            </w:r>
          </w:p>
        </w:tc>
        <w:tc>
          <w:tcPr>
            <w:tcW w:type="dxa" w:w="2880"/>
          </w:tcPr>
          <w:p>
            <w:r>
              <w:t>Systemauslastung und Protokolle</w:t>
            </w:r>
          </w:p>
        </w:tc>
        <w:tc>
          <w:tcPr>
            <w:tcW w:type="dxa" w:w="2880"/>
          </w:tcPr>
          <w:p>
            <w:r>
              <w:t>10</w:t>
            </w:r>
          </w:p>
        </w:tc>
      </w:tr>
      <w:tr>
        <w:tc>
          <w:tcPr>
            <w:tcW w:type="dxa" w:w="2880"/>
          </w:tcPr>
          <w:p>
            <w:r>
              <w:t>Sicherheit (</w:t>
            </w:r>
            <w:r>
              <w:rPr>
                <w:i/>
              </w:rPr>
              <w:t>Security</w:t>
            </w:r>
            <w:r>
              <w:t>)</w:t>
            </w:r>
          </w:p>
        </w:tc>
        <w:tc>
          <w:tcPr>
            <w:tcW w:type="dxa" w:w="2880"/>
          </w:tcPr>
          <w:p>
            <w:r>
              <w:t>Benutzer, Rollen, Aktivitäten</w:t>
            </w:r>
          </w:p>
        </w:tc>
        <w:tc>
          <w:tcPr>
            <w:tcW w:type="dxa" w:w="2880"/>
          </w:tcPr>
          <w:p>
            <w:r>
              <w:t>3, 9</w:t>
            </w:r>
          </w:p>
        </w:tc>
      </w:tr>
      <w:tr>
        <w:tc>
          <w:tcPr>
            <w:tcW w:type="dxa" w:w="2880"/>
          </w:tcPr>
          <w:p>
            <w:r>
              <w:t>Transport (</w:t>
            </w:r>
            <w:r>
              <w:rPr>
                <w:i/>
              </w:rPr>
              <w:t>Transport</w:t>
            </w:r>
            <w:r>
              <w:t>)</w:t>
            </w:r>
          </w:p>
        </w:tc>
        <w:tc>
          <w:tcPr>
            <w:tcW w:type="dxa" w:w="2880"/>
          </w:tcPr>
          <w:p>
            <w:r>
              <w:t>Export/Import, Pakete</w:t>
            </w:r>
          </w:p>
        </w:tc>
        <w:tc>
          <w:tcPr>
            <w:tcW w:type="dxa" w:w="2880"/>
          </w:tcPr>
          <w:p>
            <w:r>
              <w:t>11</w:t>
            </w:r>
          </w:p>
        </w:tc>
      </w:tr>
      <w:tr>
        <w:tc>
          <w:tcPr>
            <w:tcW w:type="dxa" w:w="2880"/>
          </w:tcPr>
          <w:p>
            <w:r>
              <w:t>System (</w:t>
            </w:r>
            <w:r>
              <w:rPr>
                <w:i/>
              </w:rPr>
              <w:t>System</w:t>
            </w:r>
            <w:r>
              <w:t>)</w:t>
            </w:r>
          </w:p>
        </w:tc>
        <w:tc>
          <w:tcPr>
            <w:tcW w:type="dxa" w:w="2880"/>
          </w:tcPr>
          <w:p>
            <w:r>
              <w:t>Konfiguration, Administration, Info</w:t>
            </w:r>
          </w:p>
        </w:tc>
        <w:tc>
          <w:tcPr>
            <w:tcW w:type="dxa" w:w="2880"/>
          </w:tcPr>
          <w:p>
            <w:r>
              <w:t>3</w:t>
            </w:r>
          </w:p>
        </w:tc>
      </w:tr>
    </w:tbl>
    <w:p>
      <w:r>
        <w:rPr>
          <w:b/>
        </w:rPr>
        <w:t>Zum Katalog:</w:t>
      </w:r>
      <w:r>
        <w:t xml:space="preserve"> Mit der Einführung von SAP Business Data Cloud hat SAP die früher getrennten Einträge Katalog (</w:t>
      </w:r>
      <w:r>
        <w:rPr>
          <w:i/>
        </w:rPr>
        <w:t>Catalog</w:t>
      </w:r>
      <w:r>
        <w:t>) und Datenmarktplatz (</w:t>
      </w:r>
      <w:r>
        <w:rPr>
          <w:i/>
        </w:rPr>
        <w:t>Data Marketplace</w:t>
      </w:r>
      <w:r>
        <w:t xml:space="preserve">) zu einem Eintrag </w:t>
      </w:r>
      <w:r>
        <w:rPr>
          <w:i/>
        </w:rPr>
        <w:t>Catalog &amp; Marketplace</w:t>
      </w:r>
      <w:r>
        <w:t xml:space="preserve"> zusammengelegt (Catalog Tools and Features; SAP-Community-Beitrag „Catalog and Data Marketplace Convergence“, Februar 2025). Ältere Mandanten oder Dokumentationsstände zeigen eventuell noch die getrennten Einträge. ⚠ abhängig von Lizenz/Freischaltung.</w:t>
      </w:r>
    </w:p>
    <w:p>
      <w:pPr>
        <w:pStyle w:val="Heading3"/>
      </w:pPr>
      <w:r>
        <w:t>2.3.3 Arbeitsbereich und Eigenschaftsbereich</w:t>
      </w:r>
    </w:p>
    <w:p>
      <w:r>
        <w:t>Im Arbeitsbereich öffnet sich die gewählte Anwendung. Startseiten von Anwendungen wie dem Datenbaustein bestehen meist aus einer Objektliste mit Werkzeugleiste (siehe 2.4.7). Editoren bestehen meist aus drei Teilen:</w:t>
      </w:r>
    </w:p>
    <w:p>
      <w:pPr>
        <w:pStyle w:val="ListBullet"/>
      </w:pPr>
      <w:r>
        <w:t>einer Werkzeugleiste oben (Speichern, Bereitstellen, Analysewerkzeuge),</w:t>
      </w:r>
    </w:p>
    <w:p>
      <w:pPr>
        <w:pStyle w:val="ListBullet"/>
      </w:pPr>
      <w:r>
        <w:t>einer Arbeitsfläche (</w:t>
      </w:r>
      <w:r>
        <w:rPr>
          <w:i/>
        </w:rPr>
        <w:t>Canvas</w:t>
      </w:r>
      <w:r>
        <w:t>) bzw. einem Code-Editor in der Mitte,</w:t>
      </w:r>
    </w:p>
    <w:p>
      <w:pPr>
        <w:pStyle w:val="ListBullet"/>
      </w:pPr>
      <w:r>
        <w:t>einem Eigenschaftsbereich rechts mit allgemeinen Eigenschaften, Status und Spalten- bzw. Attributlisten.</w:t>
      </w:r>
    </w:p>
    <w:p>
      <w:r>
        <w:t>Wie die einzelnen Editoren genau aufgebaut sind, beschreiben Kapitel 6 und 7.</w:t>
      </w:r>
    </w:p>
    <w:p>
      <w:pPr>
        <w:pStyle w:val="Heading2"/>
      </w:pPr>
      <w:r>
        <w:t>2.4 Funktionen</w:t>
      </w:r>
    </w:p>
    <w:p>
      <w:pPr>
        <w:pStyle w:val="Heading3"/>
      </w:pPr>
      <w:r>
        <w:t>2.4.1 Startseite (Home)</w:t>
      </w:r>
    </w:p>
    <w:p>
      <w:r>
        <w:rPr>
          <w:b/>
        </w:rPr>
        <w:t>Was:</w:t>
      </w:r>
      <w:r>
        <w:t xml:space="preserve"> Die Startseite ist anpassbar. Laut SAP zeigt sie zuletzt bearbeitete Objekte, Datenintegrationsaufgaben und Blogbeiträge zu SAP Datasphere (Getting Started with SAP Datasphere, Abschnitt „The SAP Datasphere Homepage“). </w:t>
      </w:r>
      <w:r>
        <w:rPr>
          <w:b/>
        </w:rPr>
        <w:t>Wofür:</w:t>
      </w:r>
      <w:r>
        <w:t xml:space="preserve"> Schneller Wiedereinstieg in laufende Arbeit und Überblick über den Stand der Datenintegration. </w:t>
      </w:r>
      <w:r>
        <w:rPr>
          <w:b/>
        </w:rPr>
        <w:t>Optionen:</w:t>
      </w:r>
      <w:r>
        <w:t xml:space="preserve"> Sie können einzelne Kacheln bzw. Bereiche ein- oder ausblenden. Welche Kacheln es genau gibt und wie der Anpassungsdialog heißt, ist nicht verifiziert.</w:t>
      </w:r>
    </w:p>
    <w:p>
      <w:pPr>
        <w:pStyle w:val="Heading3"/>
      </w:pPr>
      <w:r>
        <w:t>2.4.2 Suche</w:t>
      </w:r>
    </w:p>
    <w:p>
      <w:r>
        <w:t xml:space="preserve">Die Suche in der Shell-Leiste findet Objekte und Inhalte über Anwendungen und Bereiche hinweg. Die Treffer hängen von den Berechtigungen des Benutzers ab. Wie weit die Suche genau reicht (Objekttypen, Katalog-Assets, Hilfeinhalte) und wie die Trefferliste aufgebaut ist, ist </w:t>
      </w:r>
      <w:r>
        <w:rPr>
          <w:b/>
        </w:rPr>
        <w:t>nicht verifiziert</w:t>
      </w:r>
      <w:r>
        <w:t>. Die fachliche Suche im Katalog beschreibt Kapitel 8.</w:t>
      </w:r>
    </w:p>
    <w:p>
      <w:pPr>
        <w:pStyle w:val="Heading3"/>
      </w:pPr>
      <w:r>
        <w:t>2.4.3 Benachrichtigungen (Notifications)</w:t>
      </w:r>
    </w:p>
    <w:p>
      <w:r>
        <w:t>Über das Benachrichtigungssymbol in der Shell-Leiste sehen Sie Systemmeldungen. Dazu gehören zum Beispiel Ergebnisse von Hintergrundvorgängen wie Bereitstellungen oder Importen. Nach SAP lässt sich in den persönlichen Einstellungen einschalten, dass Systembenachrichtigungen zusätzlich per E-Mail kommen (Changing SAP Datasphere Settings).</w:t>
      </w:r>
    </w:p>
    <w:p>
      <w:r>
        <w:t>Davon getrennt sind die E-Mail-Benachrichtigungen bestimmter Werkzeuge. Replikationsflüsse (</w:t>
      </w:r>
      <w:r>
        <w:rPr>
          <w:i/>
        </w:rPr>
        <w:t>Replication Flows</w:t>
      </w:r>
      <w:r>
        <w:t>) und Aufgabenketten (</w:t>
      </w:r>
      <w:r>
        <w:rPr>
          <w:i/>
        </w:rPr>
        <w:t>Task Chains</w:t>
      </w:r>
      <w:r>
        <w:t>) lassen sich so einrichten, dass sie über erfolgreiche oder fehlgeschlagene Läufe informieren (siehe Kapitel 6 und 10). Welche Ereignistypen im Benachrichtigungsbereich erscheinen, ist nicht verifiziert.</w:t>
      </w:r>
    </w:p>
    <w:p>
      <w:pPr>
        <w:pStyle w:val="Heading3"/>
      </w:pPr>
      <w:r>
        <w:t>2.4.4 Hilfe und Neuerungen (Help, What's New)</w:t>
      </w:r>
    </w:p>
    <w:p>
      <w:pPr>
        <w:pStyle w:val="ListBullet"/>
      </w:pPr>
      <w:r>
        <w:rPr>
          <w:b/>
        </w:rPr>
        <w:t>Kontexthilfe:</w:t>
      </w:r>
      <w:r>
        <w:t xml:space="preserve"> Das Fragezeichen oben rechts öffnet die integrierte Hilfe. Sie zeigt eine Kurzbeschreibung des aktuellen Bilds und verlinkt auf die ausführliche Dokumentation (Getting Started with SAP Datasphere).</w:t>
      </w:r>
    </w:p>
    <w:p>
      <w:pPr>
        <w:pStyle w:val="ListBullet"/>
      </w:pPr>
      <w:r>
        <w:rPr>
          <w:b/>
        </w:rPr>
        <w:t>Neuerungen:</w:t>
      </w:r>
      <w:r>
        <w:t xml:space="preserve"> Informationen zu neuen Funktionen gibt es über die Hilfe und im „What's New Viewer“ auf help.sap.com. SAP erklärt den Zugang zu Neuerungen und Hilfe in einem eigenen Video („Where to Find What's New Information and Help: SAP Datasphere“, März 2025).</w:t>
      </w:r>
    </w:p>
    <w:p>
      <w:pPr>
        <w:pStyle w:val="ListBullet"/>
      </w:pPr>
      <w:r>
        <w:rPr>
          <w:b/>
        </w:rPr>
        <w:t>Weitere Inhalte:</w:t>
      </w:r>
      <w:r>
        <w:t xml:space="preserve"> Die Dokumentation unterscheidet zwischen offizieller Produktdokumentation und zusätzlichen Support-Inhalten (</w:t>
      </w:r>
      <w:r>
        <w:rPr>
          <w:i/>
        </w:rPr>
        <w:t>Support Content</w:t>
      </w:r>
      <w:r>
        <w:t>). Letztere gelten nicht als Dokumentation im Sinne der SAP-Geschäftsbedingungen.</w:t>
      </w:r>
    </w:p>
    <w:p>
      <w:r>
        <w:t xml:space="preserve">Ob es im Produkt einen eigenen Einstieg „Help Center“ gibt und wie er heißt, ist </w:t>
      </w:r>
      <w:r>
        <w:rPr>
          <w:b/>
        </w:rPr>
        <w:t>nicht verifiziert</w:t>
      </w:r>
      <w:r>
        <w:t>.</w:t>
      </w:r>
    </w:p>
    <w:p>
      <w:pPr>
        <w:pStyle w:val="Heading3"/>
      </w:pPr>
      <w:r>
        <w:t>2.4.5 Profil und Einstellungen (Settings)</w:t>
      </w:r>
    </w:p>
    <w:p>
      <w:r>
        <w:rPr>
          <w:b/>
        </w:rPr>
        <w:t>Aufruf:</w:t>
      </w:r>
      <w:r>
        <w:t xml:space="preserve"> Benutzersymbol in der Shell-Leiste → Einstellungen (</w:t>
      </w:r>
      <w:r>
        <w:rPr>
          <w:i/>
        </w:rPr>
        <w:t>Settings</w:t>
      </w:r>
      <w:r>
        <w:t>). Hier steuern Sie verschiedene Aspekte der Bedienung und legen Einwilligungen zu Datenschutz und Aufgabenplanung fest (Changing SAP Datasphere Settings).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Einstellungsgruppe</w:t>
            </w:r>
          </w:p>
        </w:tc>
        <w:tc>
          <w:tcPr>
            <w:tcW w:type="dxa" w:w="2880"/>
          </w:tcPr>
          <w:p>
            <w:r>
              <w:rPr>
                <w:b/>
              </w:rPr>
              <w:t>Inhalt</w:t>
            </w:r>
          </w:p>
        </w:tc>
        <w:tc>
          <w:tcPr>
            <w:tcW w:type="dxa" w:w="2880"/>
          </w:tcPr>
          <w:p>
            <w:r>
              <w:rPr>
                <w:b/>
              </w:rPr>
              <w:t>Belegstatus</w:t>
            </w:r>
          </w:p>
        </w:tc>
      </w:tr>
      <w:tr>
        <w:tc>
          <w:tcPr>
            <w:tcW w:type="dxa" w:w="2880"/>
          </w:tcPr>
          <w:p>
            <w:r>
              <w:t>Sprache (</w:t>
            </w:r>
            <w:r>
              <w:rPr>
                <w:i/>
              </w:rPr>
              <w:t>Language</w:t>
            </w:r>
            <w:r>
              <w:t>)</w:t>
            </w:r>
          </w:p>
        </w:tc>
        <w:tc>
          <w:tcPr>
            <w:tcW w:type="dxa" w:w="2880"/>
          </w:tcPr>
          <w:p>
            <w:r>
              <w:t>Sprache der Oberfläche</w:t>
            </w:r>
          </w:p>
        </w:tc>
        <w:tc>
          <w:tcPr>
            <w:tcW w:type="dxa" w:w="2880"/>
          </w:tcPr>
          <w:p>
            <w:r>
              <w:t>Gruppe belegt, Optionsliste nicht verifiziert</w:t>
            </w:r>
          </w:p>
        </w:tc>
      </w:tr>
      <w:tr>
        <w:tc>
          <w:tcPr>
            <w:tcW w:type="dxa" w:w="2880"/>
          </w:tcPr>
          <w:p>
            <w:r>
              <w:t>Datenzugriffssprache (</w:t>
            </w:r>
            <w:r>
              <w:rPr>
                <w:i/>
              </w:rPr>
              <w:t>Data Access Language</w:t>
            </w:r>
            <w:r>
              <w:t>)</w:t>
            </w:r>
          </w:p>
        </w:tc>
        <w:tc>
          <w:tcPr>
            <w:tcW w:type="dxa" w:w="2880"/>
          </w:tcPr>
          <w:p>
            <w:r>
              <w:t>Sprache, in der sprachabhängige Texte und Beschreibungen aus den Daten gelesen werden</w:t>
            </w:r>
          </w:p>
        </w:tc>
        <w:tc>
          <w:tcPr>
            <w:tcW w:type="dxa" w:w="2880"/>
          </w:tcPr>
          <w:p>
            <w:r>
              <w:t>nicht verifiziert</w:t>
            </w:r>
          </w:p>
        </w:tc>
      </w:tr>
      <w:tr>
        <w:tc>
          <w:tcPr>
            <w:tcW w:type="dxa" w:w="2880"/>
          </w:tcPr>
          <w:p>
            <w:r>
              <w:t>Datums- und Zeitformate</w:t>
            </w:r>
          </w:p>
        </w:tc>
        <w:tc>
          <w:tcPr>
            <w:tcW w:type="dxa" w:w="2880"/>
          </w:tcPr>
          <w:p>
            <w:r>
              <w:t>Anzeige von Datum und Uhrzeit</w:t>
            </w:r>
          </w:p>
        </w:tc>
        <w:tc>
          <w:tcPr>
            <w:tcW w:type="dxa" w:w="2880"/>
          </w:tcPr>
          <w:p>
            <w:r>
              <w:t>nicht verifiziert</w:t>
            </w:r>
          </w:p>
        </w:tc>
      </w:tr>
      <w:tr>
        <w:tc>
          <w:tcPr>
            <w:tcW w:type="dxa" w:w="2880"/>
          </w:tcPr>
          <w:p>
            <w:r>
              <w:t>Zahlenformat / Skalierung</w:t>
            </w:r>
          </w:p>
        </w:tc>
        <w:tc>
          <w:tcPr>
            <w:tcW w:type="dxa" w:w="2880"/>
          </w:tcPr>
          <w:p>
            <w:r>
              <w:t>Systemstandard, kurz (k, m, bn) oder lang (Thousand, Million, Billion)</w:t>
            </w:r>
          </w:p>
        </w:tc>
        <w:tc>
          <w:tcPr>
            <w:tcW w:type="dxa" w:w="2880"/>
          </w:tcPr>
          <w:p>
            <w:r>
              <w:t>belegt</w:t>
            </w:r>
          </w:p>
        </w:tc>
      </w:tr>
      <w:tr>
        <w:tc>
          <w:tcPr>
            <w:tcW w:type="dxa" w:w="2880"/>
          </w:tcPr>
          <w:p>
            <w:r>
              <w:t>Währungsdarstellung</w:t>
            </w:r>
          </w:p>
        </w:tc>
        <w:tc>
          <w:tcPr>
            <w:tcW w:type="dxa" w:w="2880"/>
          </w:tcPr>
          <w:p>
            <w:r>
              <w:t>Anzeige der Währungssymbole</w:t>
            </w:r>
          </w:p>
        </w:tc>
        <w:tc>
          <w:tcPr>
            <w:tcW w:type="dxa" w:w="2880"/>
          </w:tcPr>
          <w:p>
            <w:r>
              <w:t>belegt</w:t>
            </w:r>
          </w:p>
        </w:tc>
      </w:tr>
      <w:tr>
        <w:tc>
          <w:tcPr>
            <w:tcW w:type="dxa" w:w="2880"/>
          </w:tcPr>
          <w:p>
            <w:r>
              <w:t>E-Mail-Benachrichtigungen</w:t>
            </w:r>
          </w:p>
        </w:tc>
        <w:tc>
          <w:tcPr>
            <w:tcW w:type="dxa" w:w="2880"/>
          </w:tcPr>
          <w:p>
            <w:r>
              <w:t>Systembenachrichtigungen zusätzlich per E-Mail</w:t>
            </w:r>
          </w:p>
        </w:tc>
        <w:tc>
          <w:tcPr>
            <w:tcW w:type="dxa" w:w="2880"/>
          </w:tcPr>
          <w:p>
            <w:r>
              <w:t>belegt</w:t>
            </w:r>
          </w:p>
        </w:tc>
      </w:tr>
      <w:tr>
        <w:tc>
          <w:tcPr>
            <w:tcW w:type="dxa" w:w="2880"/>
          </w:tcPr>
          <w:p>
            <w:r>
              <w:t>Datenschutz (</w:t>
            </w:r>
            <w:r>
              <w:rPr>
                <w:i/>
              </w:rPr>
              <w:t>Data Privacy</w:t>
            </w:r>
            <w:r>
              <w:t>)</w:t>
            </w:r>
          </w:p>
        </w:tc>
        <w:tc>
          <w:tcPr>
            <w:tcW w:type="dxa" w:w="2880"/>
          </w:tcPr>
          <w:p>
            <w:r>
              <w:t>Einwilligungsoptionen</w:t>
            </w:r>
          </w:p>
        </w:tc>
        <w:tc>
          <w:tcPr>
            <w:tcW w:type="dxa" w:w="2880"/>
          </w:tcPr>
          <w:p>
            <w:r>
              <w:t>belegt</w:t>
            </w:r>
          </w:p>
        </w:tc>
      </w:tr>
      <w:tr>
        <w:tc>
          <w:tcPr>
            <w:tcW w:type="dxa" w:w="2880"/>
          </w:tcPr>
          <w:p>
            <w:r>
              <w:t>Einwilligung zur Aufgabenplanung (</w:t>
            </w:r>
            <w:r>
              <w:rPr>
                <w:i/>
              </w:rPr>
              <w:t>Task Scheduling Consent</w:t>
            </w:r>
            <w:r>
              <w:t>)</w:t>
            </w:r>
          </w:p>
        </w:tc>
        <w:tc>
          <w:tcPr>
            <w:tcW w:type="dxa" w:w="2880"/>
          </w:tcPr>
          <w:p>
            <w:r>
              <w:t>Zustimmung, dass geplante Aufgaben im Namen des Benutzers laufen</w:t>
            </w:r>
          </w:p>
        </w:tc>
        <w:tc>
          <w:tcPr>
            <w:tcW w:type="dxa" w:w="2880"/>
          </w:tcPr>
          <w:p>
            <w:r>
              <w:t>belegt (genaue Wirkung siehe Kapitel 10)</w:t>
            </w:r>
          </w:p>
        </w:tc>
      </w:tr>
      <w:tr>
        <w:tc>
          <w:tcPr>
            <w:tcW w:type="dxa" w:w="2880"/>
          </w:tcPr>
          <w:p>
            <w:r>
              <w:t>UI-Einstellungen</w:t>
            </w:r>
          </w:p>
        </w:tc>
        <w:tc>
          <w:tcPr>
            <w:tcW w:type="dxa" w:w="2880"/>
          </w:tcPr>
          <w:p>
            <w:r>
              <w:t>z. B. Anzeige von Geschäftsname (</w:t>
            </w:r>
            <w:r>
              <w:rPr>
                <w:i/>
              </w:rPr>
              <w:t>Business Name</w:t>
            </w:r>
            <w:r>
              <w:t>) oder technischem Namen (</w:t>
            </w:r>
            <w:r>
              <w:rPr>
                <w:i/>
              </w:rPr>
              <w:t>Technical Name</w:t>
            </w:r>
            <w:r>
              <w:t>) in Editoren</w:t>
            </w:r>
          </w:p>
        </w:tc>
        <w:tc>
          <w:tcPr>
            <w:tcW w:type="dxa" w:w="2880"/>
          </w:tcPr>
          <w:p>
            <w:r>
              <w:t>nicht verifiziert</w:t>
            </w:r>
          </w:p>
        </w:tc>
      </w:tr>
    </w:tbl>
    <w:p>
      <w:r>
        <w:rPr>
          <w:b/>
        </w:rPr>
        <w:t>Hinweis:</w:t>
      </w:r>
      <w:r>
        <w:t xml:space="preserve"> Die Einwilligung zur Aufgabenplanung hat fachliche Folgen. Ohne Einwilligung laufen geplante Aufgaben, deren Eigentümer der Benutzer ist, möglicherweise nicht. Die genaue Wirkung beschreibt Kapitel 10. Ihre Gültigkeitsdauer ist nicht verifiziert.</w:t>
      </w:r>
    </w:p>
    <w:p>
      <w:pPr>
        <w:pStyle w:val="Heading3"/>
      </w:pPr>
      <w:r>
        <w:t>2.4.6 Bereichsauswahl in Anwendungen und Editoren</w:t>
      </w:r>
    </w:p>
    <w:p>
      <w:r>
        <w:t>Modellierungs- und Überwachungsanwendungen arbeiten immer im Kontext eines Bereichs (</w:t>
      </w:r>
      <w:r>
        <w:rPr>
          <w:i/>
        </w:rPr>
        <w:t>Space</w:t>
      </w:r>
      <w:r>
        <w:t>). Dazu gehören der Datenbaustein, der Business Builder, die Datenzugriffskontrollen, der Datenintegrationsmonitor und die Verbindungen.</w:t>
      </w:r>
    </w:p>
    <w:p>
      <w:pPr>
        <w:pStyle w:val="ListBullet"/>
      </w:pPr>
      <w:r>
        <w:t>Ist ein Benutzer mehreren Bereichen zugeordnet, wählt er beim Öffnen der Anwendung einen Bereich aus.</w:t>
      </w:r>
    </w:p>
    <w:p>
      <w:pPr>
        <w:pStyle w:val="ListBullet"/>
      </w:pPr>
      <w:r>
        <w:t>Den Bereich wechseln kann er über eine Bereichsauswahl im Kopf der Anwendung.</w:t>
      </w:r>
    </w:p>
    <w:p>
      <w:r>
        <w:t xml:space="preserve">Wie diese Auswahl genau aussieht (Kachelauswahl oder Auswahlliste) und ob der zuletzt gewählte Bereich gespeichert wird, ist </w:t>
      </w:r>
      <w:r>
        <w:rPr>
          <w:b/>
        </w:rPr>
        <w:t>nicht verifiziert</w:t>
      </w:r>
      <w:r>
        <w:t>. Ohne Zuordnung zu mindestens einem Bereich sind diese Anwendungen leer bzw. nicht nutzbar. Zuordnung und Bereichsrollen beschreibt Kapitel 4.</w:t>
      </w:r>
    </w:p>
    <w:p>
      <w:pPr>
        <w:pStyle w:val="Heading3"/>
      </w:pPr>
      <w:r>
        <w:t>2.4.7 Objektlisten</w:t>
      </w:r>
    </w:p>
    <w:p>
      <w:r>
        <w:t>Die Startseiten der Modellierungsanwendungen zeigen die Objekte des gewählten Bereichs als Liste. Dazu gehören vor allem der Datenbaustein und der Business Builder, laut aktuellen Ständen auch ein spaceübergreifender Repository-Explorer. Üblich sind:</w:t>
      </w:r>
    </w:p>
    <w:p>
      <w:pPr>
        <w:pStyle w:val="ListBullet"/>
      </w:pPr>
      <w:r>
        <w:t>Spalten wie Geschäftsname, technischer Name, Typ, Status, geändert von/am (nicht verifiziert),</w:t>
      </w:r>
    </w:p>
    <w:p>
      <w:pPr>
        <w:pStyle w:val="ListBullet"/>
      </w:pPr>
      <w:r>
        <w:t>Filter nach Objekttyp und Status sowie eine Suche in der Liste,</w:t>
      </w:r>
    </w:p>
    <w:p>
      <w:pPr>
        <w:pStyle w:val="ListBullet"/>
      </w:pPr>
      <w:r>
        <w:t>Mehrfachauswahl für Sammelaktionen wie Bereitstellen, Löschen, Exportieren oder Freigeben,</w:t>
      </w:r>
    </w:p>
    <w:p>
      <w:pPr>
        <w:pStyle w:val="ListBullet"/>
      </w:pPr>
      <w:r>
        <w:t>Einstieg in die Anlage neuer Objekte.</w:t>
      </w:r>
    </w:p>
    <w:p>
      <w:r>
        <w:t xml:space="preserve">Welche Spalten und Sammelaktionen es genau gibt, ist </w:t>
      </w:r>
      <w:r>
        <w:rPr>
          <w:b/>
        </w:rPr>
        <w:t>nicht verifiziert</w:t>
      </w:r>
      <w:r>
        <w:t>. Die objektspezifischen Aktionen beschreibt Kapitel 6.</w:t>
      </w:r>
    </w:p>
    <w:p>
      <w:pPr>
        <w:pStyle w:val="Heading3"/>
      </w:pPr>
      <w:r>
        <w:t>2.4.8 Gemeinsame UI-Muster</w:t>
      </w:r>
    </w:p>
    <w:p>
      <w:pPr>
        <w:pStyle w:val="Heading4"/>
      </w:pPr>
      <w:r>
        <w:t>2.4.8.1 Objektstatus und Bereitstellungsstatus</w:t>
      </w:r>
    </w:p>
    <w:p>
      <w:r>
        <w:t>Jedes Modellierungsobjekt hat einen Bereitstellungsstatus (</w:t>
      </w:r>
      <w:r>
        <w:rPr>
          <w:i/>
        </w:rPr>
        <w:t>Deployment Status</w:t>
      </w:r>
      <w:r>
        <w:t>). Er steht im Eigenschaftsbereich des Editors und in der Objektliste. In der Dokumentation belegt sind diese Werte (Saving and Deploying Objects; Process Source Changes in a Graphical View):</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Bedeutung</w:t>
            </w:r>
          </w:p>
        </w:tc>
      </w:tr>
      <w:tr>
        <w:tc>
          <w:tcPr>
            <w:tcW w:type="dxa" w:w="4320"/>
          </w:tcPr>
          <w:p>
            <w:r>
              <w:t>Nicht bereitgestellt (</w:t>
            </w:r>
            <w:r>
              <w:rPr>
                <w:i/>
              </w:rPr>
              <w:t>Not Deployed</w:t>
            </w:r>
            <w:r>
              <w:t>)</w:t>
            </w:r>
          </w:p>
        </w:tc>
        <w:tc>
          <w:tcPr>
            <w:tcW w:type="dxa" w:w="4320"/>
          </w:tcPr>
          <w:p>
            <w:r>
              <w:t>Das Objekt wurde nie bereitgestellt und existiert nur als Design-Time-Artefakt.</w:t>
            </w:r>
          </w:p>
        </w:tc>
      </w:tr>
      <w:tr>
        <w:tc>
          <w:tcPr>
            <w:tcW w:type="dxa" w:w="4320"/>
          </w:tcPr>
          <w:p>
            <w:r>
              <w:t>Bereitgestellt (</w:t>
            </w:r>
            <w:r>
              <w:rPr>
                <w:i/>
              </w:rPr>
              <w:t>Deployed</w:t>
            </w:r>
            <w:r>
              <w:t>)</w:t>
            </w:r>
          </w:p>
        </w:tc>
        <w:tc>
          <w:tcPr>
            <w:tcW w:type="dxa" w:w="4320"/>
          </w:tcPr>
          <w:p>
            <w:r>
              <w:t>Die aktuelle Version ist zur Laufzeit verfügbar.</w:t>
            </w:r>
          </w:p>
        </w:tc>
      </w:tr>
      <w:tr>
        <w:tc>
          <w:tcPr>
            <w:tcW w:type="dxa" w:w="4320"/>
          </w:tcPr>
          <w:p>
            <w:r>
              <w:t>Änderungen bereitzustellen (</w:t>
            </w:r>
            <w:r>
              <w:rPr>
                <w:i/>
              </w:rPr>
              <w:t>Changes to Deploy</w:t>
            </w:r>
            <w:r>
              <w:t>)</w:t>
            </w:r>
          </w:p>
        </w:tc>
        <w:tc>
          <w:tcPr>
            <w:tcW w:type="dxa" w:w="4320"/>
          </w:tcPr>
          <w:p>
            <w:r>
              <w:t>Es gibt gespeicherte Änderungen, die noch nicht bereitgestellt sind.</w:t>
            </w:r>
          </w:p>
        </w:tc>
      </w:tr>
      <w:tr>
        <w:tc>
          <w:tcPr>
            <w:tcW w:type="dxa" w:w="4320"/>
          </w:tcPr>
          <w:p>
            <w:r>
              <w:t>Design-Time-Fehler (</w:t>
            </w:r>
            <w:r>
              <w:rPr>
                <w:i/>
              </w:rPr>
              <w:t>Design-Time Error</w:t>
            </w:r>
            <w:r>
              <w:t>)</w:t>
            </w:r>
          </w:p>
        </w:tc>
        <w:tc>
          <w:tcPr>
            <w:tcW w:type="dxa" w:w="4320"/>
          </w:tcPr>
          <w:p>
            <w:r>
              <w:t>Gespeicherte, aber noch nicht bereitgestellte Änderungen an einer Quelle erzeugen einen Fehler im abhängigen Objekt.</w:t>
            </w:r>
          </w:p>
        </w:tc>
      </w:tr>
    </w:tbl>
    <w:p>
      <w:r>
        <w:t xml:space="preserve">Es gibt weitere Status, zum Beispiel für Laufzeitfehler oder laufende Bereitstellungen. Diese sind </w:t>
      </w:r>
      <w:r>
        <w:rPr>
          <w:b/>
        </w:rPr>
        <w:t>nicht verifiziert</w:t>
      </w:r>
      <w:r>
        <w:t>.</w:t>
      </w:r>
    </w:p>
    <w:p>
      <w:pPr>
        <w:pStyle w:val="Heading4"/>
      </w:pPr>
      <w:r>
        <w:t>2.4.8.2 Speichern und Bereitstellen (Save, Deploy)</w:t>
      </w:r>
    </w:p>
    <w:p>
      <w:r>
        <w:t>Speichern legt die Design-Time-Definition ab. Erst das Bereitstellen erzeugt die Laufzeitobjekte in der Datenbank. Damit die Laufzeit konsistent bleibt, prüft SAP Datasphere beim Bereitstellen die Herkunft (</w:t>
      </w:r>
      <w:r>
        <w:rPr>
          <w:i/>
        </w:rPr>
        <w:t>Lineage</w:t>
      </w:r>
      <w:r>
        <w:t xml:space="preserve">) des Objekts. Dabei stellt es alle Objekte mit bereit, die noch nicht den Status </w:t>
      </w:r>
      <w:r>
        <w:rPr>
          <w:i/>
        </w:rPr>
        <w:t>Deployed</w:t>
      </w:r>
      <w:r>
        <w:t xml:space="preserve"> haben (Saving and Deploying Objects).</w:t>
      </w:r>
    </w:p>
    <w:p>
      <w:r>
        <w:t>Objekte werden im CSN-Format gespeichert. Eine CSN-Datei darf höchstens 25 MB groß sein. Bei sehr komplexen Views mit vielen Quellen oder Spalten kann das beim Speichern oder Transportieren zu Problemen führen (Creating a Graphical View).</w:t>
      </w:r>
    </w:p>
    <w:p>
      <w:r>
        <w:t>Bestimmte Objekte lassen sich nur unter Bedingungen bereitstellen. Aufgabenketten zum Beispiel lassen sich mit nicht verbundenen Knoten speichern, aber erst bereitstellen und ausführen, wenn alle Knoten verbunden sind (Creating a Task Chain).</w:t>
      </w:r>
    </w:p>
    <w:p>
      <w:pPr>
        <w:pStyle w:val="Heading4"/>
      </w:pPr>
      <w:r>
        <w:t>2.4.8.3 Freigabe-Kennzeichen (Shared)</w:t>
      </w:r>
    </w:p>
    <w:p>
      <w:r>
        <w:t xml:space="preserve">Tabellen und Views lassen sich für andere Bereiche freigeben (siehe Kapitel 4 und 6). Freigegebene Objekte erscheinen im Zielbereich als Quellen. Sie sind gekennzeichnet, etwa durch ein Freigabesymbol und den Namen des Quellbereichs. Diese Darstellung ist </w:t>
      </w:r>
      <w:r>
        <w:rPr>
          <w:b/>
        </w:rPr>
        <w:t>nicht verifiziert</w:t>
      </w:r>
      <w:r>
        <w:t>. Ein dokumentierter Sonderfall zeigt die Grenzen von Freigaben: Eine freigegebene View lässt sich unter Umständen nicht bereitstellen, wenn sie auf Zeittabellen (SAP.TIME) verweist, die nur im Ursprungsbereich angelegt wurden (SAP-KBA 3396532).</w:t>
      </w:r>
    </w:p>
    <w:p>
      <w:pPr>
        <w:pStyle w:val="Heading4"/>
      </w:pPr>
      <w:r>
        <w:t>2.4.8.4 Auswirkungs- und Herkunftsanalyse (Impact and Lineage Analysis)</w:t>
      </w:r>
    </w:p>
    <w:p>
      <w:r>
        <w:t>Das Diagramm zur Auswirkungs- und Herkunftsanalyse zeigt die Herkunft (</w:t>
      </w:r>
      <w:r>
        <w:rPr>
          <w:i/>
        </w:rPr>
        <w:t>Lineage</w:t>
      </w:r>
      <w:r>
        <w:t>) eines gewählten Objekts oder einzelner seiner Spalten. Es zeigt außerdem die Auswirkungen (</w:t>
      </w:r>
      <w:r>
        <w:rPr>
          <w:i/>
        </w:rPr>
        <w:t>Impacts</w:t>
      </w:r>
      <w:r>
        <w:t>), also die abhängigen Objekte, die von Änderungen betroffen wären (Impact and Lineage Analysis). Sie öffnen es aus den Editoren und Objektlisten der Modellierungsanwendungen. Wie der Einstieg genau beschriftet ist, ist nicht verifiziert. Wie Sie im Diagramm arbeiten, beschreibt Kapitel 6.</w:t>
      </w:r>
    </w:p>
    <w:p>
      <w:pPr>
        <w:pStyle w:val="Heading3"/>
      </w:pPr>
      <w:r>
        <w:t>2.4.9 Tastatur und Barrierefreiheit</w:t>
      </w:r>
    </w:p>
    <w:p>
      <w:r>
        <w:t xml:space="preserve">Die Oberfläche von SAP Datasphere baut auf SAP-UI-Technologie auf. Die allgemeinen Tastaturkonventionen von SAPUI5/SAP Fiori sind dokumentiert, etwa Tab-Navigation, sichtbarer Fokus und Tastenkombinationen in Listen. Für SAP Datasphere selbst wurde jedoch </w:t>
      </w:r>
      <w:r>
        <w:rPr>
          <w:b/>
        </w:rPr>
        <w:t>keine</w:t>
      </w:r>
      <w:r>
        <w:t xml:space="preserve"> eigene Seite mit Tastenkombinationen oder Barrierefreiheitseinstellungen gefunden. Schalter wie „Erweiterte Bildschirmleser-Unterstützung“ sind für andere SAP-Cloud-Produkte belegt. Für SAP Datasphere sind sie </w:t>
      </w:r>
      <w:r>
        <w:rPr>
          <w:b/>
        </w:rPr>
        <w:t>nicht verifiziert</w:t>
      </w:r>
      <w:r>
        <w:t xml:space="preserve"> und dürfen hier nicht als vorhanden gelten.</w:t>
      </w:r>
    </w:p>
    <w:p>
      <w:pPr>
        <w:pStyle w:val="Heading2"/>
      </w:pPr>
      <w:r>
        <w:t>2.5 Typische Abläufe</w:t>
      </w:r>
    </w:p>
    <w:p>
      <w:r>
        <w:rPr>
          <w:b/>
        </w:rPr>
        <w:t>Ablauf A – Persönliche Einstellungen anpassen</w:t>
      </w:r>
    </w:p>
    <w:p>
      <w:pPr>
        <w:pStyle w:val="ListNumber"/>
      </w:pPr>
      <w:r>
        <w:t>Klicken Sie in der Shell-Leiste auf das Benutzersymbol.</w:t>
      </w:r>
    </w:p>
    <w:p>
      <w:pPr>
        <w:pStyle w:val="ListNumber"/>
      </w:pPr>
      <w:r>
        <w:t xml:space="preserve">Wählen Sie </w:t>
      </w:r>
      <w:r>
        <w:rPr>
          <w:i/>
        </w:rPr>
        <w:t>Settings</w:t>
      </w:r>
      <w:r>
        <w:t>.</w:t>
      </w:r>
    </w:p>
    <w:p>
      <w:pPr>
        <w:pStyle w:val="ListNumber"/>
      </w:pPr>
      <w:r>
        <w:t>Legen Sie Sprache, Formate und Zahlenskalierung fest (kurz, lang oder Systemstandard).</w:t>
      </w:r>
    </w:p>
    <w:p>
      <w:pPr>
        <w:pStyle w:val="ListNumber"/>
      </w:pPr>
      <w:r>
        <w:t>Aktivieren Sie bei Bedarf E-Mail-Benachrichtigungen.</w:t>
      </w:r>
    </w:p>
    <w:p>
      <w:pPr>
        <w:pStyle w:val="ListNumber"/>
      </w:pPr>
      <w:r>
        <w:t>Prüfen Sie die Einwilligungen zu Datenschutz und Aufgabenplanung.</w:t>
      </w:r>
    </w:p>
    <w:p>
      <w:pPr>
        <w:pStyle w:val="ListNumber"/>
      </w:pPr>
      <w:r>
        <w:t>Speichern Sie. Die genaue Beschriftung der Schaltfläche ist nicht verifiziert.</w:t>
      </w:r>
    </w:p>
    <w:p>
      <w:r>
        <w:rPr>
          <w:b/>
        </w:rPr>
        <w:t>Ablauf B – Objekt finden und bearbeiten</w:t>
      </w:r>
    </w:p>
    <w:p>
      <w:pPr>
        <w:pStyle w:val="ListNumber"/>
      </w:pPr>
      <w:r>
        <w:t>Öffnen Sie in der Seitenleiste die gewünschte Anwendung, zum Beispiel den Datenbaustein.</w:t>
      </w:r>
    </w:p>
    <w:p>
      <w:pPr>
        <w:pStyle w:val="ListNumber"/>
      </w:pPr>
      <w:r>
        <w:t>Wählen Sie den Bereich (</w:t>
      </w:r>
      <w:r>
        <w:rPr>
          <w:i/>
        </w:rPr>
        <w:t>Space</w:t>
      </w:r>
      <w:r>
        <w:t>) aus.</w:t>
      </w:r>
    </w:p>
    <w:p>
      <w:pPr>
        <w:pStyle w:val="ListNumber"/>
      </w:pPr>
      <w:r>
        <w:t>Grenzen Sie die Objektliste mit Filter oder Suche ein.</w:t>
      </w:r>
    </w:p>
    <w:p>
      <w:pPr>
        <w:pStyle w:val="ListNumber"/>
      </w:pPr>
      <w:r>
        <w:t>Öffnen Sie das Objekt und prüfen Sie im Eigenschaftsbereich den Bereitstellungsstatus.</w:t>
      </w:r>
    </w:p>
    <w:p>
      <w:pPr>
        <w:pStyle w:val="ListNumber"/>
      </w:pPr>
      <w:r>
        <w:t>Nehmen Sie Ihre Änderungen vor, speichern Sie, und stellen Sie das Objekt anschließend bereit.</w:t>
      </w:r>
    </w:p>
    <w:p>
      <w:r>
        <w:rPr>
          <w:b/>
        </w:rPr>
        <w:t>Ablauf C – Auswirkungen vor einer Änderung prüfen</w:t>
      </w:r>
    </w:p>
    <w:p>
      <w:pPr>
        <w:pStyle w:val="ListNumber"/>
      </w:pPr>
      <w:r>
        <w:t>Öffnen Sie das Objekt.</w:t>
      </w:r>
    </w:p>
    <w:p>
      <w:pPr>
        <w:pStyle w:val="ListNumber"/>
      </w:pPr>
      <w:r>
        <w:t>Starten Sie die Auswirkungs- und Herkunftsanalyse.</w:t>
      </w:r>
    </w:p>
    <w:p>
      <w:pPr>
        <w:pStyle w:val="ListNumber"/>
      </w:pPr>
      <w:r>
        <w:t>Prüfen Sie die abhängigen Objekte.</w:t>
      </w:r>
    </w:p>
    <w:p>
      <w:pPr>
        <w:pStyle w:val="ListNumber"/>
      </w:pPr>
      <w:r>
        <w:t>Stimmen Sie die Änderung mit den Verantwortlichen der betroffenen Objekte ab.</w:t>
      </w:r>
    </w:p>
    <w:p>
      <w:pPr>
        <w:pStyle w:val="Heading2"/>
      </w:pPr>
      <w:r>
        <w:t>2.6 Abhängigkeiten, Grenzen, Hinweise</w:t>
      </w:r>
    </w:p>
    <w:p>
      <w:pPr>
        <w:pStyle w:val="ListBullet"/>
      </w:pPr>
      <w:r>
        <w:rPr>
          <w:b/>
        </w:rPr>
        <w:t>Rollenabhängige Sicht:</w:t>
      </w:r>
      <w:r>
        <w:t xml:space="preserve"> Fehlende Einträge in der Seitenleiste deuten fast immer auf fehlende Privilegien hin, nicht auf einen Fehler (siehe Kapitel 3 und 9).</w:t>
      </w:r>
    </w:p>
    <w:p>
      <w:pPr>
        <w:pStyle w:val="ListBullet"/>
      </w:pPr>
      <w:r>
        <w:rPr>
          <w:b/>
        </w:rPr>
        <w:t>Bereichskontext:</w:t>
      </w:r>
      <w:r>
        <w:t xml:space="preserve"> Modellierungsanwendungen funktionieren nur mit Zuordnung zu einem Bereich (siehe Kapitel 4).</w:t>
      </w:r>
    </w:p>
    <w:p>
      <w:pPr>
        <w:pStyle w:val="ListBullet"/>
      </w:pPr>
      <w:r>
        <w:rPr>
          <w:b/>
        </w:rPr>
        <w:t>Releasewechsel:</w:t>
      </w:r>
      <w:r>
        <w:t xml:space="preserve"> Einträge und Gruppen in der Seitenleiste (z. B. </w:t>
      </w:r>
      <w:r>
        <w:rPr>
          <w:i/>
        </w:rPr>
        <w:t>Catalog &amp; Marketplace</w:t>
      </w:r>
      <w:r>
        <w:t>) ändern sich mit der Produktentwicklung. Prüfen Sie Screenshots und Schulungsunterlagen nach jedem Quartalsrelease.</w:t>
      </w:r>
    </w:p>
    <w:p>
      <w:pPr>
        <w:pStyle w:val="ListBullet"/>
      </w:pPr>
      <w:r>
        <w:rPr>
          <w:b/>
        </w:rPr>
        <w:t>SAP Business Data Cloud:</w:t>
      </w:r>
      <w:r>
        <w:t xml:space="preserve"> In Mandanten, die zu SAP Business Data Cloud gehören, können zusätzliche oder umbenannte Einstiege erscheinen. ⚠ abhängig von Lizenz/Freischaltung.</w:t>
      </w:r>
    </w:p>
    <w:p>
      <w:pPr>
        <w:pStyle w:val="ListBullet"/>
      </w:pPr>
      <w:r>
        <w:rPr>
          <w:b/>
        </w:rPr>
        <w:t>Bereitstellen hat Kettenwirkung:</w:t>
      </w:r>
      <w:r>
        <w:t xml:space="preserve"> Weil beim Bereitstellen die Herkunft mit bereitgestellt wird, kann ein einzelner Vorgang weitere Objekte verändern.</w:t>
      </w:r>
    </w:p>
    <w:p>
      <w:pPr>
        <w:pStyle w:val="Heading2"/>
      </w:pPr>
      <w:r>
        <w:t>2.7 Übersicht: Funktion – Zweck – benötigtes 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Benötigtes Privileg</w:t>
            </w:r>
          </w:p>
        </w:tc>
      </w:tr>
      <w:tr>
        <w:tc>
          <w:tcPr>
            <w:tcW w:type="dxa" w:w="2880"/>
          </w:tcPr>
          <w:p>
            <w:r>
              <w:t>Startseite</w:t>
            </w:r>
          </w:p>
        </w:tc>
        <w:tc>
          <w:tcPr>
            <w:tcW w:type="dxa" w:w="2880"/>
          </w:tcPr>
          <w:p>
            <w:r>
              <w:t>Einstieg, zuletzt bearbeitete Objekte, Aufgaben</w:t>
            </w:r>
          </w:p>
        </w:tc>
        <w:tc>
          <w:tcPr>
            <w:tcW w:type="dxa" w:w="2880"/>
          </w:tcPr>
          <w:p>
            <w:r>
              <w:t>jede Rolle mit Zugang zur Oberfläche (nicht verifiziert)</w:t>
            </w:r>
          </w:p>
        </w:tc>
      </w:tr>
      <w:tr>
        <w:tc>
          <w:tcPr>
            <w:tcW w:type="dxa" w:w="2880"/>
          </w:tcPr>
          <w:p>
            <w:r>
              <w:t>Einstellungen</w:t>
            </w:r>
          </w:p>
        </w:tc>
        <w:tc>
          <w:tcPr>
            <w:tcW w:type="dxa" w:w="2880"/>
          </w:tcPr>
          <w:p>
            <w:r>
              <w:t>persönliche Darstellung, Einwilligungen</w:t>
            </w:r>
          </w:p>
        </w:tc>
        <w:tc>
          <w:tcPr>
            <w:tcW w:type="dxa" w:w="2880"/>
          </w:tcPr>
          <w:p>
            <w:r>
              <w:t>kein besonderes Privileg (nicht verifiziert)</w:t>
            </w:r>
          </w:p>
        </w:tc>
      </w:tr>
      <w:tr>
        <w:tc>
          <w:tcPr>
            <w:tcW w:type="dxa" w:w="2880"/>
          </w:tcPr>
          <w:p>
            <w:r>
              <w:t>Hilfe / Neuerungen</w:t>
            </w:r>
          </w:p>
        </w:tc>
        <w:tc>
          <w:tcPr>
            <w:tcW w:type="dxa" w:w="2880"/>
          </w:tcPr>
          <w:p>
            <w:r>
              <w:t>Kontexthilfe, Dokumentation</w:t>
            </w:r>
          </w:p>
        </w:tc>
        <w:tc>
          <w:tcPr>
            <w:tcW w:type="dxa" w:w="2880"/>
          </w:tcPr>
          <w:p>
            <w:r>
              <w:t>keines</w:t>
            </w:r>
          </w:p>
        </w:tc>
      </w:tr>
      <w:tr>
        <w:tc>
          <w:tcPr>
            <w:tcW w:type="dxa" w:w="2880"/>
          </w:tcPr>
          <w:p>
            <w:r>
              <w:t>Benachrichtigungen</w:t>
            </w:r>
          </w:p>
        </w:tc>
        <w:tc>
          <w:tcPr>
            <w:tcW w:type="dxa" w:w="2880"/>
          </w:tcPr>
          <w:p>
            <w:r>
              <w:t>Systemmeldungen, optional per E-Mail</w:t>
            </w:r>
          </w:p>
        </w:tc>
        <w:tc>
          <w:tcPr>
            <w:tcW w:type="dxa" w:w="2880"/>
          </w:tcPr>
          <w:p>
            <w:r>
              <w:t>keines (nicht verifiziert)</w:t>
            </w:r>
          </w:p>
        </w:tc>
      </w:tr>
      <w:tr>
        <w:tc>
          <w:tcPr>
            <w:tcW w:type="dxa" w:w="2880"/>
          </w:tcPr>
          <w:p>
            <w:r>
              <w:t>Seitenleiste – Anwendungen</w:t>
            </w:r>
          </w:p>
        </w:tc>
        <w:tc>
          <w:tcPr>
            <w:tcW w:type="dxa" w:w="2880"/>
          </w:tcPr>
          <w:p>
            <w:r>
              <w:t>Zugriff auf die Anwendungen</w:t>
            </w:r>
          </w:p>
        </w:tc>
        <w:tc>
          <w:tcPr>
            <w:tcW w:type="dxa" w:w="2880"/>
          </w:tcPr>
          <w:p>
            <w:r>
              <w:t>je Anwendung eigene Privilegien, siehe „Privileges by App, Tool, Object, and Task“ (Kapitel 3/9)</w:t>
            </w:r>
          </w:p>
        </w:tc>
      </w:tr>
      <w:tr>
        <w:tc>
          <w:tcPr>
            <w:tcW w:type="dxa" w:w="2880"/>
          </w:tcPr>
          <w:p>
            <w:r>
              <w:t>Bereichsauswahl</w:t>
            </w:r>
          </w:p>
        </w:tc>
        <w:tc>
          <w:tcPr>
            <w:tcW w:type="dxa" w:w="2880"/>
          </w:tcPr>
          <w:p>
            <w:r>
              <w:t>Arbeitskontext festlegen</w:t>
            </w:r>
          </w:p>
        </w:tc>
        <w:tc>
          <w:tcPr>
            <w:tcW w:type="dxa" w:w="2880"/>
          </w:tcPr>
          <w:p>
            <w:r>
              <w:t>Zuordnung zum Bereich (Kapitel 4)</w:t>
            </w:r>
          </w:p>
        </w:tc>
      </w:tr>
      <w:tr>
        <w:tc>
          <w:tcPr>
            <w:tcW w:type="dxa" w:w="2880"/>
          </w:tcPr>
          <w:p>
            <w:r>
              <w:t>Speichern / Bereitstellen</w:t>
            </w:r>
          </w:p>
        </w:tc>
        <w:tc>
          <w:tcPr>
            <w:tcW w:type="dxa" w:w="2880"/>
          </w:tcPr>
          <w:p>
            <w:r>
              <w:t>Design-Time bzw. Laufzeit erzeugen</w:t>
            </w:r>
          </w:p>
        </w:tc>
        <w:tc>
          <w:tcPr>
            <w:tcW w:type="dxa" w:w="2880"/>
          </w:tcPr>
          <w:p>
            <w:r>
              <w:t>Modellierungsprivilegien des Datenbausteins bzw. Business Builders (Kapitel 6/7, Bezeichnungen nicht verifiziert)</w:t>
            </w:r>
          </w:p>
        </w:tc>
      </w:tr>
      <w:tr>
        <w:tc>
          <w:tcPr>
            <w:tcW w:type="dxa" w:w="2880"/>
          </w:tcPr>
          <w:p>
            <w:r>
              <w:t>Auswirkungs- und Herkunftsanalyse</w:t>
            </w:r>
          </w:p>
        </w:tc>
        <w:tc>
          <w:tcPr>
            <w:tcW w:type="dxa" w:w="2880"/>
          </w:tcPr>
          <w:p>
            <w:r>
              <w:t>Abhängigkeiten analysieren</w:t>
            </w:r>
          </w:p>
        </w:tc>
        <w:tc>
          <w:tcPr>
            <w:tcW w:type="dxa" w:w="2880"/>
          </w:tcPr>
          <w:p>
            <w:r>
              <w:t>Leserecht auf die Objekte (nicht verifiziert)</w:t>
            </w:r>
          </w:p>
        </w:tc>
      </w:tr>
    </w:tbl>
    <w:p>
      <w:pPr>
        <w:pStyle w:val="Heading1"/>
      </w:pPr>
      <w:r>
        <w:t>3. Administration (Systemkonfiguration, Benutzer, Rollen)</w:t>
      </w:r>
    </w:p>
    <w:p>
      <w:pPr>
        <w:pStyle w:val="Heading2"/>
      </w:pPr>
      <w:r>
        <w:t>3.1 Zweck und Einordnung</w:t>
      </w:r>
    </w:p>
    <w:p>
      <w:r>
        <w:t>Die Administration bündelt alle mandantenweiten Einstellungen (</w:t>
      </w:r>
      <w:r>
        <w:rPr>
          <w:i/>
        </w:rPr>
        <w:t>tenant</w:t>
      </w:r>
      <w:r>
        <w:t>) von SAP Datasphere. Laut SAP-Dokumentation sind Benutzer mit einer Administratorrolle für folgende Aufgaben zuständig:</w:t>
      </w:r>
    </w:p>
    <w:p>
      <w:pPr>
        <w:pStyle w:val="ListBullet"/>
      </w:pPr>
      <w:r>
        <w:t>Benutzer und Rollen verwalten,</w:t>
      </w:r>
    </w:p>
    <w:p>
      <w:pPr>
        <w:pStyle w:val="ListBullet"/>
      </w:pPr>
      <w:r>
        <w:t>die Konnektivität für die Datenintegration vorbereiten,</w:t>
      </w:r>
    </w:p>
    <w:p>
      <w:pPr>
        <w:pStyle w:val="ListBullet"/>
      </w:pPr>
      <w:r>
        <w:t>Bereiche (</w:t>
      </w:r>
      <w:r>
        <w:rPr>
          <w:i/>
        </w:rPr>
        <w:t>Spaces</w:t>
      </w:r>
      <w:r>
        <w:t>) anlegen und ihnen Speicher zuweisen,</w:t>
      </w:r>
    </w:p>
    <w:p>
      <w:pPr>
        <w:pStyle w:val="ListBullet"/>
      </w:pPr>
      <w:r>
        <w:t>den Mandanten überwachen und warten.</w:t>
      </w:r>
    </w:p>
    <w:p>
      <w:r>
        <w:t>Wie der Mandant bereitgestellt wird, steuert die Administration nicht. Das geschieht entweder als Teil einer SAP-Business-Data-Cloud-Formation (</w:t>
      </w:r>
      <w:r>
        <w:rPr>
          <w:i/>
        </w:rPr>
        <w:t>formation</w:t>
      </w:r>
      <w:r>
        <w:t>) in SAP for Me oder über das SAP BTP Cockpit. Die Größe des Mandanten (</w:t>
      </w:r>
      <w:r>
        <w:rPr>
          <w:i/>
        </w:rPr>
        <w:t>Tenant Sizing</w:t>
      </w:r>
      <w:r>
        <w:t>) wird dagegen immer in SAP Datasphere selbst festgelegt, unabhängig vom Bereitstellungsweg.</w:t>
      </w:r>
    </w:p>
    <w:p>
      <w:r>
        <w:t>Abgrenzung zu anderen Kapiteln:</w:t>
      </w:r>
    </w:p>
    <w:p>
      <w:pPr>
        <w:pStyle w:val="ListBullet"/>
      </w:pPr>
      <w:r>
        <w:t>Das Anlegen und Konfigurieren einzelner Spaces beschreibt Kapitel 4.</w:t>
      </w:r>
    </w:p>
    <w:p>
      <w:pPr>
        <w:pStyle w:val="ListBullet"/>
      </w:pPr>
      <w:r>
        <w:t>Verbindungen und Agenten beschreibt Kapitel 5.</w:t>
      </w:r>
    </w:p>
    <w:p>
      <w:pPr>
        <w:pStyle w:val="ListBullet"/>
      </w:pPr>
      <w:r>
        <w:t>Datenzugriffskontrollen (</w:t>
      </w:r>
      <w:r>
        <w:rPr>
          <w:i/>
        </w:rPr>
        <w:t>Data Access Controls</w:t>
      </w:r>
      <w:r>
        <w:t>) und das übergreifende Sicherheitskonzept beschreibt Kapitel 9.</w:t>
      </w:r>
    </w:p>
    <w:p>
      <w:pPr>
        <w:pStyle w:val="ListBullet"/>
      </w:pPr>
      <w:r>
        <w:t>Die Überwachungswerkzeuge beschreibt Kapitel 10.</w:t>
      </w:r>
    </w:p>
    <w:p>
      <w:r>
        <w:t>Dieses Kapitel deckt die Werkzeuge der Gruppen System (</w:t>
      </w:r>
      <w:r>
        <w:rPr>
          <w:i/>
        </w:rPr>
        <w:t>System</w:t>
      </w:r>
      <w:r>
        <w:t>) und Sicherheit (</w:t>
      </w:r>
      <w:r>
        <w:rPr>
          <w:i/>
        </w:rPr>
        <w:t>Security</w:t>
      </w:r>
      <w:r>
        <w:t>) in der Seitenleiste ab.</w:t>
      </w:r>
    </w:p>
    <w:p>
      <w:pPr>
        <w:pStyle w:val="Heading2"/>
      </w:pPr>
      <w:r>
        <w:t>3.2 Aufruf und Navigation</w:t>
      </w:r>
    </w:p>
    <w:p>
      <w:r>
        <w:t>Die Administrationswerkzeuge erreichen Sie über die Seitenleiste (Aufbau siehe Kapitel 2). Laut der SAP-Seite „Administration Apps and Tools“ gibt es dort zwei Gruppen: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Gruppe in der Seitenleiste</w:t>
            </w:r>
          </w:p>
        </w:tc>
        <w:tc>
          <w:tcPr>
            <w:tcW w:type="dxa" w:w="2880"/>
          </w:tcPr>
          <w:p>
            <w:r>
              <w:rPr>
                <w:b/>
              </w:rPr>
              <w:t>Einträge</w:t>
            </w:r>
          </w:p>
        </w:tc>
        <w:tc>
          <w:tcPr>
            <w:tcW w:type="dxa" w:w="2880"/>
          </w:tcPr>
          <w:p>
            <w:r>
              <w:rPr>
                <w:b/>
              </w:rPr>
              <w:t>Zweck</w:t>
            </w:r>
          </w:p>
        </w:tc>
      </w:tr>
      <w:tr>
        <w:tc>
          <w:tcPr>
            <w:tcW w:type="dxa" w:w="2880"/>
          </w:tcPr>
          <w:p>
            <w:r>
              <w:t>System (</w:t>
            </w:r>
            <w:r>
              <w:rPr>
                <w:i/>
              </w:rPr>
              <w:t>System</w:t>
            </w:r>
            <w:r>
              <w:t>)</w:t>
            </w:r>
          </w:p>
        </w:tc>
        <w:tc>
          <w:tcPr>
            <w:tcW w:type="dxa" w:w="2880"/>
          </w:tcPr>
          <w:p>
            <w:r>
              <w:t>Konfiguration (</w:t>
            </w:r>
            <w:r>
              <w:rPr>
                <w:i/>
              </w:rPr>
              <w:t>Configuration</w:t>
            </w:r>
            <w:r>
              <w:t>), Administration (</w:t>
            </w:r>
            <w:r>
              <w:rPr>
                <w:i/>
              </w:rPr>
              <w:t>Administration</w:t>
            </w:r>
            <w:r>
              <w:t>), Info (</w:t>
            </w:r>
            <w:r>
              <w:rPr>
                <w:i/>
              </w:rPr>
              <w:t>About</w:t>
            </w:r>
            <w:r>
              <w:t>)</w:t>
            </w:r>
          </w:p>
        </w:tc>
        <w:tc>
          <w:tcPr>
            <w:tcW w:type="dxa" w:w="2880"/>
          </w:tcPr>
          <w:p>
            <w:r>
              <w:t>Mandantenweite technische Einstellungen, Größe, Protokolle, Identitätsanbieter, Systeminformationen</w:t>
            </w:r>
          </w:p>
        </w:tc>
      </w:tr>
      <w:tr>
        <w:tc>
          <w:tcPr>
            <w:tcW w:type="dxa" w:w="2880"/>
          </w:tcPr>
          <w:p>
            <w:r>
              <w:t>Sicherheit (</w:t>
            </w:r>
            <w:r>
              <w:rPr>
                <w:i/>
              </w:rPr>
              <w:t>Security</w:t>
            </w:r>
            <w:r>
              <w:t>)</w:t>
            </w:r>
          </w:p>
        </w:tc>
        <w:tc>
          <w:tcPr>
            <w:tcW w:type="dxa" w:w="2880"/>
          </w:tcPr>
          <w:p>
            <w:r>
              <w:t>Benutzer (</w:t>
            </w:r>
            <w:r>
              <w:rPr>
                <w:i/>
              </w:rPr>
              <w:t>Users</w:t>
            </w:r>
            <w:r>
              <w:t>), Rollen (</w:t>
            </w:r>
            <w:r>
              <w:rPr>
                <w:i/>
              </w:rPr>
              <w:t>Roles</w:t>
            </w:r>
            <w:r>
              <w:t>), Berechtigungsübersicht (</w:t>
            </w:r>
            <w:r>
              <w:rPr>
                <w:i/>
              </w:rPr>
              <w:t>Authorization Overview</w:t>
            </w:r>
            <w:r>
              <w:t>), Aktivitäten (</w:t>
            </w:r>
            <w:r>
              <w:rPr>
                <w:i/>
              </w:rPr>
              <w:t>Activities</w:t>
            </w:r>
            <w:r>
              <w:t>)</w:t>
            </w:r>
          </w:p>
        </w:tc>
        <w:tc>
          <w:tcPr>
            <w:tcW w:type="dxa" w:w="2880"/>
          </w:tcPr>
          <w:p>
            <w:r>
              <w:t>Benutzer anlegen und verwalten, Rollen zuweisen, Berechtigungen auswerten, Aktivitäten nachverfolgen</w:t>
            </w:r>
          </w:p>
        </w:tc>
      </w:tr>
    </w:tbl>
    <w:p>
      <w:r>
        <w:rPr>
          <w:b/>
        </w:rPr>
        <w:t>Benötigte Rollen</w:t>
      </w:r>
    </w:p>
    <w:p>
      <w:pPr>
        <w:pStyle w:val="ListBullet"/>
      </w:pPr>
      <w:r>
        <w:t xml:space="preserve">Für fast alle Funktionen dieses Kapitels brauchen Sie eine globale Administratorrolle: die Standardrolle </w:t>
      </w:r>
      <w:r>
        <w:rPr>
          <w:i/>
        </w:rPr>
        <w:t>DW Administrator</w:t>
      </w:r>
      <w:r>
        <w:t xml:space="preserve"> oder eine benutzerdefinierte Rolle mit den entsprechenden Privilegien.</w:t>
      </w:r>
    </w:p>
    <w:p>
      <w:pPr>
        <w:pStyle w:val="ListBullet"/>
      </w:pPr>
      <w:r>
        <w:t>Einige Funktionen sind dem Systemverantwortlichen (</w:t>
      </w:r>
      <w:r>
        <w:rPr>
          <w:i/>
        </w:rPr>
        <w:t>System Owner</w:t>
      </w:r>
      <w:r>
        <w:t>) vorbehalten. Dazu gehört insbesondere die Einrichtung eines eigenen SAML-Identitätsanbieters (siehe 3.6).</w:t>
      </w:r>
    </w:p>
    <w:p>
      <w:pPr>
        <w:pStyle w:val="ListBullet"/>
      </w:pPr>
      <w:r>
        <w:t>Welche Einzelprivilegien jede Registerkarte genau erfordert, ist nicht vollständig verifiziert (siehe Tabelle 3.8).</w:t>
      </w:r>
    </w:p>
    <w:p>
      <w:pPr>
        <w:pStyle w:val="Heading2"/>
      </w:pPr>
      <w:r>
        <w:t>3.3 System → Konfiguration (Configuration)</w:t>
      </w:r>
    </w:p>
    <w:p>
      <w:pPr>
        <w:pStyle w:val="Heading3"/>
      </w:pPr>
      <w:r>
        <w:t>3.3.1 Aufbau der Oberfläche</w:t>
      </w:r>
    </w:p>
    <w:p>
      <w:r>
        <w:t>Die Seite Konfiguration besteht aus mehreren Registerkarten. Jede Karte enthält ein eigenes Formular oder eine Liste mit Bearbeitungs- und Speicherfunktionen.</w:t>
      </w:r>
    </w:p>
    <w:p>
      <w:pPr>
        <w:pStyle w:val="ListBullet"/>
      </w:pPr>
      <w:r>
        <w:rPr>
          <w:b/>
        </w:rPr>
        <w:t>Belegt</w:t>
      </w:r>
      <w:r>
        <w:t xml:space="preserve"> sind die Karten bzw. Bereiche Audit (</w:t>
      </w:r>
      <w:r>
        <w:rPr>
          <w:i/>
        </w:rPr>
        <w:t>Audit</w:t>
      </w:r>
      <w:r>
        <w:t>), Sicherheit (</w:t>
      </w:r>
      <w:r>
        <w:rPr>
          <w:i/>
        </w:rPr>
        <w:t>Security</w:t>
      </w:r>
      <w:r>
        <w:t>), Systeminformationen (</w:t>
      </w:r>
      <w:r>
        <w:rPr>
          <w:i/>
        </w:rPr>
        <w:t>System Information</w:t>
      </w:r>
      <w:r>
        <w:t>) und der Bereich zur Verwaltung der Aufgabenprotokolle.</w:t>
      </w:r>
    </w:p>
    <w:p>
      <w:pPr>
        <w:pStyle w:val="ListBullet"/>
      </w:pPr>
      <w:r>
        <w:rPr>
          <w:b/>
        </w:rPr>
        <w:t>Nicht verifiziert</w:t>
      </w:r>
      <w:r>
        <w:t xml:space="preserve"> sind die genaue Reihenfolge und die Beschriftung aller übrigen Karten, darunter Mandantenkonfiguration (</w:t>
      </w:r>
      <w:r>
        <w:rPr>
          <w:i/>
        </w:rPr>
        <w:t>Tenant Configuration</w:t>
      </w:r>
      <w:r>
        <w:t>), Arbeitslastverwaltung (</w:t>
      </w:r>
      <w:r>
        <w:rPr>
          <w:i/>
        </w:rPr>
        <w:t>Workload Management</w:t>
      </w:r>
      <w:r>
        <w:t>), Datenintegration (</w:t>
      </w:r>
      <w:r>
        <w:rPr>
          <w:i/>
        </w:rPr>
        <w:t>Data Integration</w:t>
      </w:r>
      <w:r>
        <w:t>), IP-Zulassungsliste (</w:t>
      </w:r>
      <w:r>
        <w:rPr>
          <w:i/>
        </w:rPr>
        <w:t>IP Allowlist</w:t>
      </w:r>
      <w:r>
        <w:t>) und Mandantenverknüpfungen (</w:t>
      </w:r>
      <w:r>
        <w:rPr>
          <w:i/>
        </w:rPr>
        <w:t>Tenant Links</w:t>
      </w:r>
      <w:r>
        <w:t>).</w:t>
      </w:r>
    </w:p>
    <w:p>
      <w:r>
        <w:t>SAP passt diese Registerkarten quartalsweise an. Die Karte im eigenen Mandanten ist daher maßgeblich.</w:t>
      </w:r>
    </w:p>
    <w:p>
      <w:pPr>
        <w:pStyle w:val="Heading3"/>
      </w:pPr>
      <w:r>
        <w:t>3.3.2 Mandantenkonfiguration und Speicherzuweisung (Tenant Configuration)</w:t>
      </w:r>
    </w:p>
    <w:p>
      <w:r>
        <w:rPr>
          <w:b/>
        </w:rPr>
        <w:t>Was:</w:t>
      </w:r>
      <w:r>
        <w:t xml:space="preserve"> Hier legen Sie die Größe des Mandanten fest, also die Ressourcen, die Sie nach Ihrem Bedarf angeben. Für Speicher und Rechenleistung werden Kapazitätseinheiten (</w:t>
      </w:r>
      <w:r>
        <w:rPr>
          <w:i/>
        </w:rPr>
        <w:t>Capacity Units</w:t>
      </w:r>
      <w:r>
        <w:t>, CU) zugewiesen.</w:t>
      </w:r>
    </w:p>
    <w:p>
      <w:r>
        <w:rPr>
          <w:b/>
        </w:rPr>
        <w:t>Wofür:</w:t>
      </w:r>
      <w:r>
        <w:t xml:space="preserve"> Die Größe lässt sich für abonnementbasierte Mandanten und für verbrauchsbasierte Mandanten mit Standardplan konfigurieren. Die Konfiguration umfasst Speicher (</w:t>
      </w:r>
      <w:r>
        <w:rPr>
          <w:i/>
        </w:rPr>
        <w:t>Storage</w:t>
      </w:r>
      <w:r>
        <w:t>), Arbeitsspeicher (</w:t>
      </w:r>
      <w:r>
        <w:rPr>
          <w:i/>
        </w:rPr>
        <w:t>Memory</w:t>
      </w:r>
      <w:r>
        <w:t>), Rechenressourcen (</w:t>
      </w:r>
      <w:r>
        <w:rPr>
          <w:i/>
        </w:rPr>
        <w:t>Compute</w:t>
      </w:r>
      <w:r>
        <w:t>) und weitere verfügbare Kapazitätsoptionen.</w:t>
      </w:r>
    </w:p>
    <w:p>
      <w:r>
        <w:rPr>
          <w:b/>
        </w:rPr>
        <w:t>Wichtigste Optionen:</w:t>
      </w:r>
    </w:p>
    <w:p>
      <w:pPr>
        <w:pStyle w:val="ListBullet"/>
      </w:pPr>
      <w:r>
        <w:t>Dimensionierung von Speicher und Arbeitsspeicher der Datenbank.</w:t>
      </w:r>
    </w:p>
    <w:p>
      <w:pPr>
        <w:pStyle w:val="ListBullet"/>
      </w:pPr>
      <w:r>
        <w:t xml:space="preserve">Zusatzoptionen. Welche das genau sind, ist für diese Fassung </w:t>
      </w:r>
      <w:r>
        <w:rPr>
          <w:b/>
        </w:rPr>
        <w:t>nicht verifiziert</w:t>
      </w:r>
      <w:r>
        <w:t>. Nach Produktkenntnis gehören dazu etwa Data Lake, elastische Rechenknoten (</w:t>
      </w:r>
      <w:r>
        <w:rPr>
          <w:i/>
        </w:rPr>
        <w:t>Elastic Compute Nodes</w:t>
      </w:r>
      <w:r>
        <w:t>), Kapazität für Datenintegration und Premium-Ausgangsintegration, SAP BW Bridge und Katalog. ⚠ abhängig von Lizenz/Freischaltung.</w:t>
      </w:r>
    </w:p>
    <w:p>
      <w:pPr>
        <w:pStyle w:val="ListBullet"/>
      </w:pPr>
      <w:r>
        <w:t>Die Anzeige der verbrauchten und verfügbaren CU dient zugleich als Lizenz- und Kapazitätsanzeige im Mandanten (siehe 3.5.2).</w:t>
      </w:r>
    </w:p>
    <w:p>
      <w:r>
        <w:rPr>
          <w:b/>
        </w:rPr>
        <w:t>Hinweis:</w:t>
      </w:r>
      <w:r>
        <w:t xml:space="preserve"> Wie Sie den zugewiesenen Speicher auf einzelne Spaces verteilen, beschreibt Kapitel 4. Ob sich eine einmal erhöhte Größe wieder verringern lässt und wie lange eine Größenänderung dauert, ist </w:t>
      </w:r>
      <w:r>
        <w:rPr>
          <w:b/>
        </w:rPr>
        <w:t>nicht verifiziert</w:t>
      </w:r>
      <w:r>
        <w:t>.</w:t>
      </w:r>
    </w:p>
    <w:p>
      <w:pPr>
        <w:pStyle w:val="Heading3"/>
      </w:pPr>
      <w:r>
        <w:t>3.3.3 Arbeitslastverwaltung (Workload Management)</w:t>
      </w:r>
    </w:p>
    <w:p>
      <w:r>
        <w:rPr>
          <w:b/>
        </w:rPr>
        <w:t>Was:</w:t>
      </w:r>
      <w:r>
        <w:t xml:space="preserve"> Hier steuern Sie Prioritäten und Anweisungslimits (</w:t>
      </w:r>
      <w:r>
        <w:rPr>
          <w:i/>
        </w:rPr>
        <w:t>statement limits</w:t>
      </w:r>
      <w:r>
        <w:t>) für Datenbankabfragen.</w:t>
      </w:r>
    </w:p>
    <w:p>
      <w:r>
        <w:rPr>
          <w:b/>
        </w:rPr>
        <w:t>Wofür:</w:t>
      </w:r>
      <w:r>
        <w:t xml:space="preserve"> Sie verhindern, dass einzelne Spaces sich gegenseitig Ressourcen entziehen.</w:t>
      </w:r>
    </w:p>
    <w:p>
      <w:r>
        <w:rPr>
          <w:b/>
        </w:rPr>
        <w:t>Optionen:</w:t>
      </w:r>
    </w:p>
    <w:p>
      <w:pPr>
        <w:pStyle w:val="ListBullet"/>
      </w:pPr>
      <w:r>
        <w:t>Standardmäßig setzen Sie Priorität und Anweisungslimits je Space. Alternativ geht das je Gruppe.</w:t>
      </w:r>
    </w:p>
    <w:p>
      <w:pPr>
        <w:pStyle w:val="ListBullet"/>
      </w:pPr>
      <w:r>
        <w:t>Für jeden neu angelegten Space erscheint auf der Seite Arbeitslastverwaltung eine neue Zeile mit Standardpriorität und Standardlimits.</w:t>
      </w:r>
    </w:p>
    <w:p>
      <w:pPr>
        <w:pStyle w:val="ListBullet"/>
      </w:pPr>
      <w:r>
        <w:t xml:space="preserve">Die Werteskala der Space-Priorität (1 = niedrigste bis 8 = höchste) stammt nur aus einem Community-Beitrag und ist auf help.sap.com </w:t>
      </w:r>
      <w:r>
        <w:rPr>
          <w:b/>
        </w:rPr>
        <w:t>nicht verifiziert</w:t>
      </w:r>
      <w:r>
        <w:t>.</w:t>
      </w:r>
    </w:p>
    <w:p>
      <w:pPr>
        <w:pStyle w:val="Heading3"/>
      </w:pPr>
      <w:r>
        <w:t>3.3.4 Audit (Audit)</w:t>
      </w:r>
    </w:p>
    <w:p>
      <w:r>
        <w:rPr>
          <w:b/>
        </w:rPr>
        <w:t>Was:</w:t>
      </w:r>
      <w:r>
        <w:t xml:space="preserve"> Mandantenweite Verwaltung der Prüfprotokolle (</w:t>
      </w:r>
      <w:r>
        <w:rPr>
          <w:i/>
        </w:rPr>
        <w:t>audit logs</w:t>
      </w:r>
      <w:r>
        <w:t>).</w:t>
      </w:r>
    </w:p>
    <w:p>
      <w:r>
        <w:rPr>
          <w:b/>
        </w:rPr>
        <w:t>Wofür:</w:t>
      </w:r>
      <w:r>
        <w:t xml:space="preserve"> Space-Administratoren aktivieren in ihrem Space die Protokollierung von Lese- und/oder Änderungsaktionen (siehe Kapitel 4). Administratoren erhalten unter Audit einen Überblick über diese Protokolle und können sie löschen, zum Beispiel um Plattenspeicher freizugeben.</w:t>
      </w:r>
    </w:p>
    <w:p>
      <w:r>
        <w:rPr>
          <w:b/>
        </w:rPr>
        <w:t>Optionen:</w:t>
      </w:r>
    </w:p>
    <w:p>
      <w:pPr>
        <w:pStyle w:val="ListBullet"/>
      </w:pPr>
      <w:r>
        <w:rPr>
          <w:b/>
        </w:rPr>
        <w:t>Löschen von Prüfprotokollen</w:t>
      </w:r>
      <w:r>
        <w:t xml:space="preserve"> (</w:t>
      </w:r>
      <w:r>
        <w:rPr>
          <w:i/>
        </w:rPr>
        <w:t>Audit Log Deletion</w:t>
      </w:r>
      <w:r>
        <w:t>): Für jeden Space lassen sich die Einträge zu Leseoperationen und zu Änderungsoperationen getrennt löschen. Gelöscht werden alle Einträge, die vor einem angegebenen Zeitpunkt erfasst wurden.</w:t>
      </w:r>
    </w:p>
    <w:p>
      <w:pPr>
        <w:pStyle w:val="ListBullet"/>
      </w:pPr>
      <w:r>
        <w:t>Zusätzlich können Sie die Prüfrichtlinie für Datenbank-Analysebenutzer (</w:t>
      </w:r>
      <w:r>
        <w:rPr>
          <w:i/>
        </w:rPr>
        <w:t>DWC_ANALYSIS_USERS_AUDIT_ALL</w:t>
      </w:r>
      <w:r>
        <w:t>) auswählen.</w:t>
      </w:r>
    </w:p>
    <w:p>
      <w:pPr>
        <w:pStyle w:val="Heading3"/>
      </w:pPr>
      <w:r>
        <w:t>3.3.5 Aufbewahrung der Aufgabenprotokolle (Task Logs)</w:t>
      </w:r>
    </w:p>
    <w:p>
      <w:r>
        <w:rPr>
          <w:b/>
        </w:rPr>
        <w:t>Was:</w:t>
      </w:r>
      <w:r>
        <w:t xml:space="preserve"> Im Konfigurationsbereich sehen Sie, wie viel Speicher die Aufgabenprotokolle im Mandanten belegen.</w:t>
      </w:r>
    </w:p>
    <w:p>
      <w:r>
        <w:rPr>
          <w:b/>
        </w:rPr>
        <w:t>Wofür:</w:t>
      </w:r>
      <w:r>
        <w:t xml:space="preserve"> Veraltete Protokolle lassen sich löschen, um den Speicherverbrauch zu senken.</w:t>
      </w:r>
    </w:p>
    <w:p>
      <w:r>
        <w:rPr>
          <w:b/>
        </w:rPr>
        <w:t>Optionen:</w:t>
      </w:r>
      <w:r>
        <w:t xml:space="preserve"> Ob es eine automatische Aufbewahrungsfrist gibt und welche Zeiträume sich wählen lassen, ist </w:t>
      </w:r>
      <w:r>
        <w:rPr>
          <w:b/>
        </w:rPr>
        <w:t>nicht verifiziert</w:t>
      </w:r>
      <w:r>
        <w:t>. Die Protokolle selbst wertet man im Monitor für die Datenintegration aus (siehe Kapitel 10).</w:t>
      </w:r>
    </w:p>
    <w:p>
      <w:pPr>
        <w:pStyle w:val="Heading3"/>
      </w:pPr>
      <w:r>
        <w:t>3.3.6 Sicherheit (Security)</w:t>
      </w:r>
    </w:p>
    <w:p>
      <w:r>
        <w:rPr>
          <w:b/>
        </w:rPr>
        <w:t>Was:</w:t>
      </w:r>
      <w:r>
        <w:t xml:space="preserve"> Kennwortrichtlinie für Datenbankbenutzer (</w:t>
      </w:r>
      <w:r>
        <w:rPr>
          <w:i/>
        </w:rPr>
        <w:t>database users</w:t>
      </w:r>
      <w:r>
        <w:t>).</w:t>
      </w:r>
    </w:p>
    <w:p>
      <w:r>
        <w:rPr>
          <w:b/>
        </w:rPr>
        <w:t>Optionen:</w:t>
      </w:r>
    </w:p>
    <w:p>
      <w:pPr>
        <w:pStyle w:val="ListBullet"/>
      </w:pPr>
      <w:r>
        <w:t>Komplexitätsanforderungen,</w:t>
      </w:r>
    </w:p>
    <w:p>
      <w:pPr>
        <w:pStyle w:val="ListBullet"/>
      </w:pPr>
      <w:r>
        <w:t>Ablauffrist in Tagen; danach muss der Benutzer ein neues Kennwort festlegen,</w:t>
      </w:r>
    </w:p>
    <w:p>
      <w:pPr>
        <w:pStyle w:val="ListBullet"/>
      </w:pPr>
      <w:r>
        <w:t>Einschränkungen für die Wiederverwendung von Kennwörtern.</w:t>
      </w:r>
    </w:p>
    <w:p>
      <w:r>
        <w:rPr>
          <w:b/>
        </w:rPr>
        <w:t>Hinweis:</w:t>
      </w:r>
      <w:r>
        <w:t xml:space="preserve"> Die Richtlinie wird wirksam, sobald ein Datenbankbenutzer neu angelegt oder bearbeitet wird. Datenbankbenutzer selbst legt man im Space an (siehe Kapitel 4 und 12).</w:t>
      </w:r>
    </w:p>
    <w:p>
      <w:pPr>
        <w:pStyle w:val="Heading3"/>
      </w:pPr>
      <w:r>
        <w:t>3.3.7 Datenintegration (Data Integration)</w:t>
      </w:r>
    </w:p>
    <w:p>
      <w:r>
        <w:t xml:space="preserve">Auf dieser Registerkarte werden mandantenweite Einstellungen für die Integrationsinfrastruktur erwartet, etwa die Registrierung von On-Premise-Agenten (Data Provisioning Agent), Einstellungen für Live-Datenverbindungen und Treiber von Drittanbietern. Diese Aufzählung ist </w:t>
      </w:r>
      <w:r>
        <w:rPr>
          <w:b/>
        </w:rPr>
        <w:t>nicht verifiziert</w:t>
      </w:r>
      <w:r>
        <w:t>. Die fachliche Beschreibung der Agenten und des Cloud Connectors folgt in Kapitel 5.</w:t>
      </w:r>
    </w:p>
    <w:p>
      <w:pPr>
        <w:pStyle w:val="Heading3"/>
      </w:pPr>
      <w:r>
        <w:t>3.3.8 IP-Zulassungsliste (IP Allowlist)</w:t>
      </w:r>
    </w:p>
    <w:p>
      <w:r>
        <w:rPr>
          <w:b/>
        </w:rPr>
        <w:t>Was:</w:t>
      </w:r>
      <w:r>
        <w:t xml:space="preserve"> Hier legen Sie fest, aus welchen IPv4-Adressbereichen ein direkter Zugriff auf die Datenbank von SAP Datasphere erlaubt ist. Einzutragen ist die externe, öffentliche IPv4-Adresse bzw. der Adressbereich des Clients, der sich direkt mit der Datenbank verbindet.</w:t>
      </w:r>
    </w:p>
    <w:p>
      <w:r>
        <w:rPr>
          <w:b/>
        </w:rPr>
        <w:t>Optionen:</w:t>
      </w:r>
    </w:p>
    <w:p>
      <w:pPr>
        <w:pStyle w:val="ListBullet"/>
      </w:pPr>
      <w:r>
        <w:t>Adressen direkt eingeben oder aus einer CSV-Datei importieren,</w:t>
      </w:r>
    </w:p>
    <w:p>
      <w:pPr>
        <w:pStyle w:val="ListBullet"/>
      </w:pPr>
      <w:r>
        <w:t>die Liste exportieren.</w:t>
      </w:r>
    </w:p>
    <w:p>
      <w:r>
        <w:t>Ob es neben der Liste für Clients (</w:t>
      </w:r>
      <w:r>
        <w:rPr>
          <w:i/>
        </w:rPr>
        <w:t>Trusted IPs</w:t>
      </w:r>
      <w:r>
        <w:t>) eine zweite Liste für Cloud-Connector-Adressen (</w:t>
      </w:r>
      <w:r>
        <w:rPr>
          <w:i/>
        </w:rPr>
        <w:t>Trusted Cloud Connector IPs</w:t>
      </w:r>
      <w:r>
        <w:t xml:space="preserve">) gibt, ist </w:t>
      </w:r>
      <w:r>
        <w:rPr>
          <w:b/>
        </w:rPr>
        <w:t>nicht verifiziert</w:t>
      </w:r>
      <w:r>
        <w:t>.</w:t>
      </w:r>
    </w:p>
    <w:p>
      <w:r>
        <w:rPr>
          <w:b/>
        </w:rPr>
        <w:t>Abgrenzung:</w:t>
      </w:r>
      <w:r>
        <w:t xml:space="preserve"> Die umgekehrte Richtung, also die Adressen von SAP Datasphere, die in Remote-Systemen freigegeben werden müssen, gehört zur Konnektivität (siehe Kapitel 5).</w:t>
      </w:r>
    </w:p>
    <w:p>
      <w:pPr>
        <w:pStyle w:val="Heading3"/>
      </w:pPr>
      <w:r>
        <w:t>3.3.9 Mandantenverknüpfungen (Tenant Links)</w:t>
      </w:r>
    </w:p>
    <w:p>
      <w:r>
        <w:rPr>
          <w:b/>
        </w:rPr>
        <w:t>Was:</w:t>
      </w:r>
      <w:r>
        <w:t xml:space="preserve"> Sie können den SAP-Datasphere-Mandanten mit einem SAP-Analytics-Cloud-Mandanten verknüpfen. Dieser ist dann über den Produktumschalter (</w:t>
      </w:r>
      <w:r>
        <w:rPr>
          <w:i/>
        </w:rPr>
        <w:t>Product Switch</w:t>
      </w:r>
      <w:r>
        <w:t>) rechts in der Shell-Leiste erreichbar, und die Benutzer wechseln einfacher zwischen den Produkten. Umgekehrt können Administratoren von SAP Analytics Cloud und SAP Business Data Cloud ihrerseits Verknüpfungen auf den Mandanten anlegen.</w:t>
      </w:r>
    </w:p>
    <w:p>
      <w:r>
        <w:rPr>
          <w:b/>
        </w:rPr>
        <w:t>Hinweis:</w:t>
      </w:r>
      <w:r>
        <w:t xml:space="preserve"> Laut SAP-Hinweis (KBA 3774129) wird ab SAC QRC3 2026 das bisherige Anlegen von Verknüpfungen über die Registerkarte Tenant Links in SAP Analytics Cloud abgekündigt. Empfohlen wird eine formationsbasierte Verknüpfung. Das ist eine KBA-Quelle, nicht help.sap.com; prüfen Sie sie vor der Freigabe.</w:t>
      </w:r>
    </w:p>
    <w:p>
      <w:pPr>
        <w:pStyle w:val="Heading3"/>
      </w:pPr>
      <w:r>
        <w:t>3.3.10 Systeminformationen (System Information)</w:t>
      </w:r>
    </w:p>
    <w:p>
      <w:r>
        <w:rPr>
          <w:b/>
        </w:rPr>
        <w:t>Was:</w:t>
      </w:r>
      <w:r>
        <w:t xml:space="preserve"> Sie können eine farbige Informationsleiste einblenden, die alle Benutzer des Mandanten sehen, etwa um Test- und Produktivsysteme zu unterscheiden. Außerdem lässt sich festlegen, ob in Browser-Registerkarten, Lesezeichen, Suchergebnissen und im Verlauf das SAP- oder das Datasphere-Symbol erscheint.</w:t>
      </w:r>
    </w:p>
    <w:p>
      <w:r>
        <w:rPr>
          <w:b/>
        </w:rPr>
        <w:t>Hinweis:</w:t>
      </w:r>
      <w:r>
        <w:t xml:space="preserve"> Laut SAP-Hinweis 3802905 können diese Einstellungen je nach Plattformversion statt unter Administration → Standarddarstellung (</w:t>
      </w:r>
      <w:r>
        <w:rPr>
          <w:i/>
        </w:rPr>
        <w:t>Default Appearance</w:t>
      </w:r>
      <w:r>
        <w:t>) unter Konfiguration → Systeminformationen stehen.</w:t>
      </w:r>
    </w:p>
    <w:p>
      <w:pPr>
        <w:pStyle w:val="Heading2"/>
      </w:pPr>
      <w:r>
        <w:t>3.4 System → Administration (Administration)</w:t>
      </w:r>
    </w:p>
    <w:p>
      <w:pPr>
        <w:pStyle w:val="Heading3"/>
      </w:pPr>
      <w:r>
        <w:t>3.4.1 Zweck und Aufbau</w:t>
      </w:r>
    </w:p>
    <w:p>
      <w:r>
        <w:t>Die Seite Administration enthält plattformnahe Einstellungen, die SAP Datasphere mit SAP Analytics Cloud teilt. Laut SAP-Hinweis 2992349 gehören die Benutzerverwaltung, die Erstellung von OAuth-Clients und das Content Network zur „Plattformversion“. Belegt ist die Registerkarte Sicherheit (</w:t>
      </w:r>
      <w:r>
        <w:rPr>
          <w:i/>
        </w:rPr>
        <w:t>Security</w:t>
      </w:r>
      <w:r>
        <w:t xml:space="preserve">) mit der Wahl der Authentifizierungsmethode (siehe 3.6). Weitere Registerkarten wie Systemkonfiguration, Konfiguration von Datenquellen oder App-Integration sind für diese Fassung </w:t>
      </w:r>
      <w:r>
        <w:rPr>
          <w:b/>
        </w:rPr>
        <w:t>nicht verifiziert</w:t>
      </w:r>
      <w:r>
        <w:t>.</w:t>
      </w:r>
    </w:p>
    <w:p>
      <w:pPr>
        <w:pStyle w:val="Heading3"/>
      </w:pPr>
      <w:r>
        <w:t>3.4.2 OAuth-Clients</w:t>
      </w:r>
    </w:p>
    <w:p>
      <w:r>
        <w:t>Für technische Zugriffe, etwa die Benutzerbereitstellung über SAP Cloud Identity Services – Identity Provisioning, wird in SAP Datasphere ein OAuth-Client mit dem Gewährungstyp Client-Anmeldedaten (</w:t>
      </w:r>
      <w:r>
        <w:rPr>
          <w:i/>
        </w:rPr>
        <w:t>Client Credentials</w:t>
      </w:r>
      <w:r>
        <w:t xml:space="preserve">) angelegt. Unter welchem Menüpfad das geschieht, ist </w:t>
      </w:r>
      <w:r>
        <w:rPr>
          <w:b/>
        </w:rPr>
        <w:t>nicht verifiziert</w:t>
      </w:r>
      <w:r>
        <w:t>.</w:t>
      </w:r>
    </w:p>
    <w:p>
      <w:pPr>
        <w:pStyle w:val="Heading2"/>
      </w:pPr>
      <w:r>
        <w:t>3.5 System → Info (About) sowie Lizenz- und Kapazitätsanzeige</w:t>
      </w:r>
    </w:p>
    <w:p>
      <w:pPr>
        <w:pStyle w:val="Heading3"/>
      </w:pPr>
      <w:r>
        <w:t>3.5.1 Info-Dialog</w:t>
      </w:r>
    </w:p>
    <w:p>
      <w:r>
        <w:t xml:space="preserve">Der Eintrag Info zeigt Angaben zum Mandanten. Welche Felder er genau enthält, ist </w:t>
      </w:r>
      <w:r>
        <w:rPr>
          <w:b/>
        </w:rPr>
        <w:t>nicht verifiziert</w:t>
      </w:r>
      <w:r>
        <w:t>. Nach Produktkenntnis gehören dazu etwa Versionsstand, Mandanten- und Datenbankkennungen und lizenzbezogene Kennzahlen. Laut SAP-Hinweis 2992349 unterscheidet SAP zwischen der Datasphere-Version und einer Plattformversion. Beide Angaben sind für Supportfälle relevant.</w:t>
      </w:r>
    </w:p>
    <w:p>
      <w:pPr>
        <w:pStyle w:val="Heading3"/>
      </w:pPr>
      <w:r>
        <w:t>3.5.2 Lizenz- und Kapazitätsanzeige</w:t>
      </w:r>
    </w:p>
    <w:p>
      <w:r>
        <w:t xml:space="preserve">Die Kapazität verwalten Sie über die Mandantenkonfiguration in Kapazitätseinheiten (siehe 3.3.2). Ob es neben der CU-Anzeige eine eigene Seite mit Lizenzkennzahlen gibt, etwa die Zahl der lizenzierten Benutzer, ist </w:t>
      </w:r>
      <w:r>
        <w:rPr>
          <w:b/>
        </w:rPr>
        <w:t>nicht verifiziert</w:t>
      </w:r>
      <w:r>
        <w:t>. ⚠ abhängig von Lizenz/Freischaltung: Die angezeigten Optionen hängen vom Vertragsmodell ab (Abonnement oder Verbrauch mit Standardplan) und davon, ob die Bereitstellung über SAP Business Data Cloud erfolgt.</w:t>
      </w:r>
    </w:p>
    <w:p>
      <w:pPr>
        <w:pStyle w:val="Heading2"/>
      </w:pPr>
      <w:r>
        <w:t>3.6 Identitätsanbieter und SAML-SSO</w:t>
      </w:r>
    </w:p>
    <w:p>
      <w:pPr>
        <w:pStyle w:val="Heading3"/>
      </w:pPr>
      <w:r>
        <w:t>3.6.1 Zweck</w:t>
      </w:r>
    </w:p>
    <w:p>
      <w:r>
        <w:t>Standardmäßig authentifiziert sich ein Benutzer über den von SAP bereitgestellten Identitätsanbieter. Alternativ binden Sie einen eigenen SAML-2.0-Identitätsanbieter an, zum Beispiel Microsoft Entra ID (Azure AD) oder SAP Cloud Identity Services – Identity Authentication. Der eigene Identitätsanbieter ist eine eigenständige Lösung außerhalb von SAP Datasphere. Änderungen an seiner Konfiguration nehmen Sie deshalb dort vor.</w:t>
      </w:r>
    </w:p>
    <w:p>
      <w:pPr>
        <w:pStyle w:val="Heading3"/>
      </w:pPr>
      <w:r>
        <w:t>3.6.2 Voraussetzungen</w:t>
      </w:r>
    </w:p>
    <w:p>
      <w:pPr>
        <w:pStyle w:val="ListBullet"/>
      </w:pPr>
      <w:r>
        <w:t>Ein Identitätsanbieter, der SAML 2.0 unterstützt.</w:t>
      </w:r>
    </w:p>
    <w:p>
      <w:pPr>
        <w:pStyle w:val="ListBullet"/>
      </w:pPr>
      <w:r>
        <w:t>Die Möglichkeit, diesen Identitätsanbieter zu konfigurieren.</w:t>
      </w:r>
    </w:p>
    <w:p>
      <w:pPr>
        <w:pStyle w:val="ListBullet"/>
      </w:pPr>
      <w:r>
        <w:t>Die Rolle des Systemverantwortlichen (</w:t>
      </w:r>
      <w:r>
        <w:rPr>
          <w:i/>
        </w:rPr>
        <w:t>System Owner</w:t>
      </w:r>
      <w:r>
        <w:t>) im Mandanten.</w:t>
      </w:r>
    </w:p>
    <w:p>
      <w:pPr>
        <w:pStyle w:val="Heading3"/>
      </w:pPr>
      <w:r>
        <w:t>3.6.3 Typischer Ablauf</w:t>
      </w:r>
    </w:p>
    <w:p>
      <w:r>
        <w:t xml:space="preserve">Die einzelnen Schritte stammen teilweise aus einem SAP-Community-Beitrag. Die genauen Beschriftungen sind auf help.sap.com </w:t>
      </w:r>
      <w:r>
        <w:rPr>
          <w:b/>
        </w:rPr>
        <w:t>nicht verifiziert</w:t>
      </w:r>
      <w:r>
        <w:t>.</w:t>
      </w:r>
    </w:p>
    <w:p>
      <w:pPr>
        <w:pStyle w:val="ListNumber"/>
      </w:pPr>
      <w:r>
        <w:t>Öffnen Sie in der Seitenleiste System → Administration und dann die Registerkarte Sicherheit (</w:t>
      </w:r>
      <w:r>
        <w:rPr>
          <w:i/>
        </w:rPr>
        <w:t>Security</w:t>
      </w:r>
      <w:r>
        <w:t>).</w:t>
      </w:r>
    </w:p>
    <w:p>
      <w:pPr>
        <w:pStyle w:val="ListNumber"/>
      </w:pPr>
      <w:r>
        <w:t>Wechseln Sie in den Bearbeitungsmodus und wählen Sie als Authentifizierungsmethode SAML Single Sign-On (SSO).</w:t>
      </w:r>
    </w:p>
    <w:p>
      <w:pPr>
        <w:pStyle w:val="ListNumber"/>
      </w:pPr>
      <w:r>
        <w:t>Laden Sie die Metadaten des Dienstanbieters herunter, also des SAP-Datasphere-Mandanten.</w:t>
      </w:r>
    </w:p>
    <w:p>
      <w:pPr>
        <w:pStyle w:val="ListNumber"/>
      </w:pPr>
      <w:r>
        <w:t>Hinterlegen Sie diese Metadaten im eigenen Identitätsanbieter.</w:t>
      </w:r>
    </w:p>
    <w:p>
      <w:pPr>
        <w:pStyle w:val="ListNumber"/>
      </w:pPr>
      <w:r>
        <w:t>Laden Sie die Metadaten des Identitätsanbieters in SAP Datasphere hoch.</w:t>
      </w:r>
    </w:p>
    <w:p>
      <w:pPr>
        <w:pStyle w:val="ListNumber"/>
      </w:pPr>
      <w:r>
        <w:t>Legen Sie das Benutzerattribut für die Zuordnung fest, etwa eine benutzerdefinierte SAML-Benutzerzuordnung (</w:t>
      </w:r>
      <w:r>
        <w:rPr>
          <w:i/>
        </w:rPr>
        <w:t>Custom SAML User Mapping</w:t>
      </w:r>
      <w:r>
        <w:t>).</w:t>
      </w:r>
    </w:p>
    <w:p>
      <w:pPr>
        <w:pStyle w:val="ListNumber"/>
      </w:pPr>
      <w:r>
        <w:t>Prüfen Sie die Anmeldung mit einem Testbenutzer und schließen Sie die Umstellung ab.</w:t>
      </w:r>
    </w:p>
    <w:p>
      <w:pPr>
        <w:pStyle w:val="Heading3"/>
      </w:pPr>
      <w:r>
        <w:t>3.6.4 Hinweise</w:t>
      </w:r>
    </w:p>
    <w:p>
      <w:pPr>
        <w:pStyle w:val="ListBullet"/>
      </w:pPr>
      <w:r>
        <w:t>SAP führt die bisherige Einrichtung inzwischen als „Legacy Custom IdP“. Wie sie sich zu den neueren Varianten im Umfeld von SAP Business Data Cloud verhält, sollten Sie vor der Freigabe prüfen.</w:t>
      </w:r>
    </w:p>
    <w:p>
      <w:pPr>
        <w:pStyle w:val="ListBullet"/>
      </w:pPr>
      <w:r>
        <w:t>Läuft das Zertifikat des Identitätsanbieters ab und ist der Systemverantwortliche nicht erreichbar, muss laut SAP-Hinweis 3635337 ein Supportfall unter der Komponente DS-SEC-AUTN eröffnet werden.</w:t>
      </w:r>
    </w:p>
    <w:p>
      <w:pPr>
        <w:pStyle w:val="ListBullet"/>
      </w:pPr>
      <w:r>
        <w:t>Planen Sie die Erneuerung des Zertifikats daher rechtzeitig ein.</w:t>
      </w:r>
    </w:p>
    <w:p>
      <w:pPr>
        <w:pStyle w:val="Heading2"/>
      </w:pPr>
      <w:r>
        <w:t>3.7 Sicherheit (Security): Benutzer, Rollen, Berechtigungsübersicht, Aktivitäten</w:t>
      </w:r>
    </w:p>
    <w:p>
      <w:pPr>
        <w:pStyle w:val="Heading3"/>
      </w:pPr>
      <w:r>
        <w:t>3.7.1 Benutzer (Users)</w:t>
      </w:r>
    </w:p>
    <w:p>
      <w:r>
        <w:rPr>
          <w:b/>
        </w:rPr>
        <w:t>Was:</w:t>
      </w:r>
      <w:r>
        <w:t xml:space="preserve"> Benutzer in SAP Datasphere anlegen, ändern und verwalten und ihnen vordefinierte Standardrollen oder selbst erstellte benutzerdefinierte Rollen zuweisen.</w:t>
      </w:r>
    </w:p>
    <w:p>
      <w:r>
        <w:rPr>
          <w:b/>
        </w:rPr>
        <w:t>Aufbau:</w:t>
      </w:r>
      <w:r>
        <w:t xml:space="preserve"> Eine Benutzerliste mit Werkzeugleiste. Folgende Funktionen sind </w:t>
      </w:r>
      <w:r>
        <w:rPr>
          <w:b/>
        </w:rPr>
        <w:t>nicht verifiziert</w:t>
      </w:r>
      <w:r>
        <w:t>: Import aus CSV, Anzeige- und Filterfunktionen, Spalten für Benutzer-ID, Name, E-Mail und zugewiesene Rollen.</w:t>
      </w:r>
    </w:p>
    <w:p>
      <w:r>
        <w:rPr>
          <w:b/>
        </w:rPr>
        <w:t>Systemverantwortlicher:</w:t>
      </w:r>
      <w:r>
        <w:t xml:space="preserve"> Wer SAP Datasphere erwirbt, wird automatisch Systemverantwortlicher. Ist der Käufer nicht die richtige Person für die Administration, kann er die Rolle an eine geeignete Person übertragen.</w:t>
      </w:r>
    </w:p>
    <w:p>
      <w:pPr>
        <w:pStyle w:val="Heading3"/>
      </w:pPr>
      <w:r>
        <w:t>3.7.2 Benutzerverwaltung über SCIM 2.0</w:t>
      </w:r>
    </w:p>
    <w:p>
      <w:r>
        <w:rPr>
          <w:b/>
        </w:rPr>
        <w:t>Was:</w:t>
      </w:r>
      <w:r>
        <w:t xml:space="preserve"> SAP Datasphere bietet eine REST-Schnittstelle nach der Spezifikation System for Cross-domain Identity Management (SCIM 2.0). Darüber legen Sie Benutzer an, lesen, ändern und löschen sie und fügen sie Rollen hinzu.</w:t>
      </w:r>
    </w:p>
    <w:p>
      <w:r>
        <w:rPr>
          <w:b/>
        </w:rPr>
        <w:t>Wofür:</w:t>
      </w:r>
      <w:r>
        <w:t xml:space="preserve"> Der Mandant bleibt mit der bevorzugten Identitätsmanagement-Lösung synchron.</w:t>
      </w:r>
    </w:p>
    <w:p>
      <w:r>
        <w:rPr>
          <w:b/>
        </w:rPr>
        <w:t>Grenzen laut SAP-Hinweis 3469816 (KBA):</w:t>
      </w:r>
    </w:p>
    <w:p>
      <w:pPr>
        <w:pStyle w:val="ListBullet"/>
      </w:pPr>
      <w:r>
        <w:t>Unterstützt werden nur benutzerbezogene SCIM-Operationen.</w:t>
      </w:r>
    </w:p>
    <w:p>
      <w:pPr>
        <w:pStyle w:val="ListBullet"/>
      </w:pPr>
      <w:r>
        <w:t>Rollen lassen sich über SCIM weder anlegen noch ändern.</w:t>
      </w:r>
    </w:p>
    <w:p>
      <w:pPr>
        <w:pStyle w:val="ListBullet"/>
      </w:pPr>
      <w:r>
        <w:t>Bei Bereitstellung über SAP Cloud Identity Services – Identity Provisioning werden keine Gruppen übertragen.</w:t>
      </w:r>
    </w:p>
    <w:p>
      <w:r>
        <w:rPr>
          <w:b/>
        </w:rPr>
        <w:t>Voraussetzung für die Anbindung über Identity Provisioning:</w:t>
      </w:r>
    </w:p>
    <w:p>
      <w:pPr>
        <w:pStyle w:val="ListBullet"/>
      </w:pPr>
      <w:r>
        <w:t>ein eigener SAML-Identitätsanbieter mit benutzerdefinierter SAML-Benutzerzuordnung,</w:t>
      </w:r>
    </w:p>
    <w:p>
      <w:pPr>
        <w:pStyle w:val="ListBullet"/>
      </w:pPr>
      <w:r>
        <w:t>ein OAuth-Client mit Client-Anmeldedaten (siehe 3.4.2).</w:t>
      </w:r>
    </w:p>
    <w:p>
      <w:pPr>
        <w:pStyle w:val="Heading3"/>
      </w:pPr>
      <w:r>
        <w:t>3.7.3 Rollen (Roles)</w:t>
      </w:r>
    </w:p>
    <w:p>
      <w:r>
        <w:rPr>
          <w:b/>
        </w:rPr>
        <w:t>Rollentypen</w:t>
      </w:r>
    </w:p>
    <w:tbl>
      <w:tblPr>
        <w:tblStyle w:val="TableGrid"/>
        <w:tblW w:type="auto" w:w="0"/>
        <w:tblLook w:firstColumn="1" w:firstRow="1" w:lastColumn="0" w:lastRow="0" w:noHBand="0" w:noVBand="1" w:val="04A0"/>
      </w:tblPr>
      <w:tblGrid>
        <w:gridCol w:w="4320"/>
        <w:gridCol w:w="4320"/>
      </w:tblGrid>
      <w:tr>
        <w:tc>
          <w:tcPr>
            <w:tcW w:type="dxa" w:w="4320"/>
          </w:tcPr>
          <w:p>
            <w:r>
              <w:rPr>
                <w:b/>
              </w:rPr>
              <w:t>Rollentyp</w:t>
            </w:r>
          </w:p>
        </w:tc>
        <w:tc>
          <w:tcPr>
            <w:tcW w:type="dxa" w:w="4320"/>
          </w:tcPr>
          <w:p>
            <w:r>
              <w:rPr>
                <w:b/>
              </w:rPr>
              <w:t>Beschreibung</w:t>
            </w:r>
          </w:p>
        </w:tc>
      </w:tr>
      <w:tr>
        <w:tc>
          <w:tcPr>
            <w:tcW w:type="dxa" w:w="4320"/>
          </w:tcPr>
          <w:p>
            <w:r>
              <w:t>Standardrolle (</w:t>
            </w:r>
            <w:r>
              <w:rPr>
                <w:i/>
              </w:rPr>
              <w:t>Standard Role</w:t>
            </w:r>
            <w:r>
              <w:t>)</w:t>
            </w:r>
          </w:p>
        </w:tc>
        <w:tc>
          <w:tcPr>
            <w:tcW w:type="dxa" w:w="4320"/>
          </w:tcPr>
          <w:p>
            <w:r>
              <w:t>Wird mit SAP Datasphere ausgeliefert und enthält einen vordefinierten Satz an Privilegien und Berechtigungen. SAP empfiehlt, sie als Vorlage für benutzerdefinierte Rollen zu nutzen.</w:t>
            </w:r>
          </w:p>
        </w:tc>
      </w:tr>
      <w:tr>
        <w:tc>
          <w:tcPr>
            <w:tcW w:type="dxa" w:w="4320"/>
          </w:tcPr>
          <w:p>
            <w:r>
              <w:t>Benutzerdefinierte Rolle (</w:t>
            </w:r>
            <w:r>
              <w:rPr>
                <w:i/>
              </w:rPr>
              <w:t>Custom Role</w:t>
            </w:r>
            <w:r>
              <w:t>)</w:t>
            </w:r>
          </w:p>
        </w:tc>
        <w:tc>
          <w:tcPr>
            <w:tcW w:type="dxa" w:w="4320"/>
          </w:tcPr>
          <w:p>
            <w:r>
              <w:t>Wird auf Basis einer leeren Vorlage oder einer Standardrolle erstellt; Privilegien und Berechtigungen wählen Sie nach Bedarf.</w:t>
            </w:r>
          </w:p>
        </w:tc>
      </w:tr>
      <w:tr>
        <w:tc>
          <w:tcPr>
            <w:tcW w:type="dxa" w:w="4320"/>
          </w:tcPr>
          <w:p>
            <w:r>
              <w:t>Bereichsbezogene Rolle (</w:t>
            </w:r>
            <w:r>
              <w:rPr>
                <w:i/>
              </w:rPr>
              <w:t>Scoped Role</w:t>
            </w:r>
            <w:r>
              <w:t>)</w:t>
            </w:r>
          </w:p>
        </w:tc>
        <w:tc>
          <w:tcPr>
            <w:tcW w:type="dxa" w:w="4320"/>
          </w:tcPr>
          <w:p>
            <w:r>
              <w:t>Weist Benutzern Privilegien für bestimmte Spaces zu. Rolle, Benutzer und Spaces werden in der Rolle selbst verknüpft. SAP liefert vordefinierte bereichsbezogene Rollen aus, denen Sie direkt Spaces und Benutzer zuordnen können.</w:t>
            </w:r>
          </w:p>
        </w:tc>
      </w:tr>
    </w:tbl>
    <w:p>
      <w:r>
        <w:rPr>
          <w:b/>
        </w:rPr>
        <w:t>Standardrollen anzeigen</w:t>
      </w:r>
    </w:p>
    <w:p>
      <w:r>
        <w:t>Öffnen Sie Sicherheit → Rollen und setzen Sie die Filter Lizenztyp (</w:t>
      </w:r>
      <w:r>
        <w:rPr>
          <w:i/>
        </w:rPr>
        <w:t>License Type</w:t>
      </w:r>
      <w:r>
        <w:t>) = SAP Datasphere und Rollentyp (</w:t>
      </w:r>
      <w:r>
        <w:rPr>
          <w:i/>
        </w:rPr>
        <w:t>Role Type</w:t>
      </w:r>
      <w:r>
        <w:t>) = Standardrolle (</w:t>
      </w:r>
      <w:r>
        <w:rPr>
          <w:i/>
        </w:rPr>
        <w:t>Standard Role</w:t>
      </w:r>
      <w:r>
        <w:t xml:space="preserve">). Zu den Standardrollen zählen unter anderem </w:t>
      </w:r>
      <w:r>
        <w:rPr>
          <w:i/>
        </w:rPr>
        <w:t>DW Administrator</w:t>
      </w:r>
      <w:r>
        <w:t xml:space="preserve"> (alle Space-Berechtigungen), </w:t>
      </w:r>
      <w:r>
        <w:rPr>
          <w:i/>
        </w:rPr>
        <w:t>DW Viewer</w:t>
      </w:r>
      <w:r>
        <w:t xml:space="preserve"> (keine Space-Berechtigungen) und </w:t>
      </w:r>
      <w:r>
        <w:rPr>
          <w:i/>
        </w:rPr>
        <w:t>Catalog User</w:t>
      </w:r>
      <w:r>
        <w:t xml:space="preserve"> (Inhalte im Katalog suchen und entdecken). Einige Rollen müssen laut Dokumentation mit einer weiteren Rolle wie </w:t>
      </w:r>
      <w:r>
        <w:rPr>
          <w:i/>
        </w:rPr>
        <w:t>DW Viewer</w:t>
      </w:r>
      <w:r>
        <w:t xml:space="preserve"> oder </w:t>
      </w:r>
      <w:r>
        <w:rPr>
          <w:i/>
        </w:rPr>
        <w:t>DW Modeler</w:t>
      </w:r>
      <w:r>
        <w:t xml:space="preserve"> kombiniert werden, damit der Benutzer überhaupt auf SAP Datasphere zugreifen kann.</w:t>
      </w:r>
    </w:p>
    <w:p>
      <w:r>
        <w:t xml:space="preserve">Folgende Rollen sind für diese Fassung </w:t>
      </w:r>
      <w:r>
        <w:rPr>
          <w:b/>
        </w:rPr>
        <w:t>nicht verifiziert</w:t>
      </w:r>
      <w:r>
        <w:t>:</w:t>
      </w:r>
    </w:p>
    <w:p>
      <w:pPr>
        <w:pStyle w:val="ListBullet"/>
      </w:pPr>
      <w:r>
        <w:t>die weiteren Standardrollen (</w:t>
      </w:r>
      <w:r>
        <w:rPr>
          <w:i/>
        </w:rPr>
        <w:t>DW Space Administrator</w:t>
      </w:r>
      <w:r>
        <w:t xml:space="preserve">, </w:t>
      </w:r>
      <w:r>
        <w:rPr>
          <w:i/>
        </w:rPr>
        <w:t>DW Integrator</w:t>
      </w:r>
      <w:r>
        <w:t xml:space="preserve">, </w:t>
      </w:r>
      <w:r>
        <w:rPr>
          <w:i/>
        </w:rPr>
        <w:t>DW Modeler</w:t>
      </w:r>
      <w:r>
        <w:t xml:space="preserve">, </w:t>
      </w:r>
      <w:r>
        <w:rPr>
          <w:i/>
        </w:rPr>
        <w:t>DW Consumer</w:t>
      </w:r>
      <w:r>
        <w:t xml:space="preserve">, </w:t>
      </w:r>
      <w:r>
        <w:rPr>
          <w:i/>
        </w:rPr>
        <w:t>Catalog Administrator</w:t>
      </w:r>
      <w:r>
        <w:t xml:space="preserve">, </w:t>
      </w:r>
      <w:r>
        <w:rPr>
          <w:i/>
        </w:rPr>
        <w:t>System Owner</w:t>
      </w:r>
      <w:r>
        <w:t>),</w:t>
      </w:r>
    </w:p>
    <w:p>
      <w:pPr>
        <w:pStyle w:val="ListBullet"/>
      </w:pPr>
      <w:r>
        <w:t>die Namen der vordefinierten bereichsbezogenen Rollen (z. B. „DW Scoped …“).</w:t>
      </w:r>
    </w:p>
    <w:p>
      <w:r>
        <w:rPr>
          <w:b/>
        </w:rPr>
        <w:t>Globale und bereichsbezogene Privilegien:</w:t>
      </w:r>
      <w:r>
        <w:t xml:space="preserve"> Privilegien und Berechtigungen bestimmen, welche Aktionen ein Benutzer in welchen Werkzeugen ausführen darf. Mandantenweite Privilegien vergeben Sie über globale Rollen, Space-bezogene über bereichsbezogene Rollen. Bereichsbezogene Rollen lassen sich auch über die Kommandozeile (</w:t>
      </w:r>
      <w:r>
        <w:rPr>
          <w:i/>
        </w:rPr>
        <w:t>datasphere command line interface</w:t>
      </w:r>
      <w:r>
        <w:t>) verwalten: auflisten, lesen, anlegen, ändern, löschen sowie Benutzer und Spaces hinzufügen oder entfernen (siehe Kapitel 12).</w:t>
      </w:r>
    </w:p>
    <w:p>
      <w:r>
        <w:rPr>
          <w:b/>
        </w:rPr>
        <w:t>Typischer Ablauf: bereichsbezogene Rolle anlegen und zuweisen</w:t>
      </w:r>
    </w:p>
    <w:p>
      <w:pPr>
        <w:pStyle w:val="ListNumber"/>
      </w:pPr>
      <w:r>
        <w:t>Öffnen Sie Sicherheit → Rollen.</w:t>
      </w:r>
    </w:p>
    <w:p>
      <w:pPr>
        <w:pStyle w:val="ListNumber"/>
      </w:pPr>
      <w:r>
        <w:t>Legen Sie eine neue bereichsbezogene Rolle an, wahlweise auf Basis einer Vorlage. Alternativ verwenden Sie eine vordefinierte bereichsbezogene Rolle.</w:t>
      </w:r>
    </w:p>
    <w:p>
      <w:pPr>
        <w:pStyle w:val="ListNumber"/>
      </w:pPr>
      <w:r>
        <w:t>Wählen Sie die gewünschten Privilegien und Berechtigungen.</w:t>
      </w:r>
    </w:p>
    <w:p>
      <w:pPr>
        <w:pStyle w:val="ListNumber"/>
      </w:pPr>
      <w:r>
        <w:t>Ordnen Sie der Rolle die Spaces zu.</w:t>
      </w:r>
    </w:p>
    <w:p>
      <w:pPr>
        <w:pStyle w:val="ListNumber"/>
      </w:pPr>
      <w:r>
        <w:t>Ordnen Sie der Rolle die Benutzer zu. Jeder Benutzer erhält die Privilegien dann in allen zugeordneten Spaces.</w:t>
      </w:r>
    </w:p>
    <w:p>
      <w:pPr>
        <w:pStyle w:val="ListNumber"/>
      </w:pPr>
      <w:r>
        <w:t>Speichern Sie die Rolle und prüfen Sie das Ergebnis in der Berechtigungsübersicht (3.7.4).</w:t>
      </w:r>
    </w:p>
    <w:p>
      <w:r>
        <w:rPr>
          <w:b/>
        </w:rPr>
        <w:t>Typischer Ablauf: benutzerdefinierte globale Rolle</w:t>
      </w:r>
    </w:p>
    <w:p>
      <w:pPr>
        <w:pStyle w:val="ListNumber"/>
      </w:pPr>
      <w:r>
        <w:t>Öffnen Sie Sicherheit → Rollen und legen Sie eine neue Rolle an.</w:t>
      </w:r>
    </w:p>
    <w:p>
      <w:pPr>
        <w:pStyle w:val="ListNumber"/>
      </w:pPr>
      <w:r>
        <w:t>Wählen Sie eine leere Vorlage oder eine Standardrolle als Vorlage.</w:t>
      </w:r>
    </w:p>
    <w:p>
      <w:pPr>
        <w:pStyle w:val="ListNumber"/>
      </w:pPr>
      <w:r>
        <w:t>Passen Sie Privilegien und Berechtigungen an.</w:t>
      </w:r>
    </w:p>
    <w:p>
      <w:pPr>
        <w:pStyle w:val="ListNumber"/>
      </w:pPr>
      <w:r>
        <w:t>Speichern Sie die Rolle und weisen Sie sie Benutzern zu.</w:t>
      </w:r>
    </w:p>
    <w:p>
      <w:pPr>
        <w:pStyle w:val="Heading3"/>
      </w:pPr>
      <w:r>
        <w:t>3.7.4 Berechtigungsübersicht (Authorization Overview)</w:t>
      </w:r>
    </w:p>
    <w:p>
      <w:r>
        <w:rPr>
          <w:b/>
        </w:rPr>
        <w:t>Was:</w:t>
      </w:r>
      <w:r>
        <w:t xml:space="preserve"> Ein Benutzer mit Administratorrolle sieht hier alle Benutzer, Rollen und Spaces des Mandanten und wie sie zusammenhängen.</w:t>
      </w:r>
    </w:p>
    <w:p>
      <w:r>
        <w:rPr>
          <w:b/>
        </w:rPr>
        <w:t>Optionen:</w:t>
      </w:r>
      <w:r>
        <w:t xml:space="preserve"> Sie können nach Benutzer, Rolle oder Space filtern und sehen dann zum Beispiel, welche Benutzer welchen globalen Rollen zugewiesen sind. Der Umfang der weiteren Auswertungen, etwa der Zuordnungen über bereichsbezogene Rollen, ist </w:t>
      </w:r>
      <w:r>
        <w:rPr>
          <w:b/>
        </w:rPr>
        <w:t>nicht vollständig verifiziert</w:t>
      </w:r>
      <w:r>
        <w:t>.</w:t>
      </w:r>
    </w:p>
    <w:p>
      <w:r>
        <w:rPr>
          <w:b/>
        </w:rPr>
        <w:t>Wofür:</w:t>
      </w:r>
      <w:r>
        <w:t xml:space="preserve"> Sie prüfen Berechtigungen, ohne jede Rolle einzeln öffnen zu müssen, etwa für Audits oder Rezertifizierungen.</w:t>
      </w:r>
    </w:p>
    <w:p>
      <w:pPr>
        <w:pStyle w:val="Heading3"/>
      </w:pPr>
      <w:r>
        <w:t>3.7.5 Aktivitäten (Activities)</w:t>
      </w:r>
    </w:p>
    <w:p>
      <w:r>
        <w:rPr>
          <w:b/>
        </w:rPr>
        <w:t>Was:</w:t>
      </w:r>
      <w:r>
        <w:t xml:space="preserve"> Hier verfolgen Sie, welche Aktivitäten Benutzer an Objekten wie Spaces, Tabellen, Sichten und Datenflüssen ausführen. Auch Änderungen an Benutzern und Rollen werden nachvollziehbar.</w:t>
      </w:r>
    </w:p>
    <w:p>
      <w:r>
        <w:rPr>
          <w:b/>
        </w:rPr>
        <w:t>Optionen laut SAP-Hinweis 3543334 (KBA):</w:t>
      </w:r>
    </w:p>
    <w:p>
      <w:pPr>
        <w:pStyle w:val="ListBullet"/>
      </w:pPr>
      <w:r>
        <w:t>Protokolleinträge ganz oder teilweise als CSV-Datei herunterladen und anschließend im System löschen.</w:t>
      </w:r>
    </w:p>
    <w:p>
      <w:pPr>
        <w:pStyle w:val="ListBullet"/>
      </w:pPr>
      <w:r>
        <w:t>Die Obergrenze an Zeilen kann auf Anfrage erhöht oder auf einen rollierenden Zeitraum von einem Jahr umgestellt werden.</w:t>
      </w:r>
    </w:p>
    <w:p>
      <w:r>
        <w:rPr>
          <w:b/>
        </w:rPr>
        <w:t>Hinweis:</w:t>
      </w:r>
      <w:r>
        <w:t xml:space="preserve"> Ist das Protokoll fast voll, sollten Sie es rechtzeitig exportieren und bereinigen.</w:t>
      </w:r>
    </w:p>
    <w:p>
      <w:pPr>
        <w:pStyle w:val="Heading2"/>
      </w:pPr>
      <w:r>
        <w:t>3.8 Übersicht: Funktion – Zweck – benötigtes 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 Rolle/Privileg</w:t>
            </w:r>
          </w:p>
        </w:tc>
      </w:tr>
      <w:tr>
        <w:tc>
          <w:tcPr>
            <w:tcW w:type="dxa" w:w="2880"/>
          </w:tcPr>
          <w:p>
            <w:r>
              <w:t>Mandantenkonfiguration</w:t>
            </w:r>
          </w:p>
        </w:tc>
        <w:tc>
          <w:tcPr>
            <w:tcW w:type="dxa" w:w="2880"/>
          </w:tcPr>
          <w:p>
            <w:r>
              <w:t>Größe in CU festlegen (Speicher, Rechenleistung, Zusatzoptionen)</w:t>
            </w:r>
          </w:p>
        </w:tc>
        <w:tc>
          <w:tcPr>
            <w:tcW w:type="dxa" w:w="2880"/>
          </w:tcPr>
          <w:p>
            <w:r>
              <w:t>Administratorrolle (</w:t>
            </w:r>
            <w:r>
              <w:rPr>
                <w:i/>
              </w:rPr>
              <w:t>DW Administrator</w:t>
            </w:r>
            <w:r>
              <w:t>); Einzelprivileg nicht verifiziert</w:t>
            </w:r>
          </w:p>
        </w:tc>
      </w:tr>
      <w:tr>
        <w:tc>
          <w:tcPr>
            <w:tcW w:type="dxa" w:w="2880"/>
          </w:tcPr>
          <w:p>
            <w:r>
              <w:t>Arbeitslastverwaltung</w:t>
            </w:r>
          </w:p>
        </w:tc>
        <w:tc>
          <w:tcPr>
            <w:tcW w:type="dxa" w:w="2880"/>
          </w:tcPr>
          <w:p>
            <w:r>
              <w:t>Prioritäten und Anweisungslimits je Space oder Gruppe</w:t>
            </w:r>
          </w:p>
        </w:tc>
        <w:tc>
          <w:tcPr>
            <w:tcW w:type="dxa" w:w="2880"/>
          </w:tcPr>
          <w:p>
            <w:r>
              <w:t>Administratorrolle; nicht verifiziert</w:t>
            </w:r>
          </w:p>
        </w:tc>
      </w:tr>
      <w:tr>
        <w:tc>
          <w:tcPr>
            <w:tcW w:type="dxa" w:w="2880"/>
          </w:tcPr>
          <w:p>
            <w:r>
              <w:t>Audit → Löschen von Prüfprotokollen</w:t>
            </w:r>
          </w:p>
        </w:tc>
        <w:tc>
          <w:tcPr>
            <w:tcW w:type="dxa" w:w="2880"/>
          </w:tcPr>
          <w:p>
            <w:r>
              <w:t>Prüfprotokolle je Space und Richtlinie löschen</w:t>
            </w:r>
          </w:p>
        </w:tc>
        <w:tc>
          <w:tcPr>
            <w:tcW w:type="dxa" w:w="2880"/>
          </w:tcPr>
          <w:p>
            <w:r>
              <w:t>Administratorrolle</w:t>
            </w:r>
          </w:p>
        </w:tc>
      </w:tr>
      <w:tr>
        <w:tc>
          <w:tcPr>
            <w:tcW w:type="dxa" w:w="2880"/>
          </w:tcPr>
          <w:p>
            <w:r>
              <w:t>Aufgabenprotokolle</w:t>
            </w:r>
          </w:p>
        </w:tc>
        <w:tc>
          <w:tcPr>
            <w:tcW w:type="dxa" w:w="2880"/>
          </w:tcPr>
          <w:p>
            <w:r>
              <w:t>Speicherbelegung prüfen, alte Protokolle löschen</w:t>
            </w:r>
          </w:p>
        </w:tc>
        <w:tc>
          <w:tcPr>
            <w:tcW w:type="dxa" w:w="2880"/>
          </w:tcPr>
          <w:p>
            <w:r>
              <w:t>Administratorrolle</w:t>
            </w:r>
          </w:p>
        </w:tc>
      </w:tr>
      <w:tr>
        <w:tc>
          <w:tcPr>
            <w:tcW w:type="dxa" w:w="2880"/>
          </w:tcPr>
          <w:p>
            <w:r>
              <w:t>Sicherheit (Konfiguration)</w:t>
            </w:r>
          </w:p>
        </w:tc>
        <w:tc>
          <w:tcPr>
            <w:tcW w:type="dxa" w:w="2880"/>
          </w:tcPr>
          <w:p>
            <w:r>
              <w:t>Kennwortrichtlinie für Datenbankbenutzer</w:t>
            </w:r>
          </w:p>
        </w:tc>
        <w:tc>
          <w:tcPr>
            <w:tcW w:type="dxa" w:w="2880"/>
          </w:tcPr>
          <w:p>
            <w:r>
              <w:t>Administratorrolle</w:t>
            </w:r>
          </w:p>
        </w:tc>
      </w:tr>
      <w:tr>
        <w:tc>
          <w:tcPr>
            <w:tcW w:type="dxa" w:w="2880"/>
          </w:tcPr>
          <w:p>
            <w:r>
              <w:t>IP-Zulassungsliste</w:t>
            </w:r>
          </w:p>
        </w:tc>
        <w:tc>
          <w:tcPr>
            <w:tcW w:type="dxa" w:w="2880"/>
          </w:tcPr>
          <w:p>
            <w:r>
              <w:t>Zugelassene IPv4-Bereiche für den Datenbankzugriff</w:t>
            </w:r>
          </w:p>
        </w:tc>
        <w:tc>
          <w:tcPr>
            <w:tcW w:type="dxa" w:w="2880"/>
          </w:tcPr>
          <w:p>
            <w:r>
              <w:t>Administratorrolle</w:t>
            </w:r>
          </w:p>
        </w:tc>
      </w:tr>
      <w:tr>
        <w:tc>
          <w:tcPr>
            <w:tcW w:type="dxa" w:w="2880"/>
          </w:tcPr>
          <w:p>
            <w:r>
              <w:t>Mandantenverknüpfungen</w:t>
            </w:r>
          </w:p>
        </w:tc>
        <w:tc>
          <w:tcPr>
            <w:tcW w:type="dxa" w:w="2880"/>
          </w:tcPr>
          <w:p>
            <w:r>
              <w:t>Verknüpfung mit SAP Analytics Cloud / Produktumschalter</w:t>
            </w:r>
          </w:p>
        </w:tc>
        <w:tc>
          <w:tcPr>
            <w:tcW w:type="dxa" w:w="2880"/>
          </w:tcPr>
          <w:p>
            <w:r>
              <w:t>Administratorrolle</w:t>
            </w:r>
          </w:p>
        </w:tc>
      </w:tr>
      <w:tr>
        <w:tc>
          <w:tcPr>
            <w:tcW w:type="dxa" w:w="2880"/>
          </w:tcPr>
          <w:p>
            <w:r>
              <w:t>Systeminformationen</w:t>
            </w:r>
          </w:p>
        </w:tc>
        <w:tc>
          <w:tcPr>
            <w:tcW w:type="dxa" w:w="2880"/>
          </w:tcPr>
          <w:p>
            <w:r>
              <w:t>Informationsleiste, Browser-Symbol</w:t>
            </w:r>
          </w:p>
        </w:tc>
        <w:tc>
          <w:tcPr>
            <w:tcW w:type="dxa" w:w="2880"/>
          </w:tcPr>
          <w:p>
            <w:r>
              <w:t>Administratorrolle</w:t>
            </w:r>
          </w:p>
        </w:tc>
      </w:tr>
      <w:tr>
        <w:tc>
          <w:tcPr>
            <w:tcW w:type="dxa" w:w="2880"/>
          </w:tcPr>
          <w:p>
            <w:r>
              <w:t>Eigener SAML-Identitätsanbieter</w:t>
            </w:r>
          </w:p>
        </w:tc>
        <w:tc>
          <w:tcPr>
            <w:tcW w:type="dxa" w:w="2880"/>
          </w:tcPr>
          <w:p>
            <w:r>
              <w:t>SSO über eigenen Identitätsanbieter</w:t>
            </w:r>
          </w:p>
        </w:tc>
        <w:tc>
          <w:tcPr>
            <w:tcW w:type="dxa" w:w="2880"/>
          </w:tcPr>
          <w:p>
            <w:r>
              <w:t>Systemverantwortlicher (</w:t>
            </w:r>
            <w:r>
              <w:rPr>
                <w:i/>
              </w:rPr>
              <w:t>System Owner</w:t>
            </w:r>
            <w:r>
              <w:t>)</w:t>
            </w:r>
          </w:p>
        </w:tc>
      </w:tr>
      <w:tr>
        <w:tc>
          <w:tcPr>
            <w:tcW w:type="dxa" w:w="2880"/>
          </w:tcPr>
          <w:p>
            <w:r>
              <w:t>Systemverantwortung übertragen</w:t>
            </w:r>
          </w:p>
        </w:tc>
        <w:tc>
          <w:tcPr>
            <w:tcW w:type="dxa" w:w="2880"/>
          </w:tcPr>
          <w:p>
            <w:r>
              <w:t>Rolle an geeignete Person übergeben</w:t>
            </w:r>
          </w:p>
        </w:tc>
        <w:tc>
          <w:tcPr>
            <w:tcW w:type="dxa" w:w="2880"/>
          </w:tcPr>
          <w:p>
            <w:r>
              <w:t>Systemverantwortlicher</w:t>
            </w:r>
          </w:p>
        </w:tc>
      </w:tr>
      <w:tr>
        <w:tc>
          <w:tcPr>
            <w:tcW w:type="dxa" w:w="2880"/>
          </w:tcPr>
          <w:p>
            <w:r>
              <w:t>Benutzer</w:t>
            </w:r>
          </w:p>
        </w:tc>
        <w:tc>
          <w:tcPr>
            <w:tcW w:type="dxa" w:w="2880"/>
          </w:tcPr>
          <w:p>
            <w:r>
              <w:t>Benutzer anlegen, ändern, Rollen zuweisen</w:t>
            </w:r>
          </w:p>
        </w:tc>
        <w:tc>
          <w:tcPr>
            <w:tcW w:type="dxa" w:w="2880"/>
          </w:tcPr>
          <w:p>
            <w:r>
              <w:t>Administratorrolle</w:t>
            </w:r>
          </w:p>
        </w:tc>
      </w:tr>
      <w:tr>
        <w:tc>
          <w:tcPr>
            <w:tcW w:type="dxa" w:w="2880"/>
          </w:tcPr>
          <w:p>
            <w:r>
              <w:t>SCIM 2.0</w:t>
            </w:r>
          </w:p>
        </w:tc>
        <w:tc>
          <w:tcPr>
            <w:tcW w:type="dxa" w:w="2880"/>
          </w:tcPr>
          <w:p>
            <w:r>
              <w:t>Automatische Benutzerbereitstellung</w:t>
            </w:r>
          </w:p>
        </w:tc>
        <w:tc>
          <w:tcPr>
            <w:tcW w:type="dxa" w:w="2880"/>
          </w:tcPr>
          <w:p>
            <w:r>
              <w:t>OAuth-Client (Client-Anmeldedaten)</w:t>
            </w:r>
          </w:p>
        </w:tc>
      </w:tr>
      <w:tr>
        <w:tc>
          <w:tcPr>
            <w:tcW w:type="dxa" w:w="2880"/>
          </w:tcPr>
          <w:p>
            <w:r>
              <w:t>Rollen</w:t>
            </w:r>
          </w:p>
        </w:tc>
        <w:tc>
          <w:tcPr>
            <w:tcW w:type="dxa" w:w="2880"/>
          </w:tcPr>
          <w:p>
            <w:r>
              <w:t>Standard-, benutzerdefinierte und bereichsbezogene Rollen</w:t>
            </w:r>
          </w:p>
        </w:tc>
        <w:tc>
          <w:tcPr>
            <w:tcW w:type="dxa" w:w="2880"/>
          </w:tcPr>
          <w:p>
            <w:r>
              <w:t>Administratorrolle</w:t>
            </w:r>
          </w:p>
        </w:tc>
      </w:tr>
      <w:tr>
        <w:tc>
          <w:tcPr>
            <w:tcW w:type="dxa" w:w="2880"/>
          </w:tcPr>
          <w:p>
            <w:r>
              <w:t>Berechtigungsübersicht</w:t>
            </w:r>
          </w:p>
        </w:tc>
        <w:tc>
          <w:tcPr>
            <w:tcW w:type="dxa" w:w="2880"/>
          </w:tcPr>
          <w:p>
            <w:r>
              <w:t>Benutzer, Rollen und Spaces auswerten</w:t>
            </w:r>
          </w:p>
        </w:tc>
        <w:tc>
          <w:tcPr>
            <w:tcW w:type="dxa" w:w="2880"/>
          </w:tcPr>
          <w:p>
            <w:r>
              <w:t>Administratorrolle</w:t>
            </w:r>
          </w:p>
        </w:tc>
      </w:tr>
      <w:tr>
        <w:tc>
          <w:tcPr>
            <w:tcW w:type="dxa" w:w="2880"/>
          </w:tcPr>
          <w:p>
            <w:r>
              <w:t>Aktivitäten</w:t>
            </w:r>
          </w:p>
        </w:tc>
        <w:tc>
          <w:tcPr>
            <w:tcW w:type="dxa" w:w="2880"/>
          </w:tcPr>
          <w:p>
            <w:r>
              <w:t>Aktivitäten nachverfolgen, exportieren, löschen</w:t>
            </w:r>
          </w:p>
        </w:tc>
        <w:tc>
          <w:tcPr>
            <w:tcW w:type="dxa" w:w="2880"/>
          </w:tcPr>
          <w:p>
            <w:r>
              <w:t>Administratorrolle</w:t>
            </w:r>
          </w:p>
        </w:tc>
      </w:tr>
    </w:tbl>
    <w:p>
      <w:r>
        <w:t xml:space="preserve">Die genauen Privilegienbezeichnungen der Rollenpflege, etwa „User (Manage)“ oder „Role (Manage)“, sind </w:t>
      </w:r>
      <w:r>
        <w:rPr>
          <w:b/>
        </w:rPr>
        <w:t>nicht verifiziert</w:t>
      </w:r>
      <w:r>
        <w:t xml:space="preserve"> und werden nach der Quellenprüfung ergänzt.</w:t>
      </w:r>
    </w:p>
    <w:p>
      <w:pPr>
        <w:pStyle w:val="Heading2"/>
      </w:pPr>
      <w:r>
        <w:t>3.9 Abhängigkeiten, Grenzen, Hinweise und Monitoring-Einstieg</w:t>
      </w:r>
    </w:p>
    <w:p>
      <w:pPr>
        <w:pStyle w:val="ListBullet"/>
      </w:pPr>
      <w:r>
        <w:rPr>
          <w:b/>
        </w:rPr>
        <w:t>Bereitstellungsweg:</w:t>
      </w:r>
      <w:r>
        <w:t xml:space="preserve"> Mandanten aus SAP Business Data Cloud werden anders bereitgestellt als Mandanten über SAP BTP. Die Größe stellen Sie in beiden Fällen in SAP Datasphere ein. ⚠ abhängig von Lizenz/Freischaltung.</w:t>
      </w:r>
    </w:p>
    <w:p>
      <w:pPr>
        <w:pStyle w:val="ListBullet"/>
      </w:pPr>
      <w:r>
        <w:rPr>
          <w:b/>
        </w:rPr>
        <w:t>Speicherfreigabe:</w:t>
      </w:r>
      <w:r>
        <w:t xml:space="preserve"> Laut SAP-Hinweis 3578156 gibt das Löschen von Prüfprotokollen den Plattenspeicher nicht sofort frei. Die Speicherbereinigung wird automatisch gestartet, kann bei großen Löschmengen aber dauern.</w:t>
      </w:r>
    </w:p>
    <w:p>
      <w:pPr>
        <w:pStyle w:val="ListBullet"/>
      </w:pPr>
      <w:r>
        <w:rPr>
          <w:b/>
        </w:rPr>
        <w:t>SCIM:</w:t>
      </w:r>
      <w:r>
        <w:t xml:space="preserve"> Nur für Benutzer, nicht für die Pflege von Rollen (siehe 3.7.2).</w:t>
      </w:r>
    </w:p>
    <w:p>
      <w:pPr>
        <w:pStyle w:val="ListBullet"/>
      </w:pPr>
      <w:r>
        <w:rPr>
          <w:b/>
        </w:rPr>
        <w:t>Plattformabhängige Oberfläche:</w:t>
      </w:r>
      <w:r>
        <w:t xml:space="preserve"> Teile der Administration folgen der Plattformversion und können deshalb von der Datasphere-Version abweichen (siehe 3.3.10). Registerkarten und Beschriftungen ändern sich quartalsweise.</w:t>
      </w:r>
    </w:p>
    <w:p>
      <w:pPr>
        <w:pStyle w:val="ListBullet"/>
      </w:pPr>
      <w:r>
        <w:rPr>
          <w:b/>
        </w:rPr>
        <w:t>Monitoring:</w:t>
      </w:r>
      <w:r>
        <w:t xml:space="preserve"> Die Überwachung von Systemleistung, Speicher, Aufgaben und Out-of-Memory-Situationen erfolgt in den Monitoring-Werkzeugen, die Sie ebenfalls über die Seitenleiste erreichen. Siehe Kapitel 10.</w:t>
      </w:r>
    </w:p>
    <w:p>
      <w:pPr>
        <w:pStyle w:val="Heading1"/>
      </w:pPr>
      <w:r>
        <w:t>4. Space Management</w:t>
      </w:r>
    </w:p>
    <w:p>
      <w:pPr>
        <w:pStyle w:val="Heading2"/>
      </w:pPr>
      <w:r>
        <w:t>4.1 Zweck und Einordnung</w:t>
      </w:r>
    </w:p>
    <w:p>
      <w:r>
        <w:t>Ein Bereich (</w:t>
      </w:r>
      <w:r>
        <w:rPr>
          <w:i/>
        </w:rPr>
        <w:t>Space</w:t>
      </w:r>
      <w:r>
        <w:t>) ist in SAP Datasphere die organisatorische und technische Einheit, in der Teams Verbindungen anlegen sowie Daten erfassen, modellieren und bereitstellen. Fachliche Objekte wie Tabellen, Views, Datenflüsse und Task-Ketten gehören immer zu genau einem Space. Ein Space bündelt drei Dinge: Ressourcen (Speicher bzw. Rechenleistung), Mitglieder samt Berechtigungen und Zugänge zur Datenbank. Laut SAP-Administrationsdokumentation legen Administratoren Spaces an, weisen ihnen Speicher zu und überwachen sie. Die Arbeit innerhalb eines Spaces übernehmen Space-Administratoren und Modellierer.</w:t>
      </w:r>
    </w:p>
    <w:p>
      <w:r>
        <w:t>Den Space Management-Bereich (</w:t>
      </w:r>
      <w:r>
        <w:rPr>
          <w:i/>
        </w:rPr>
        <w:t>Space Management</w:t>
      </w:r>
      <w:r>
        <w:t>) beschreibt dieses Kapitel als Werkzeug. Die mandantenweite Benutzer- und Rollenverwaltung steht in Kapitel 3, Verbindungen in Kapitel 5, die Modellierung in Kapitel 6 und das mandantenweite Monitoring in Kapitel 10.</w:t>
      </w:r>
    </w:p>
    <w:p>
      <w:pPr>
        <w:pStyle w:val="Heading2"/>
      </w:pPr>
      <w:r>
        <w:t>4.2 Aufruf und Navigation</w:t>
      </w:r>
    </w:p>
    <w:p>
      <w:pPr>
        <w:pStyle w:val="ListBullet"/>
      </w:pPr>
      <w:r>
        <w:rPr>
          <w:b/>
        </w:rPr>
        <w:t>Aufruf:</w:t>
      </w:r>
      <w:r>
        <w:t xml:space="preserve"> In der Seitenleiste wählen Sie Space Management (</w:t>
      </w:r>
      <w:r>
        <w:rPr>
          <w:i/>
        </w:rPr>
        <w:t>Space Management</w:t>
      </w:r>
      <w:r>
        <w:t xml:space="preserve">). Die Startseite listet alle Spaces, auf die Sie Zugriff haben. Über </w:t>
      </w:r>
      <w:r>
        <w:rPr>
          <w:i/>
        </w:rPr>
        <w:t>Create</w:t>
      </w:r>
      <w:r>
        <w:t xml:space="preserve"> legen Sie einen neuen Space an. Ein vorhandener Space öffnet sich über seine Kachel bzw. über </w:t>
      </w:r>
      <w:r>
        <w:rPr>
          <w:i/>
        </w:rPr>
        <w:t>Edit</w:t>
      </w:r>
      <w:r>
        <w:t>.</w:t>
      </w:r>
    </w:p>
    <w:p>
      <w:pPr>
        <w:pStyle w:val="ListBullet"/>
      </w:pPr>
      <w:r>
        <w:rPr>
          <w:b/>
        </w:rPr>
        <w:t>Rollen:</w:t>
      </w:r>
      <w:r>
        <w:t xml:space="preserve"> Spaces anlegen und Speicher zuweisen dürfen Benutzer mit einer Administratorrolle, z. B. auf Basis der Rollenvorlage </w:t>
      </w:r>
      <w:r>
        <w:rPr>
          <w:i/>
        </w:rPr>
        <w:t>DW Administrator</w:t>
      </w:r>
      <w:r>
        <w:t>. Space-bezogene Aufgaben wie Mitglieder verwalten, Datenbankbenutzer anlegen oder einen Space entsperren übernimmt ein Space-Administrator, dem die passende Rolle über eine Scoped Role (</w:t>
      </w:r>
      <w:r>
        <w:rPr>
          <w:i/>
        </w:rPr>
        <w:t>Scoped Role</w:t>
      </w:r>
      <w:r>
        <w:t>) für den jeweiligen Space zugewiesen ist (siehe 4.4.5 und Kapitel 3).</w:t>
      </w:r>
    </w:p>
    <w:p>
      <w:pPr>
        <w:pStyle w:val="ListBullet"/>
      </w:pPr>
      <w:r>
        <w:rPr>
          <w:b/>
        </w:rPr>
        <w:t>Befehlszeile:</w:t>
      </w:r>
      <w:r>
        <w:t xml:space="preserve"> Alternativ lassen sich Spaces mit der Befehlszeilenschnittstelle </w:t>
      </w:r>
      <w:r>
        <w:rPr>
          <w:i/>
        </w:rPr>
        <w:t>datasphere</w:t>
      </w:r>
      <w:r>
        <w:t xml:space="preserve"> lesen, ändern und löschen. Damit können Sie auch Eigenschaften setzen, Benutzer zuweisen, Datenbankbenutzer anlegen, Objekte anlegen und HDI-Container zuordnen. Für das Anlegen per Befehlszeile ist die Rolle </w:t>
      </w:r>
      <w:r>
        <w:rPr>
          <w:i/>
        </w:rPr>
        <w:t>DW Administrator</w:t>
      </w:r>
      <w:r>
        <w:t xml:space="preserve"> oder eine gleichwertige Berechtigung nötig. Die CLI behandelt Kapitel 12.</w:t>
      </w:r>
    </w:p>
    <w:p>
      <w:pPr>
        <w:pStyle w:val="Heading2"/>
      </w:pPr>
      <w:r>
        <w:t>4.3 Aufbau der Oberfläche</w:t>
      </w:r>
    </w:p>
    <w:p>
      <w:r>
        <w:rPr>
          <w:b/>
        </w:rPr>
        <w:t>Startseite Space Management:</w:t>
      </w:r>
    </w:p>
    <w:p>
      <w:pPr>
        <w:pStyle w:val="ListBullet"/>
      </w:pPr>
      <w:r>
        <w:t>Spaces erscheinen als Kacheln oder in einer Tabellenansicht (</w:t>
      </w:r>
      <w:r>
        <w:rPr>
          <w:i/>
        </w:rPr>
        <w:t>table layout</w:t>
      </w:r>
      <w:r>
        <w:t xml:space="preserve">). In der Tabellenansicht lässt sich unter anderem nach der Spalte </w:t>
      </w:r>
      <w:r>
        <w:rPr>
          <w:i/>
        </w:rPr>
        <w:t>Data Lake Access</w:t>
      </w:r>
      <w:r>
        <w:t xml:space="preserve"> sortieren.</w:t>
      </w:r>
    </w:p>
    <w:p>
      <w:pPr>
        <w:pStyle w:val="ListBullet"/>
      </w:pPr>
      <w:r>
        <w:t xml:space="preserve">Die Werkzeugleiste enthält Aktionen wie </w:t>
      </w:r>
      <w:r>
        <w:rPr>
          <w:i/>
        </w:rPr>
        <w:t>Create</w:t>
      </w:r>
      <w:r>
        <w:t xml:space="preserve">, </w:t>
      </w:r>
      <w:r>
        <w:rPr>
          <w:i/>
        </w:rPr>
        <w:t>Edit</w:t>
      </w:r>
      <w:r>
        <w:t xml:space="preserve">, </w:t>
      </w:r>
      <w:r>
        <w:rPr>
          <w:i/>
        </w:rPr>
        <w:t>Delete</w:t>
      </w:r>
      <w:r>
        <w:t xml:space="preserve"> und </w:t>
      </w:r>
      <w:r>
        <w:rPr>
          <w:i/>
        </w:rPr>
        <w:t>Unlock</w:t>
      </w:r>
      <w:r>
        <w:t xml:space="preserve"> (letztere nur bei gesperrten Spaces).</w:t>
      </w:r>
    </w:p>
    <w:p>
      <w:pPr>
        <w:pStyle w:val="ListBullet"/>
      </w:pPr>
      <w:r>
        <w:t>Über den Papierkorb (</w:t>
      </w:r>
      <w:r>
        <w:rPr>
          <w:i/>
        </w:rPr>
        <w:t>Recycle Bin</w:t>
      </w:r>
      <w:r>
        <w:t>) erreichen Sie gelöschte Spaces (siehe 4.4.12).</w:t>
      </w:r>
    </w:p>
    <w:p>
      <w:r>
        <w:rPr>
          <w:b/>
        </w:rPr>
        <w:t>Space-Seite:</w:t>
      </w:r>
      <w:r>
        <w:t xml:space="preserve"> Sie ist in Abschnitte gegliedert. Belegt sind unter anderem:</w:t>
      </w:r>
    </w:p>
    <w:p>
      <w:pPr>
        <w:pStyle w:val="ListBullet"/>
      </w:pPr>
      <w:r>
        <w:t>Überblick/allgemeine Einstellungen mit Name, ID und Speicherzuweisung (</w:t>
      </w:r>
      <w:r>
        <w:rPr>
          <w:i/>
        </w:rPr>
        <w:t>Storage Assignment</w:t>
      </w:r>
      <w:r>
        <w:t>)</w:t>
      </w:r>
    </w:p>
    <w:p>
      <w:pPr>
        <w:pStyle w:val="ListBullet"/>
      </w:pPr>
      <w:r>
        <w:t>Workload-Verwaltung (</w:t>
      </w:r>
      <w:r>
        <w:rPr>
          <w:i/>
        </w:rPr>
        <w:t>Workload Management</w:t>
      </w:r>
      <w:r>
        <w:t>)</w:t>
      </w:r>
    </w:p>
    <w:p>
      <w:pPr>
        <w:pStyle w:val="ListBullet"/>
      </w:pPr>
      <w:r>
        <w:t>Mitglieder bzw. Benutzerzuordnung</w:t>
      </w:r>
    </w:p>
    <w:p>
      <w:pPr>
        <w:pStyle w:val="ListBullet"/>
      </w:pPr>
      <w:r>
        <w:t>Datenbankbenutzer (</w:t>
      </w:r>
      <w:r>
        <w:rPr>
          <w:i/>
        </w:rPr>
        <w:t>Database Users</w:t>
      </w:r>
      <w:r>
        <w:t>)</w:t>
      </w:r>
    </w:p>
    <w:p>
      <w:pPr>
        <w:pStyle w:val="ListBullet"/>
      </w:pPr>
      <w:r>
        <w:t>HDI-Container (</w:t>
      </w:r>
      <w:r>
        <w:rPr>
          <w:i/>
        </w:rPr>
        <w:t>HDI Containers</w:t>
      </w:r>
      <w:r>
        <w:t>)</w:t>
      </w:r>
    </w:p>
    <w:p>
      <w:pPr>
        <w:pStyle w:val="ListBullet"/>
      </w:pPr>
      <w:r>
        <w:t>Zeitdaten (</w:t>
      </w:r>
      <w:r>
        <w:rPr>
          <w:i/>
        </w:rPr>
        <w:t>Time Data</w:t>
      </w:r>
      <w:r>
        <w:t>)</w:t>
      </w:r>
    </w:p>
    <w:p>
      <w:pPr>
        <w:pStyle w:val="ListBullet"/>
      </w:pPr>
      <w:r>
        <w:t>Audit-Einstellungen (</w:t>
      </w:r>
      <w:r>
        <w:rPr>
          <w:i/>
        </w:rPr>
        <w:t>Space Audit Settings</w:t>
      </w:r>
      <w:r>
        <w:t>)</w:t>
      </w:r>
    </w:p>
    <w:p>
      <w:r>
        <w:t xml:space="preserve">Änderungen werden über </w:t>
      </w:r>
      <w:r>
        <w:rPr>
          <w:i/>
        </w:rPr>
        <w:t>Save</w:t>
      </w:r>
      <w:r>
        <w:t xml:space="preserve"> gespeichert und über </w:t>
      </w:r>
      <w:r>
        <w:rPr>
          <w:i/>
        </w:rPr>
        <w:t>Deploy</w:t>
      </w:r>
      <w:r>
        <w:t xml:space="preserve"> in der Datenbank wirksam.</w:t>
      </w:r>
    </w:p>
    <w:p>
      <w:pPr>
        <w:pStyle w:val="IntenseQuote"/>
      </w:pPr>
      <w:r>
        <w:t xml:space="preserve">Hinweis: SAP passt Anordnung und Beschriftung der Abschnitte regelmäßig an, teils quartalsweise. Die genaue Reihenfolge der Abschnitte, die Benennung einzelner Registerkarten sowie die Beschriftungen </w:t>
      </w:r>
      <w:r>
        <w:rPr>
          <w:i/>
        </w:rPr>
        <w:t>Save</w:t>
      </w:r>
      <w:r>
        <w:t xml:space="preserve"> und </w:t>
      </w:r>
      <w:r>
        <w:rPr>
          <w:i/>
        </w:rPr>
        <w:t>Deploy</w:t>
      </w:r>
      <w:r>
        <w:t xml:space="preserve"> sind nicht verifiziert.</w:t>
      </w:r>
    </w:p>
    <w:p>
      <w:pPr>
        <w:pStyle w:val="Heading2"/>
      </w:pPr>
      <w:r>
        <w:t>4.4 Funktionen</w:t>
      </w:r>
    </w:p>
    <w:p>
      <w:pPr>
        <w:pStyle w:val="Heading3"/>
      </w:pPr>
      <w:r>
        <w:t>4.4.1 Space anlegen</w:t>
      </w:r>
    </w:p>
    <w:p>
      <w:r>
        <w:rPr>
          <w:b/>
        </w:rPr>
        <w:t>Was und wofür:</w:t>
      </w:r>
      <w:r>
        <w:t xml:space="preserve"> Anlegen eines neuen Arbeitsbereichs.</w:t>
      </w:r>
    </w:p>
    <w:p>
      <w:r>
        <w:rPr>
          <w:b/>
        </w:rPr>
        <w:t>Wichtigste Einstellungen:</w:t>
      </w:r>
    </w:p>
    <w:tbl>
      <w:tblPr>
        <w:tblStyle w:val="TableGrid"/>
        <w:tblW w:type="auto" w:w="0"/>
        <w:tblLook w:firstColumn="1" w:firstRow="1" w:lastColumn="0" w:lastRow="0" w:noHBand="0" w:noVBand="1" w:val="04A0"/>
      </w:tblPr>
      <w:tblGrid>
        <w:gridCol w:w="4320"/>
        <w:gridCol w:w="4320"/>
      </w:tblGrid>
      <w:tr>
        <w:tc>
          <w:tcPr>
            <w:tcW w:type="dxa" w:w="4320"/>
          </w:tcPr>
          <w:p>
            <w:r>
              <w:rPr>
                <w:b/>
              </w:rPr>
              <w:t>Feld</w:t>
            </w:r>
          </w:p>
        </w:tc>
        <w:tc>
          <w:tcPr>
            <w:tcW w:type="dxa" w:w="4320"/>
          </w:tcPr>
          <w:p>
            <w:r>
              <w:rPr>
                <w:b/>
              </w:rPr>
              <w:t>Regel</w:t>
            </w:r>
          </w:p>
        </w:tc>
      </w:tr>
      <w:tr>
        <w:tc>
          <w:tcPr>
            <w:tcW w:type="dxa" w:w="4320"/>
          </w:tcPr>
          <w:p>
            <w:r>
              <w:t>Geschäftsname (</w:t>
            </w:r>
            <w:r>
              <w:rPr>
                <w:i/>
              </w:rPr>
              <w:t>Business Name</w:t>
            </w:r>
            <w:r>
              <w:t>)</w:t>
            </w:r>
          </w:p>
        </w:tc>
        <w:tc>
          <w:tcPr>
            <w:tcW w:type="dxa" w:w="4320"/>
          </w:tcPr>
          <w:p>
            <w:r>
              <w:t>Höchstens 30 Zeichen; Leerzeichen und Sonderzeichen erlaubt.</w:t>
            </w:r>
          </w:p>
        </w:tc>
      </w:tr>
      <w:tr>
        <w:tc>
          <w:tcPr>
            <w:tcW w:type="dxa" w:w="4320"/>
          </w:tcPr>
          <w:p>
            <w:r>
              <w:t>Technischer Name/Space-ID (</w:t>
            </w:r>
            <w:r>
              <w:rPr>
                <w:i/>
              </w:rPr>
              <w:t>Space ID</w:t>
            </w:r>
            <w:r>
              <w:t>)</w:t>
            </w:r>
          </w:p>
        </w:tc>
        <w:tc>
          <w:tcPr>
            <w:tcW w:type="dxa" w:w="4320"/>
          </w:tcPr>
          <w:p>
            <w:r>
              <w:t>Höchstens 20 Zeichen; nur Großbuchstaben, Ziffern und Unterstrich. Kann später nicht geändert werden.</w:t>
            </w:r>
          </w:p>
        </w:tc>
      </w:tr>
    </w:tbl>
    <w:p>
      <w:r>
        <w:t>Reservierte Schlüsselwörter wie SYS, CREATE oder SYSTEM sind als Space-ID nicht erlaubt. Das Präfix _SYS darf nicht verwendet werden, die Präfixe DWC_ und SAP_ sollen nicht verwendet werden. SAP empfiehlt, keine sensiblen Geschäfts- oder personenbezogenen Daten in technische Namen aufzunehmen.</w:t>
      </w:r>
    </w:p>
    <w:p>
      <w:pPr>
        <w:pStyle w:val="Heading3"/>
      </w:pPr>
      <w:r>
        <w:t>4.4.2 Space-Typen ⚠ abhängig von Lizenz/Freischaltung</w:t>
      </w:r>
    </w:p>
    <w:p>
      <w:r>
        <w:t>SAP unterscheidet beim Anlegen zwei Speichertypen: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w:t>
            </w:r>
          </w:p>
        </w:tc>
        <w:tc>
          <w:tcPr>
            <w:tcW w:type="dxa" w:w="2880"/>
          </w:tcPr>
          <w:p>
            <w:r>
              <w:rPr>
                <w:b/>
              </w:rPr>
              <w:t>Ressourcen</w:t>
            </w:r>
          </w:p>
        </w:tc>
        <w:tc>
          <w:tcPr>
            <w:tcW w:type="dxa" w:w="2880"/>
          </w:tcPr>
          <w:p>
            <w:r>
              <w:rPr>
                <w:b/>
              </w:rPr>
              <w:t>Einsatzzweck</w:t>
            </w:r>
          </w:p>
        </w:tc>
      </w:tr>
      <w:tr>
        <w:tc>
          <w:tcPr>
            <w:tcW w:type="dxa" w:w="2880"/>
          </w:tcPr>
          <w:p>
            <w:r>
              <w:t>SAP HANA Database</w:t>
            </w:r>
          </w:p>
        </w:tc>
        <w:tc>
          <w:tcPr>
            <w:tcW w:type="dxa" w:w="2880"/>
          </w:tcPr>
          <w:p>
            <w:r>
              <w:t>Zuweisung von Disk- und In-Memory-Speicher</w:t>
            </w:r>
          </w:p>
        </w:tc>
        <w:tc>
          <w:tcPr>
            <w:tcW w:type="dxa" w:w="2880"/>
          </w:tcPr>
          <w:p>
            <w:r>
              <w:t>Standard-Space für Modellierung und Bereitstellung</w:t>
            </w:r>
          </w:p>
        </w:tc>
      </w:tr>
      <w:tr>
        <w:tc>
          <w:tcPr>
            <w:tcW w:type="dxa" w:w="2880"/>
          </w:tcPr>
          <w:p>
            <w:r>
              <w:t xml:space="preserve">SAP HANA Data Lake Files (Datei-Space, </w:t>
            </w:r>
            <w:r>
              <w:rPr>
                <w:i/>
              </w:rPr>
              <w:t>file space</w:t>
            </w:r>
            <w:r>
              <w:t>)</w:t>
            </w:r>
          </w:p>
        </w:tc>
        <w:tc>
          <w:tcPr>
            <w:tcW w:type="dxa" w:w="2880"/>
          </w:tcPr>
          <w:p>
            <w:r>
              <w:t>Zuweisung von Rechenressourcen</w:t>
            </w:r>
          </w:p>
        </w:tc>
        <w:tc>
          <w:tcPr>
            <w:tcW w:type="dxa" w:w="2880"/>
          </w:tcPr>
          <w:p>
            <w:r>
              <w:t>Kostengünstiger Eingangs-Staging-Bereich, in dem große Datenmengen geladen und vorbereitet werden; Ablage im Object Store von SAP Datasphere</w:t>
            </w:r>
          </w:p>
        </w:tc>
      </w:tr>
    </w:tbl>
    <w:p>
      <w:r>
        <w:rPr>
          <w:b/>
        </w:rPr>
        <w:t>Grenzen von Datei-Spaces:</w:t>
      </w:r>
    </w:p>
    <w:p>
      <w:pPr>
        <w:pStyle w:val="ListBullet"/>
      </w:pPr>
      <w:r>
        <w:t>Sie lassen sich nicht über die Befehlszeile anlegen oder verwalten.</w:t>
      </w:r>
    </w:p>
    <w:p>
      <w:pPr>
        <w:pStyle w:val="ListBullet"/>
      </w:pPr>
      <w:r>
        <w:t>Sie können keinem Elastic-Compute-Knoten zugeordnet werden.</w:t>
      </w:r>
    </w:p>
    <w:p>
      <w:pPr>
        <w:pStyle w:val="ListBullet"/>
      </w:pPr>
      <w:r>
        <w:t>Sie können nicht als Monitoring-Space gewählt werden.</w:t>
      </w:r>
    </w:p>
    <w:p>
      <w:pPr>
        <w:pStyle w:val="ListBullet"/>
      </w:pPr>
      <w:r>
        <w:t>Sie können weder gesperrt noch entsperrt werden.</w:t>
      </w:r>
    </w:p>
    <w:p>
      <w:r>
        <w:t>Laut SAP-Community lässt sich der Object Store für bestehende Spaces nicht nachträglich aktivieren; dafür ist ein neuer Datei-Space nötig. Diese Aussage ist nicht in der offiziellen Hilfe verifiziert.</w:t>
      </w:r>
    </w:p>
    <w:p>
      <w:pPr>
        <w:pStyle w:val="Heading3"/>
      </w:pPr>
      <w:r>
        <w:t>4.4.3 Speicher (Disk/Memory)</w:t>
      </w:r>
    </w:p>
    <w:p>
      <w:r>
        <w:rPr>
          <w:b/>
        </w:rPr>
        <w:t>Was:</w:t>
      </w:r>
      <w:r>
        <w:t xml:space="preserve"> Zuweisung von Disk- und In-Memory-Speicher an einen SAP-HANA-Database-Space.</w:t>
      </w:r>
    </w:p>
    <w:p>
      <w:r>
        <w:rPr>
          <w:b/>
        </w:rPr>
        <w:t>Wofür:</w:t>
      </w:r>
      <w:r>
        <w:t xml:space="preserve"> Die Kontingente begrenzen den Ressourcenverbrauch je Team und verhindern, dass ein Space den Mandanten auslastet.</w:t>
      </w:r>
    </w:p>
    <w:p>
      <w:r>
        <w:rPr>
          <w:b/>
        </w:rPr>
        <w:t>Verhalten bei Überschreitung:</w:t>
      </w:r>
      <w:r>
        <w:t xml:space="preserve"> Überschreitet ein Space seine Speicherzuweisung, wird er gesperrt. Die Sperre bleibt bestehen, bis ein Benutzer des Spaces überzähliges Datenvolumen löscht oder ein Administrator mehr Speicher zuweist.</w:t>
      </w:r>
    </w:p>
    <w:p>
      <w:r>
        <w:t>Mögliche Mindest- und Höchstwerte sowie die Standardwerte beim Anlegen sind nicht verifiziert.</w:t>
      </w:r>
    </w:p>
    <w:p>
      <w:pPr>
        <w:pStyle w:val="Heading3"/>
      </w:pPr>
      <w:r>
        <w:t>4.4.4 Priorität und Workload-Klassen</w:t>
      </w:r>
    </w:p>
    <w:p>
      <w:r>
        <w:rPr>
          <w:b/>
        </w:rPr>
        <w:t>Was:</w:t>
      </w:r>
      <w:r>
        <w:t xml:space="preserve"> Steuerung, wie viel Datenbanklast ein Space im Verhältnis zu anderen Spaces erzeugen darf. Zwei Einstellungsebenen sind belegt:</w:t>
      </w:r>
    </w:p>
    <w:p>
      <w:pPr>
        <w:pStyle w:val="ListBullet"/>
      </w:pPr>
      <w:r>
        <w:rPr>
          <w:b/>
        </w:rPr>
        <w:t>Je Space:</w:t>
      </w:r>
      <w:r>
        <w:t xml:space="preserve"> Auf der Space-Seite im Abschnitt </w:t>
      </w:r>
      <w:r>
        <w:rPr>
          <w:i/>
        </w:rPr>
        <w:t>Workload Management</w:t>
      </w:r>
      <w:r>
        <w:t xml:space="preserve"> setzen Sie die Space-Priorität (</w:t>
      </w:r>
      <w:r>
        <w:rPr>
          <w:i/>
        </w:rPr>
        <w:t>Space Priority</w:t>
      </w:r>
      <w:r>
        <w:t>), die bei Datenbankabfragen gegenüber anderen Spaces gilt. Dazu kommen Statement-Limits (</w:t>
      </w:r>
      <w:r>
        <w:rPr>
          <w:i/>
        </w:rPr>
        <w:t>Statement Limits</w:t>
      </w:r>
      <w:r>
        <w:t>) für Threads und Speicher.</w:t>
      </w:r>
    </w:p>
    <w:p>
      <w:pPr>
        <w:pStyle w:val="ListBullet"/>
      </w:pPr>
      <w:r>
        <w:rPr>
          <w:b/>
        </w:rPr>
        <w:t>Mandantenweit:</w:t>
      </w:r>
      <w:r>
        <w:t xml:space="preserve"> Unter System → Konfiguration → </w:t>
      </w:r>
      <w:r>
        <w:rPr>
          <w:i/>
        </w:rPr>
        <w:t>Workload Management</w:t>
      </w:r>
      <w:r>
        <w:t xml:space="preserve"> lassen sich Prioritäten und Statement-Limits wahlweise je Space oder je Prozessgruppe verwalten. SAP stellt acht Gruppen bereit. Beispiel: Der Gruppe </w:t>
      </w:r>
      <w:r>
        <w:rPr>
          <w:i/>
        </w:rPr>
        <w:t>Analytic Consumption</w:t>
      </w:r>
      <w:r>
        <w:t xml:space="preserve"> lassen sich höhere Thread- und Speicherlimits geben als den Gruppen </w:t>
      </w:r>
      <w:r>
        <w:rPr>
          <w:i/>
        </w:rPr>
        <w:t>Modeling</w:t>
      </w:r>
      <w:r>
        <w:t xml:space="preserve"> oder </w:t>
      </w:r>
      <w:r>
        <w:rPr>
          <w:i/>
        </w:rPr>
        <w:t>Data Management</w:t>
      </w:r>
      <w:r>
        <w:t>.</w:t>
      </w:r>
    </w:p>
    <w:p>
      <w:r>
        <w:t>Technisch beruht die Steuerung auf SAP-HANA-Workload-Klassen (</w:t>
      </w:r>
      <w:r>
        <w:rPr>
          <w:i/>
        </w:rPr>
        <w:t>workload classes</w:t>
      </w:r>
      <w:r>
        <w:t>). Wertebereich und Standardwert der Priorität sind nicht verifiziert. Die mandantenweite Konfiguration gehört zu Kapitel 3.</w:t>
      </w:r>
    </w:p>
    <w:p>
      <w:pPr>
        <w:pStyle w:val="Heading3"/>
      </w:pPr>
      <w:r>
        <w:t>4.4.5 Mitglieder und Scoped Roles</w:t>
      </w:r>
    </w:p>
    <w:p>
      <w:r>
        <w:rPr>
          <w:b/>
        </w:rPr>
        <w:t>Was:</w:t>
      </w:r>
      <w:r>
        <w:t xml:space="preserve"> Festlegen, welche Benutzer mit welchen Berechtigungen in einem Space arbeiten.</w:t>
      </w:r>
    </w:p>
    <w:p>
      <w:r>
        <w:rPr>
          <w:b/>
        </w:rPr>
        <w:t>Wie:</w:t>
      </w:r>
      <w:r>
        <w:t xml:space="preserve"> Berechtigungen auf Space-Ebene werden über Scoped Roles vergeben. Eine Scoped Role verknüpft eine Rolle mit Space-bezogenen Privilegien mit einer Menge von Spaces und Benutzern. Dafür gibt es zwei Wege:</w:t>
      </w:r>
    </w:p>
    <w:p>
      <w:pPr>
        <w:pStyle w:val="ListBullet"/>
      </w:pPr>
      <w:r>
        <w:t>Sie nutzen eine der vordefinierten Scoped Roles und weisen ihr direkt Spaces und Benutzer zu.</w:t>
      </w:r>
    </w:p>
    <w:p>
      <w:pPr>
        <w:pStyle w:val="ListBullet"/>
      </w:pPr>
      <w:r>
        <w:t>Sie legen eine eigene Rolle an, die nur Space-bezogene (</w:t>
      </w:r>
      <w:r>
        <w:rPr>
          <w:i/>
        </w:rPr>
        <w:t>scoped</w:t>
      </w:r>
      <w:r>
        <w:t>) Privilegien enthält, und erstellen daraus im zweiten Schritt eine Scoped Role.</w:t>
      </w:r>
    </w:p>
    <w:p>
      <w:r>
        <w:t xml:space="preserve">Laut SAP-Community gibt es eine Rolle </w:t>
      </w:r>
      <w:r>
        <w:rPr>
          <w:i/>
        </w:rPr>
        <w:t>DW Scoped Space Administrator</w:t>
      </w:r>
      <w:r>
        <w:t>, mit der Space-Administratoren Benutzer und Scoped Roles auf Space-Ebene zuordnen können. Diese Aussage ist nicht in der offiziellen Hilfe verifiziert.</w:t>
      </w:r>
    </w:p>
    <w:p>
      <w:r>
        <w:t>Scoped Roles lassen sich auch per CLI verwalten. Anlage und Pflege der Rollen beschreibt Kapitel 3. Wie der Space-Administrator auf der Space-Seite Mitglieder hinzufügt, ist im Ablauf (Dialogtexte) nicht verifiziert.</w:t>
      </w:r>
    </w:p>
    <w:p>
      <w:pPr>
        <w:pStyle w:val="Heading3"/>
      </w:pPr>
      <w:r>
        <w:t>4.4.6 Datenbankzugriff: Datenbankbenutzer, Open SQL Schema, HDI-Container</w:t>
      </w:r>
    </w:p>
    <w:p>
      <w:r>
        <w:rPr>
          <w:b/>
        </w:rPr>
        <w:t>Datenbankbenutzer (*Database Users*):</w:t>
      </w:r>
    </w:p>
    <w:p>
      <w:pPr>
        <w:pStyle w:val="ListBullet"/>
      </w:pPr>
      <w:r>
        <w:rPr>
          <w:b/>
        </w:rPr>
        <w:t>Wofür:</w:t>
      </w:r>
      <w:r>
        <w:t xml:space="preserve"> Externe Werkzeuge (z. B. ETL- oder BI-Tools über ODBC) schreiben Daten in den Space oder lesen bereitgestellte Views.</w:t>
      </w:r>
    </w:p>
    <w:p>
      <w:pPr>
        <w:pStyle w:val="ListBullet"/>
      </w:pPr>
      <w:r>
        <w:rPr>
          <w:b/>
        </w:rPr>
        <w:t>Anlegen:</w:t>
      </w:r>
      <w:r>
        <w:t xml:space="preserve"> Im Abschnitt </w:t>
      </w:r>
      <w:r>
        <w:rPr>
          <w:i/>
        </w:rPr>
        <w:t>Database Users</w:t>
      </w:r>
      <w:r>
        <w:t xml:space="preserve"> wählen Sie </w:t>
      </w:r>
      <w:r>
        <w:rPr>
          <w:i/>
        </w:rPr>
        <w:t>Create</w:t>
      </w:r>
      <w:r>
        <w:t xml:space="preserve">. Es öffnet sich der Dialog </w:t>
      </w:r>
      <w:r>
        <w:rPr>
          <w:i/>
        </w:rPr>
        <w:t>Create Database User</w:t>
      </w:r>
      <w:r>
        <w:t>. Der eingegebene Name wird an den Space-Namen angehängt und ergibt so den Namen des Open SQL Schemas (</w:t>
      </w:r>
      <w:r>
        <w:rPr>
          <w:i/>
        </w:rPr>
        <w:t>Open SQL Schema</w:t>
      </w:r>
      <w:r>
        <w:t>).</w:t>
      </w:r>
    </w:p>
    <w:p>
      <w:pPr>
        <w:pStyle w:val="ListBullet"/>
      </w:pPr>
      <w:r>
        <w:rPr>
          <w:b/>
        </w:rPr>
        <w:t>Optionen:</w:t>
      </w:r>
      <w:r>
        <w:t xml:space="preserve"> Weitere Optionen wie Lese- bzw. Schreibzugriff, Zugriff auf das Space-Schema und HDI-Nutzung sind nicht verifiziert. Dasselbe gilt für das Trennzeichen im Schemanamen.</w:t>
      </w:r>
    </w:p>
    <w:p>
      <w:pPr>
        <w:pStyle w:val="ListBullet"/>
      </w:pPr>
      <w:r>
        <w:rPr>
          <w:b/>
        </w:rPr>
        <w:t>Sperre:</w:t>
      </w:r>
      <w:r>
        <w:t xml:space="preserve"> Nach zu vielen falschen Passworteingaben wird ein Datenbankbenutzer gesperrt (laut SAP-KBA, nicht in der Hilfe verifiziert).</w:t>
      </w:r>
    </w:p>
    <w:p>
      <w:pPr>
        <w:pStyle w:val="ListBullet"/>
      </w:pPr>
      <w:r>
        <w:rPr>
          <w:b/>
        </w:rPr>
        <w:t>Mehrere Spaces:</w:t>
      </w:r>
      <w:r>
        <w:t xml:space="preserve"> Benutzer mit Zugriff auf mehrere Spaces werden mandantenweit über Datenbankbenutzergruppen (</w:t>
      </w:r>
      <w:r>
        <w:rPr>
          <w:i/>
        </w:rPr>
        <w:t>Database User Groups</w:t>
      </w:r>
      <w:r>
        <w:t xml:space="preserve">) unter System → Konfiguration → </w:t>
      </w:r>
      <w:r>
        <w:rPr>
          <w:i/>
        </w:rPr>
        <w:t>Database Access</w:t>
      </w:r>
      <w:r>
        <w:t xml:space="preserve"> angelegt (siehe Kapitel 3).</w:t>
      </w:r>
    </w:p>
    <w:p>
      <w:r>
        <w:rPr>
          <w:b/>
        </w:rPr>
        <w:t>HDI-Container (*HDI Containers*):</w:t>
      </w:r>
    </w:p>
    <w:p>
      <w:pPr>
        <w:pStyle w:val="ListBullet"/>
      </w:pPr>
      <w:r>
        <w:rPr>
          <w:b/>
        </w:rPr>
        <w:t>Was:</w:t>
      </w:r>
      <w:r>
        <w:t xml:space="preserve"> Datenaustausch zwischen Containern der SAP HANA Deployment Infrastructure und dem Space, z. B. für Calculation Views aus SAP SQL Data Warehousing.</w:t>
      </w:r>
    </w:p>
    <w:p>
      <w:pPr>
        <w:pStyle w:val="ListBullet"/>
      </w:pPr>
      <w:r>
        <w:rPr>
          <w:b/>
        </w:rPr>
        <w:t>Voraussetzung:</w:t>
      </w:r>
      <w:r>
        <w:t xml:space="preserve"> Im HDI-Projekt müssen Rollen angelegt werden, mit denen SAP Datasphere aus dem Container lesen und optional in ihn schreiben darf.</w:t>
      </w:r>
    </w:p>
    <w:p>
      <w:pPr>
        <w:pStyle w:val="ListBullet"/>
      </w:pPr>
      <w:r>
        <w:rPr>
          <w:b/>
        </w:rPr>
        <w:t>Grenzen:</w:t>
      </w:r>
      <w:r>
        <w:t xml:space="preserve"> Das frühere Verfahren, HDI-Container per Support-Ticket zuordnen zu lassen, ist in der zugehörigen SAP-KBA als „obsolet“ markiert. Den aktuellen Freischaltweg über die Oberfläche konnte ich nicht verifizieren. ⚠ abhängig von Freischaltung</w:t>
      </w:r>
    </w:p>
    <w:p>
      <w:r>
        <w:t>Sicherheitsaspekte des Datenbankzugriffs behandelt Kapitel 9, die Nutzung durch Drittwerkzeuge Kapitel 12.</w:t>
      </w:r>
    </w:p>
    <w:p>
      <w:pPr>
        <w:pStyle w:val="Heading3"/>
      </w:pPr>
      <w:r>
        <w:t>4.4.7 Connections im Space</w:t>
      </w:r>
    </w:p>
    <w:p>
      <w:r>
        <w:t>Verbindungen zu Quellsystemen werden immer innerhalb eines Spaces angelegt und gelten nur dort. Oberfläche, Verbindungstypen und Konnektivität beschreibt Kapitel 5.</w:t>
      </w:r>
    </w:p>
    <w:p>
      <w:pPr>
        <w:pStyle w:val="Heading3"/>
      </w:pPr>
      <w:r>
        <w:t>4.4.8 Zeitdaten (Time Data)</w:t>
      </w:r>
    </w:p>
    <w:p>
      <w:r>
        <w:rPr>
          <w:b/>
        </w:rPr>
        <w:t>Was:</w:t>
      </w:r>
      <w:r>
        <w:t xml:space="preserve"> Erzeugt in einem Space eine Zeittabelle und dazugehörige Dimensions-Views.</w:t>
      </w:r>
    </w:p>
    <w:p>
      <w:r>
        <w:rPr>
          <w:b/>
        </w:rPr>
        <w:t>Wofür:</w:t>
      </w:r>
      <w:r>
        <w:t xml:space="preserve"> Einheitliche Zeitdaten für Analysen. Die Views erlauben Auswertungen und Drilldowns auf Ebene Tag, Woche, Monat, Quartal und Jahr.</w:t>
      </w:r>
    </w:p>
    <w:p>
      <w:r>
        <w:rPr>
          <w:b/>
        </w:rPr>
        <w:t>Optionen:</w:t>
      </w:r>
    </w:p>
    <w:p>
      <w:pPr>
        <w:pStyle w:val="ListBullet"/>
      </w:pPr>
      <w:r>
        <w:t>Zeitraum über Von-/Bis-Jahr; standardmäßig 1900 bis 2050.</w:t>
      </w:r>
    </w:p>
    <w:p>
      <w:pPr>
        <w:pStyle w:val="ListBullet"/>
      </w:pPr>
      <w:r>
        <w:t>Die Tabelle enthält einen Datensatz je Tag.</w:t>
      </w:r>
    </w:p>
    <w:p>
      <w:r>
        <w:rPr>
          <w:b/>
        </w:rPr>
        <w:t>Grenze:</w:t>
      </w:r>
      <w:r>
        <w:t xml:space="preserve"> In SAP Analytics Cloud werden nur Standard-Zeitdimensionen unterstützt, die auf diesem Weg erzeugt wurden. Fiskalische Zeitdimensionen werden gesondert angelegt (siehe Kapitel 6).</w:t>
      </w:r>
    </w:p>
    <w:p>
      <w:pPr>
        <w:pStyle w:val="Heading3"/>
      </w:pPr>
      <w:r>
        <w:t>4.4.9 Auditing (Space Audit Settings)</w:t>
      </w:r>
    </w:p>
    <w:p>
      <w:r>
        <w:rPr>
          <w:b/>
        </w:rPr>
        <w:t>Was:</w:t>
      </w:r>
      <w:r>
        <w:t xml:space="preserve"> Protokollierung von Lese- und/oder Änderungsoperationen auf den Daten eines Spaces.</w:t>
      </w:r>
    </w:p>
    <w:p>
      <w:r>
        <w:rPr>
          <w:b/>
        </w:rPr>
        <w:t>Optionen:</w:t>
      </w:r>
    </w:p>
    <w:p>
      <w:pPr>
        <w:pStyle w:val="ListBullet"/>
      </w:pPr>
      <w:r>
        <w:t>Lese- und Änderungsprotokoll getrennt aktivierbar.</w:t>
      </w:r>
    </w:p>
    <w:p>
      <w:pPr>
        <w:pStyle w:val="ListBullet"/>
      </w:pPr>
      <w:r>
        <w:t>Aufbewahrungsdauer in Tagen: Standard 30, mindestens 7, höchstens 10 000. Diese Werte stammen aus einer SAP-KBA und sind nicht in der Hilfe verifiziert.</w:t>
      </w:r>
    </w:p>
    <w:p>
      <w:r>
        <w:rPr>
          <w:b/>
        </w:rPr>
        <w:t>Hinweise:</w:t>
      </w:r>
    </w:p>
    <w:p>
      <w:pPr>
        <w:pStyle w:val="ListBullet"/>
      </w:pPr>
      <w:r>
        <w:t>Es werden alle Lese- bzw. Schreiboperationen protokolliert. Das kann schnell viel Speicher belegen.</w:t>
      </w:r>
    </w:p>
    <w:p>
      <w:pPr>
        <w:pStyle w:val="ListBullet"/>
      </w:pPr>
      <w:r>
        <w:t>SAP empfiehlt, die Protokollierung nur für tatsächlich compliance-relevante Spaces zu aktivieren.</w:t>
      </w:r>
    </w:p>
    <w:p>
      <w:pPr>
        <w:pStyle w:val="ListBullet"/>
      </w:pPr>
      <w:r>
        <w:t>Laut KBA sinkt der belegte Speicher nicht sofort, wenn das Protokoll deaktiviert wird.</w:t>
      </w:r>
    </w:p>
    <w:p>
      <w:r>
        <w:t>Auswertung und Sicherheitskonzept: siehe Kapitel 9.</w:t>
      </w:r>
    </w:p>
    <w:p>
      <w:pPr>
        <w:pStyle w:val="Heading3"/>
      </w:pPr>
      <w:r>
        <w:t>4.4.10 Data-Lake-Zugriff ⚠ abhängig von Lizenz/Freischaltung</w:t>
      </w:r>
    </w:p>
    <w:p>
      <w:r>
        <w:rPr>
          <w:b/>
        </w:rPr>
        <w:t>Was:</w:t>
      </w:r>
      <w:r>
        <w:t xml:space="preserve"> Zugriff eines Spaces auf den angebundenen Data Lake von SAP HANA Cloud.</w:t>
      </w:r>
    </w:p>
    <w:p>
      <w:r>
        <w:rPr>
          <w:b/>
        </w:rPr>
        <w:t>Wie:</w:t>
      </w:r>
      <w:r>
        <w:t xml:space="preserve"> Sie wählen einen bestehenden Space oder legen einen eigenen Space für den Data Lake an. Dann aktivieren Sie unter </w:t>
      </w:r>
      <w:r>
        <w:rPr>
          <w:i/>
        </w:rPr>
        <w:t>Storage Assignment</w:t>
      </w:r>
      <w:r>
        <w:t xml:space="preserve"> das Kontrollkästchen </w:t>
      </w:r>
      <w:r>
        <w:rPr>
          <w:i/>
        </w:rPr>
        <w:t>Use this space to access the data lake</w:t>
      </w:r>
      <w:r>
        <w:t xml:space="preserve">. Auf der Startseite zeigt die Spalte </w:t>
      </w:r>
      <w:r>
        <w:rPr>
          <w:i/>
        </w:rPr>
        <w:t>Data Lake Access</w:t>
      </w:r>
      <w:r>
        <w:t>, welcher Space den Zugriff hat.</w:t>
      </w:r>
    </w:p>
    <w:p>
      <w:r>
        <w:rPr>
          <w:b/>
        </w:rPr>
        <w:t>Grenzen:</w:t>
      </w:r>
      <w:r>
        <w:t xml:space="preserve"> Ob nur ein Space je Mandant den Zugriff erhalten kann und wie sich diese Funktion zu den Datei-Spaces (4.4.2) verhält, ist nicht verifiziert.</w:t>
      </w:r>
    </w:p>
    <w:p>
      <w:pPr>
        <w:pStyle w:val="Heading3"/>
      </w:pPr>
      <w:r>
        <w:t>4.4.11 Sperren und Entsperren</w:t>
      </w:r>
    </w:p>
    <w:p>
      <w:r>
        <w:rPr>
          <w:b/>
        </w:rPr>
        <w:t>Wann sperrt ein Space:</w:t>
      </w:r>
      <w:r>
        <w:t xml:space="preserve"> Er wird gesperrt, wenn er seine Speicherzuweisung überschreitet (4.4.3). Weitere Sperrgründe und eine manuelle Sperrfunktion für Administratoren sind nicht verifiziert.</w:t>
      </w:r>
    </w:p>
    <w:p>
      <w:r>
        <w:rPr>
          <w:b/>
        </w:rPr>
        <w:t>Entsperren:</w:t>
      </w:r>
      <w:r>
        <w:t xml:space="preserve"> Ein Benutzer mit Space-Administratorrolle wählt </w:t>
      </w:r>
      <w:r>
        <w:rPr>
          <w:i/>
        </w:rPr>
        <w:t>Unlock</w:t>
      </w:r>
      <w:r>
        <w:t xml:space="preserve"> auf der Startseite Space Management oder auf der Space-Seite. Danach löschen die Mitglieder Daten, bis der Space wieder unter seinem Limit liegt. Alternativ weist ein Administrator mehr Speicher zu.</w:t>
      </w:r>
    </w:p>
    <w:p>
      <w:r>
        <w:rPr>
          <w:b/>
        </w:rPr>
        <w:t>Grenze:</w:t>
      </w:r>
      <w:r>
        <w:t xml:space="preserve"> Datei-Spaces lassen sich nicht sperren oder entsperren.</w:t>
      </w:r>
    </w:p>
    <w:p>
      <w:pPr>
        <w:pStyle w:val="Heading3"/>
      </w:pPr>
      <w:r>
        <w:t>4.4.12 Löschen und Papierkorb</w:t>
      </w:r>
    </w:p>
    <w:p>
      <w:r>
        <w:rPr>
          <w:b/>
        </w:rPr>
        <w:t>Löschen:</w:t>
      </w:r>
      <w:r>
        <w:t xml:space="preserve"> Space auswählen, </w:t>
      </w:r>
      <w:r>
        <w:rPr>
          <w:i/>
        </w:rPr>
        <w:t>Delete</w:t>
      </w:r>
      <w:r>
        <w:t xml:space="preserve"> wählen, im Bestätigungsdialog „DELETE“ eingeben und erneut </w:t>
      </w:r>
      <w:r>
        <w:rPr>
          <w:i/>
        </w:rPr>
        <w:t>Delete</w:t>
      </w:r>
      <w:r>
        <w:t xml:space="preserve"> wählen. Der Space wandert in den Papierkorb (</w:t>
      </w:r>
      <w:r>
        <w:rPr>
          <w:i/>
        </w:rPr>
        <w:t>Recycle Bin</w:t>
      </w:r>
      <w:r>
        <w:t>).</w:t>
      </w:r>
    </w:p>
    <w:p>
      <w:r>
        <w:rPr>
          <w:b/>
        </w:rPr>
        <w:t>Papierkorb:</w:t>
      </w:r>
      <w:r>
        <w:t xml:space="preserve"> Spaces lassen sich dort wiederherstellen oder endgültig löschen. Für das endgültige Löschen ist ebenfalls die Bestätigung „DELETE“ nötig.</w:t>
      </w:r>
    </w:p>
    <w:p>
      <w:r>
        <w:rPr>
          <w:b/>
        </w:rPr>
        <w:t>Grenzen:</w:t>
      </w:r>
    </w:p>
    <w:p>
      <w:pPr>
        <w:pStyle w:val="ListBullet"/>
      </w:pPr>
      <w:r>
        <w:t>Solange ein Space im Papierkorb liegt, kann kein neuer Space mit derselben ID angelegt werden.</w:t>
      </w:r>
    </w:p>
    <w:p>
      <w:pPr>
        <w:pStyle w:val="ListBullet"/>
      </w:pPr>
      <w:r>
        <w:t>Laut SAP-KBA lässt sich ein Space nicht löschen, solange er SAP-Analytics-Cloud-Modelle, öffentliche Dimensionen oder Tabellen für Währungsumrechnung enthält. Diese Objekte müssen zuerst entfernt werden.</w:t>
      </w:r>
    </w:p>
    <w:p>
      <w:pPr>
        <w:pStyle w:val="Heading3"/>
      </w:pPr>
      <w:r>
        <w:t>4.4.13 Monitoring je Space</w:t>
      </w:r>
    </w:p>
    <w:p>
      <w:r>
        <w:t>Auf Space-Ebene lassen sich der Speicherverbrauch und die Auslastung im Verhältnis zur Zuweisung verfolgen. Welche Kennzahlen die Space-Seite genau anzeigt, ist nicht verifiziert.</w:t>
      </w:r>
    </w:p>
    <w:p>
      <w:r>
        <w:t>Ein Space kann als Monitoring-Space für mandantenweite Überwachungsdaten bestimmt werden; Datei-Spaces sind dafür ausgeschlossen. Das Monitoring von Datenintegrationsläufen und Systemlast beschreibt Kapitel 10.</w:t>
      </w:r>
    </w:p>
    <w:p>
      <w:pPr>
        <w:pStyle w:val="Heading3"/>
      </w:pPr>
      <w:r>
        <w:t>4.4.14 Teilen von Objekten zwischen Spaces (Sharing)</w:t>
      </w:r>
    </w:p>
    <w:p>
      <w:r>
        <w:rPr>
          <w:b/>
        </w:rPr>
        <w:t>Was:</w:t>
      </w:r>
      <w:r>
        <w:t xml:space="preserve"> Modellierer geben Tabellen, Views und Task-Ketten aus ihrem Space für andere Spaces frei.</w:t>
      </w:r>
    </w:p>
    <w:p>
      <w:r>
        <w:rPr>
          <w:b/>
        </w:rPr>
        <w:t>Wofür:</w:t>
      </w:r>
      <w:r>
        <w:t xml:space="preserve"> Benutzer im Ziel-Space sehen die Daten des geteilten Objekts und können es als Quelle für eigene Views und weitere Objekte nutzen. Daten müssen dafür nicht kopiert werden.</w:t>
      </w:r>
    </w:p>
    <w:p>
      <w:r>
        <w:rPr>
          <w:b/>
        </w:rPr>
        <w:t>Wie:</w:t>
      </w:r>
      <w:r>
        <w:t xml:space="preserve"> Sie wählen die Objekte auf der Startseite des Data Builder (</w:t>
      </w:r>
      <w:r>
        <w:rPr>
          <w:i/>
        </w:rPr>
        <w:t>Data Builder</w:t>
      </w:r>
      <w:r>
        <w:t>) oder im Repository Explorer (</w:t>
      </w:r>
      <w:r>
        <w:rPr>
          <w:i/>
        </w:rPr>
        <w:t>Repository Explorer</w:t>
      </w:r>
      <w:r>
        <w:t>) aus und teilen sie über den Freigabedialog (</w:t>
      </w:r>
      <w:r>
        <w:rPr>
          <w:i/>
        </w:rPr>
        <w:t>Share</w:t>
      </w:r>
      <w:r>
        <w:t>).</w:t>
      </w:r>
    </w:p>
    <w:p>
      <w:r>
        <w:rPr>
          <w:b/>
        </w:rPr>
        <w:t>Grenze:</w:t>
      </w:r>
      <w:r>
        <w:t xml:space="preserve"> Views, die bei der Installation eines Datenprodukts für einen SAP-verwalteten Space freigegeben wurden, lassen sich nicht zurücknehmen (laut SAP-KBA).</w:t>
      </w:r>
    </w:p>
    <w:p>
      <w:r>
        <w:t>Weiteres zur Modellierung steht in Kapitel 6, zu Datenprodukten in Kapitel 8.</w:t>
      </w:r>
    </w:p>
    <w:p>
      <w:pPr>
        <w:pStyle w:val="Heading2"/>
      </w:pPr>
      <w:r>
        <w:t>4.5 Typische Abläufe</w:t>
      </w:r>
    </w:p>
    <w:p>
      <w:r>
        <w:rPr>
          <w:b/>
        </w:rPr>
        <w:t>Ablauf A – Space anlegen und bereitstellen</w:t>
      </w:r>
    </w:p>
    <w:p>
      <w:pPr>
        <w:pStyle w:val="ListNumber"/>
      </w:pPr>
      <w:r>
        <w:t xml:space="preserve">In der Seitenleiste </w:t>
      </w:r>
      <w:r>
        <w:rPr>
          <w:i/>
        </w:rPr>
        <w:t>Space Management</w:t>
      </w:r>
      <w:r>
        <w:t xml:space="preserve"> öffnen und </w:t>
      </w:r>
      <w:r>
        <w:rPr>
          <w:i/>
        </w:rPr>
        <w:t>Create</w:t>
      </w:r>
      <w:r>
        <w:t xml:space="preserve"> wählen.</w:t>
      </w:r>
    </w:p>
    <w:p>
      <w:pPr>
        <w:pStyle w:val="ListNumber"/>
      </w:pPr>
      <w:r>
        <w:t>Geschäftsnamen (max. 30 Zeichen) und Space-ID (max. 20 Zeichen, A–Z, 0–9, _) eingeben.</w:t>
      </w:r>
    </w:p>
    <w:p>
      <w:pPr>
        <w:pStyle w:val="ListNumber"/>
      </w:pPr>
      <w:r>
        <w:t>Speichertyp wählen ⚠ (SAP HANA Database oder SAP HANA Data Lake Files).</w:t>
      </w:r>
    </w:p>
    <w:p>
      <w:pPr>
        <w:pStyle w:val="ListNumber"/>
      </w:pPr>
      <w:r>
        <w:t>Speicher (Disk/Memory) bzw. Rechenressourcen zuweisen.</w:t>
      </w:r>
    </w:p>
    <w:p>
      <w:pPr>
        <w:pStyle w:val="ListNumber"/>
      </w:pPr>
      <w:r>
        <w:t xml:space="preserve">Bei Bedarf Priorität und Statement-Limits unter </w:t>
      </w:r>
      <w:r>
        <w:rPr>
          <w:i/>
        </w:rPr>
        <w:t>Workload Management</w:t>
      </w:r>
      <w:r>
        <w:t xml:space="preserve"> festlegen.</w:t>
      </w:r>
    </w:p>
    <w:p>
      <w:pPr>
        <w:pStyle w:val="ListNumber"/>
      </w:pPr>
      <w:r>
        <w:t>Über eine Scoped Role Benutzer zuordnen (siehe 4.4.5).</w:t>
      </w:r>
    </w:p>
    <w:p>
      <w:pPr>
        <w:pStyle w:val="ListNumber"/>
      </w:pPr>
      <w:r>
        <w:t>Speichern und bereitstellen. Die Bezeichnungen der Schaltflächen sind nicht verifiziert.</w:t>
      </w:r>
    </w:p>
    <w:p>
      <w:r>
        <w:rPr>
          <w:b/>
        </w:rPr>
        <w:t>Ablauf B – Datenbankbenutzer anlegen</w:t>
      </w:r>
    </w:p>
    <w:p>
      <w:pPr>
        <w:pStyle w:val="ListNumber"/>
      </w:pPr>
      <w:r>
        <w:t>Space öffnen (</w:t>
      </w:r>
      <w:r>
        <w:rPr>
          <w:i/>
        </w:rPr>
        <w:t>Edit</w:t>
      </w:r>
      <w:r>
        <w:t>).</w:t>
      </w:r>
    </w:p>
    <w:p>
      <w:pPr>
        <w:pStyle w:val="ListNumber"/>
      </w:pPr>
      <w:r>
        <w:t xml:space="preserve">Im Abschnitt </w:t>
      </w:r>
      <w:r>
        <w:rPr>
          <w:i/>
        </w:rPr>
        <w:t>Database Users</w:t>
      </w:r>
      <w:r>
        <w:t xml:space="preserve"> auf </w:t>
      </w:r>
      <w:r>
        <w:rPr>
          <w:i/>
        </w:rPr>
        <w:t>Create</w:t>
      </w:r>
      <w:r>
        <w:t xml:space="preserve"> klicken.</w:t>
      </w:r>
    </w:p>
    <w:p>
      <w:pPr>
        <w:pStyle w:val="ListNumber"/>
      </w:pPr>
      <w:r>
        <w:t xml:space="preserve">Im Dialog </w:t>
      </w:r>
      <w:r>
        <w:rPr>
          <w:i/>
        </w:rPr>
        <w:t>Create Database User</w:t>
      </w:r>
      <w:r>
        <w:t xml:space="preserve"> den Namen eingeben; er wird an den Space-Namen angehängt.</w:t>
      </w:r>
    </w:p>
    <w:p>
      <w:pPr>
        <w:pStyle w:val="ListNumber"/>
      </w:pPr>
      <w:r>
        <w:t>Space bereitstellen; das Passwort sichern und an den Nutzer weitergeben.</w:t>
      </w:r>
    </w:p>
    <w:p>
      <w:r>
        <w:rPr>
          <w:b/>
        </w:rPr>
        <w:t>Ablauf C – Zeitdaten erzeugen</w:t>
      </w:r>
    </w:p>
    <w:p>
      <w:pPr>
        <w:pStyle w:val="ListNumber"/>
      </w:pPr>
      <w:r>
        <w:t xml:space="preserve">Space öffnen und zum Abschnitt </w:t>
      </w:r>
      <w:r>
        <w:rPr>
          <w:i/>
        </w:rPr>
        <w:t>Time Data</w:t>
      </w:r>
      <w:r>
        <w:t xml:space="preserve"> gehen.</w:t>
      </w:r>
    </w:p>
    <w:p>
      <w:pPr>
        <w:pStyle w:val="ListNumber"/>
      </w:pPr>
      <w:r>
        <w:rPr>
          <w:i/>
        </w:rPr>
        <w:t>Create Time Tables and Dimensions</w:t>
      </w:r>
      <w:r>
        <w:t xml:space="preserve"> wählen.</w:t>
      </w:r>
    </w:p>
    <w:p>
      <w:pPr>
        <w:pStyle w:val="ListNumber"/>
      </w:pPr>
      <w:r>
        <w:t>Von- und Bis-Jahr festlegen (Standard 1900–2050) und bestätigen.</w:t>
      </w:r>
    </w:p>
    <w:p>
      <w:r>
        <w:rPr>
          <w:b/>
        </w:rPr>
        <w:t>Ablauf D – Gesperrten Space entsperren</w:t>
      </w:r>
    </w:p>
    <w:p>
      <w:pPr>
        <w:pStyle w:val="ListNumber"/>
      </w:pPr>
      <w:r>
        <w:t xml:space="preserve">In </w:t>
      </w:r>
      <w:r>
        <w:rPr>
          <w:i/>
        </w:rPr>
        <w:t>Space Management</w:t>
      </w:r>
      <w:r>
        <w:t xml:space="preserve"> den gesperrten Space wählen und </w:t>
      </w:r>
      <w:r>
        <w:rPr>
          <w:i/>
        </w:rPr>
        <w:t>Unlock</w:t>
      </w:r>
      <w:r>
        <w:t xml:space="preserve"> anklicken.</w:t>
      </w:r>
    </w:p>
    <w:p>
      <w:pPr>
        <w:pStyle w:val="ListNumber"/>
      </w:pPr>
      <w:r>
        <w:t>Überzählige Daten löschen oder vom Administrator mehr Speicher zuweisen lassen.</w:t>
      </w:r>
    </w:p>
    <w:p>
      <w:r>
        <w:rPr>
          <w:b/>
        </w:rPr>
        <w:t>Ablauf E – Space löschen</w:t>
      </w:r>
    </w:p>
    <w:p>
      <w:pPr>
        <w:pStyle w:val="ListNumber"/>
      </w:pPr>
      <w:r>
        <w:t xml:space="preserve">Space auswählen und </w:t>
      </w:r>
      <w:r>
        <w:rPr>
          <w:i/>
        </w:rPr>
        <w:t>Delete</w:t>
      </w:r>
      <w:r>
        <w:t xml:space="preserve"> wählen.</w:t>
      </w:r>
    </w:p>
    <w:p>
      <w:pPr>
        <w:pStyle w:val="ListNumber"/>
      </w:pPr>
      <w:r>
        <w:t>„DELETE“ eingeben und bestätigen; der Space liegt jetzt im Papierkorb.</w:t>
      </w:r>
    </w:p>
    <w:p>
      <w:pPr>
        <w:pStyle w:val="ListNumber"/>
      </w:pPr>
      <w:r>
        <w:t xml:space="preserve">Bei Bedarf im </w:t>
      </w:r>
      <w:r>
        <w:rPr>
          <w:i/>
        </w:rPr>
        <w:t>Recycle Bin</w:t>
      </w:r>
      <w:r>
        <w:t xml:space="preserve"> wiederherstellen oder endgültig löschen.</w:t>
      </w:r>
    </w:p>
    <w:p>
      <w:pPr>
        <w:pStyle w:val="Heading2"/>
      </w:pPr>
      <w:r>
        <w:t>4.6 Abhängigkeiten, Grenzen, Hinweise</w:t>
      </w:r>
    </w:p>
    <w:p>
      <w:pPr>
        <w:pStyle w:val="ListBullet"/>
      </w:pPr>
      <w:r>
        <w:t>Die Space-ID ist dauerhaft. Planen Sie Namenskonventionen deshalb vor dem Anlegen, z. B. mit Präfixen je Umgebung.</w:t>
      </w:r>
    </w:p>
    <w:p>
      <w:pPr>
        <w:pStyle w:val="ListBullet"/>
      </w:pPr>
      <w:r>
        <w:t>Speicherkontingente wirken hart: Wer sie überschreitet, löst eine Sperre aus. Achten Sie auf Audit-Protokolle mit langer Aufbewahrung als Speichertreiber.</w:t>
      </w:r>
    </w:p>
    <w:p>
      <w:pPr>
        <w:pStyle w:val="ListBullet"/>
      </w:pPr>
      <w:r>
        <w:t>Datei-Spaces sind funktional eingeschränkt (keine CLI, kein Elastic Compute, kein Monitoring-Space, keine Sperre). ⚠</w:t>
      </w:r>
    </w:p>
    <w:p>
      <w:pPr>
        <w:pStyle w:val="ListBullet"/>
      </w:pPr>
      <w:r>
        <w:t>Den Data-Lake-Zugriff und HDI-Container gibt es nur, wenn der Mandant entsprechend bereitgestellt ist. ⚠</w:t>
      </w:r>
    </w:p>
    <w:p>
      <w:pPr>
        <w:pStyle w:val="ListBullet"/>
      </w:pPr>
      <w:r>
        <w:t>Ein Space im Papierkorb blockiert seine ID.</w:t>
      </w:r>
    </w:p>
    <w:p>
      <w:pPr>
        <w:pStyle w:val="ListBullet"/>
      </w:pPr>
      <w:r>
        <w:t>Wie Spaces zwischen Mandanten transportiert werden, beschreibt Kapitel 11.</w:t>
      </w:r>
    </w:p>
    <w:p>
      <w:pPr>
        <w:pStyle w:val="ListBullet"/>
      </w:pPr>
      <w:r>
        <w:t>SAP ändert die Oberfläche regelmäßig. Prüfen Sie Feld- und Schaltflächenbezeichnungen gegen die aktuelle Hilfe.</w:t>
      </w:r>
    </w:p>
    <w:p>
      <w:pPr>
        <w:pStyle w:val="Heading2"/>
      </w:pPr>
      <w:r>
        <w:t>4.7 Übersicht: Funktion – Zweck – benötigtes Privileg</w:t>
      </w:r>
    </w:p>
    <w:p>
      <w:r>
        <w:t xml:space="preserve">Die Rollenzuordnung folgt der Dokumentation. Die genauen Privilegiennamen und Berechtigungsstufen (z. B. </w:t>
      </w:r>
      <w:r>
        <w:rPr>
          <w:i/>
        </w:rPr>
        <w:t>Spaces</w:t>
      </w:r>
      <w:r>
        <w:t xml:space="preserve">, </w:t>
      </w:r>
      <w:r>
        <w:rPr>
          <w:i/>
        </w:rPr>
        <w:t>Space Files</w:t>
      </w:r>
      <w:r>
        <w:t xml:space="preserve">, </w:t>
      </w:r>
      <w:r>
        <w:rPr>
          <w:i/>
        </w:rPr>
        <w:t>Scoped Role User Assignment</w:t>
      </w:r>
      <w:r>
        <w:t>) sind nicht verifiziert.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 Rolle/Privileg</w:t>
            </w:r>
          </w:p>
        </w:tc>
      </w:tr>
      <w:tr>
        <w:tc>
          <w:tcPr>
            <w:tcW w:type="dxa" w:w="2880"/>
          </w:tcPr>
          <w:p>
            <w:r>
              <w:t>Space anlegen (UI/CLI)</w:t>
            </w:r>
          </w:p>
        </w:tc>
        <w:tc>
          <w:tcPr>
            <w:tcW w:type="dxa" w:w="2880"/>
          </w:tcPr>
          <w:p>
            <w:r>
              <w:t>Neuen Arbeitsbereich erstellen</w:t>
            </w:r>
          </w:p>
        </w:tc>
        <w:tc>
          <w:tcPr>
            <w:tcW w:type="dxa" w:w="2880"/>
          </w:tcPr>
          <w:p>
            <w:r>
              <w:rPr>
                <w:i/>
              </w:rPr>
              <w:t>DW Administrator</w:t>
            </w:r>
            <w:r>
              <w:t xml:space="preserve"> oder gleichwertig</w:t>
            </w:r>
          </w:p>
        </w:tc>
      </w:tr>
      <w:tr>
        <w:tc>
          <w:tcPr>
            <w:tcW w:type="dxa" w:w="2880"/>
          </w:tcPr>
          <w:p>
            <w:r>
              <w:t>Speicher/Rechenressourcen zuweisen</w:t>
            </w:r>
          </w:p>
        </w:tc>
        <w:tc>
          <w:tcPr>
            <w:tcW w:type="dxa" w:w="2880"/>
          </w:tcPr>
          <w:p>
            <w:r>
              <w:t>Ressourcen begrenzen</w:t>
            </w:r>
          </w:p>
        </w:tc>
        <w:tc>
          <w:tcPr>
            <w:tcW w:type="dxa" w:w="2880"/>
          </w:tcPr>
          <w:p>
            <w:r>
              <w:t>Administrator</w:t>
            </w:r>
          </w:p>
        </w:tc>
      </w:tr>
      <w:tr>
        <w:tc>
          <w:tcPr>
            <w:tcW w:type="dxa" w:w="2880"/>
          </w:tcPr>
          <w:p>
            <w:r>
              <w:t>Priorität/Statement-Limits</w:t>
            </w:r>
          </w:p>
        </w:tc>
        <w:tc>
          <w:tcPr>
            <w:tcW w:type="dxa" w:w="2880"/>
          </w:tcPr>
          <w:p>
            <w:r>
              <w:t>Lastverteilung</w:t>
            </w:r>
          </w:p>
        </w:tc>
        <w:tc>
          <w:tcPr>
            <w:tcW w:type="dxa" w:w="2880"/>
          </w:tcPr>
          <w:p>
            <w:r>
              <w:t>Administrator (Space-Ebene: nicht verifiziert)</w:t>
            </w:r>
          </w:p>
        </w:tc>
      </w:tr>
      <w:tr>
        <w:tc>
          <w:tcPr>
            <w:tcW w:type="dxa" w:w="2880"/>
          </w:tcPr>
          <w:p>
            <w:r>
              <w:t>Mitglieder zuordnen</w:t>
            </w:r>
          </w:p>
        </w:tc>
        <w:tc>
          <w:tcPr>
            <w:tcW w:type="dxa" w:w="2880"/>
          </w:tcPr>
          <w:p>
            <w:r>
              <w:t>Zugriff steuern</w:t>
            </w:r>
          </w:p>
        </w:tc>
        <w:tc>
          <w:tcPr>
            <w:tcW w:type="dxa" w:w="2880"/>
          </w:tcPr>
          <w:p>
            <w:r>
              <w:t xml:space="preserve">Scoped Role; Space-Administrator bzw. </w:t>
            </w:r>
            <w:r>
              <w:rPr>
                <w:i/>
              </w:rPr>
              <w:t>DW Scoped Space Administrator</w:t>
            </w:r>
            <w:r>
              <w:t xml:space="preserve"> (Community)</w:t>
            </w:r>
          </w:p>
        </w:tc>
      </w:tr>
      <w:tr>
        <w:tc>
          <w:tcPr>
            <w:tcW w:type="dxa" w:w="2880"/>
          </w:tcPr>
          <w:p>
            <w:r>
              <w:t>Datenbankbenutzer anlegen</w:t>
            </w:r>
          </w:p>
        </w:tc>
        <w:tc>
          <w:tcPr>
            <w:tcW w:type="dxa" w:w="2880"/>
          </w:tcPr>
          <w:p>
            <w:r>
              <w:t>Externer SQL-Zugriff</w:t>
            </w:r>
          </w:p>
        </w:tc>
        <w:tc>
          <w:tcPr>
            <w:tcW w:type="dxa" w:w="2880"/>
          </w:tcPr>
          <w:p>
            <w:r>
              <w:t>Space-Administrator</w:t>
            </w:r>
          </w:p>
        </w:tc>
      </w:tr>
      <w:tr>
        <w:tc>
          <w:tcPr>
            <w:tcW w:type="dxa" w:w="2880"/>
          </w:tcPr>
          <w:p>
            <w:r>
              <w:t>HDI-Container zuordnen</w:t>
            </w:r>
          </w:p>
        </w:tc>
        <w:tc>
          <w:tcPr>
            <w:tcW w:type="dxa" w:w="2880"/>
          </w:tcPr>
          <w:p>
            <w:r>
              <w:t>Datenaustausch mit HDI</w:t>
            </w:r>
          </w:p>
        </w:tc>
        <w:tc>
          <w:tcPr>
            <w:tcW w:type="dxa" w:w="2880"/>
          </w:tcPr>
          <w:p>
            <w:r>
              <w:t>Space-Administrator ⚠</w:t>
            </w:r>
          </w:p>
        </w:tc>
      </w:tr>
      <w:tr>
        <w:tc>
          <w:tcPr>
            <w:tcW w:type="dxa" w:w="2880"/>
          </w:tcPr>
          <w:p>
            <w:r>
              <w:t>Zeitdaten erzeugen</w:t>
            </w:r>
          </w:p>
        </w:tc>
        <w:tc>
          <w:tcPr>
            <w:tcW w:type="dxa" w:w="2880"/>
          </w:tcPr>
          <w:p>
            <w:r>
              <w:t>Standard-Zeitdimensionen</w:t>
            </w:r>
          </w:p>
        </w:tc>
        <w:tc>
          <w:tcPr>
            <w:tcW w:type="dxa" w:w="2880"/>
          </w:tcPr>
          <w:p>
            <w:r>
              <w:t>Space-Administrator (nicht verifiziert)</w:t>
            </w:r>
          </w:p>
        </w:tc>
      </w:tr>
      <w:tr>
        <w:tc>
          <w:tcPr>
            <w:tcW w:type="dxa" w:w="2880"/>
          </w:tcPr>
          <w:p>
            <w:r>
              <w:t>Audit-Einstellungen</w:t>
            </w:r>
          </w:p>
        </w:tc>
        <w:tc>
          <w:tcPr>
            <w:tcW w:type="dxa" w:w="2880"/>
          </w:tcPr>
          <w:p>
            <w:r>
              <w:t>Protokollierung</w:t>
            </w:r>
          </w:p>
        </w:tc>
        <w:tc>
          <w:tcPr>
            <w:tcW w:type="dxa" w:w="2880"/>
          </w:tcPr>
          <w:p>
            <w:r>
              <w:t>Space-Administrator (nicht verifiziert)</w:t>
            </w:r>
          </w:p>
        </w:tc>
      </w:tr>
      <w:tr>
        <w:tc>
          <w:tcPr>
            <w:tcW w:type="dxa" w:w="2880"/>
          </w:tcPr>
          <w:p>
            <w:r>
              <w:t>Data-Lake-Zugriff</w:t>
            </w:r>
          </w:p>
        </w:tc>
        <w:tc>
          <w:tcPr>
            <w:tcW w:type="dxa" w:w="2880"/>
          </w:tcPr>
          <w:p>
            <w:r>
              <w:t>Zugriff auf HANA Cloud Data Lake</w:t>
            </w:r>
          </w:p>
        </w:tc>
        <w:tc>
          <w:tcPr>
            <w:tcW w:type="dxa" w:w="2880"/>
          </w:tcPr>
          <w:p>
            <w:r>
              <w:t>Administrator ⚠</w:t>
            </w:r>
          </w:p>
        </w:tc>
      </w:tr>
      <w:tr>
        <w:tc>
          <w:tcPr>
            <w:tcW w:type="dxa" w:w="2880"/>
          </w:tcPr>
          <w:p>
            <w:r>
              <w:t>Entsperren</w:t>
            </w:r>
          </w:p>
        </w:tc>
        <w:tc>
          <w:tcPr>
            <w:tcW w:type="dxa" w:w="2880"/>
          </w:tcPr>
          <w:p>
            <w:r>
              <w:t>Gesperrten Space wieder freigeben</w:t>
            </w:r>
          </w:p>
        </w:tc>
        <w:tc>
          <w:tcPr>
            <w:tcW w:type="dxa" w:w="2880"/>
          </w:tcPr>
          <w:p>
            <w:r>
              <w:t>Space-Administratorrolle</w:t>
            </w:r>
          </w:p>
        </w:tc>
      </w:tr>
      <w:tr>
        <w:tc>
          <w:tcPr>
            <w:tcW w:type="dxa" w:w="2880"/>
          </w:tcPr>
          <w:p>
            <w:r>
              <w:t>Löschen/Papierkorb</w:t>
            </w:r>
          </w:p>
        </w:tc>
        <w:tc>
          <w:tcPr>
            <w:tcW w:type="dxa" w:w="2880"/>
          </w:tcPr>
          <w:p>
            <w:r>
              <w:t>Space entfernen/wiederherstellen</w:t>
            </w:r>
          </w:p>
        </w:tc>
        <w:tc>
          <w:tcPr>
            <w:tcW w:type="dxa" w:w="2880"/>
          </w:tcPr>
          <w:p>
            <w:r>
              <w:t>Administrator (nicht verifiziert)</w:t>
            </w:r>
          </w:p>
        </w:tc>
      </w:tr>
      <w:tr>
        <w:tc>
          <w:tcPr>
            <w:tcW w:type="dxa" w:w="2880"/>
          </w:tcPr>
          <w:p>
            <w:r>
              <w:t>Objekte teilen</w:t>
            </w:r>
          </w:p>
        </w:tc>
        <w:tc>
          <w:tcPr>
            <w:tcW w:type="dxa" w:w="2880"/>
          </w:tcPr>
          <w:p>
            <w:r>
              <w:t>Wiederverwendung in anderen Spaces</w:t>
            </w:r>
          </w:p>
        </w:tc>
        <w:tc>
          <w:tcPr>
            <w:tcW w:type="dxa" w:w="2880"/>
          </w:tcPr>
          <w:p>
            <w:r>
              <w:t>Modellierer im Quell-Space</w:t>
            </w:r>
          </w:p>
        </w:tc>
      </w:tr>
    </w:tbl>
    <w:p>
      <w:pPr>
        <w:pStyle w:val="Heading1"/>
      </w:pPr>
      <w:r>
        <w:t>5. Connections und Konnektivität</w:t>
      </w:r>
    </w:p>
    <w:p>
      <w:pPr>
        <w:pStyle w:val="Heading2"/>
      </w:pPr>
      <w:r>
        <w:t>5.1 Zweck und Einordnung</w:t>
      </w:r>
    </w:p>
    <w:p>
      <w:r>
        <w:t>Verbindungen (</w:t>
      </w:r>
      <w:r>
        <w:rPr>
          <w:i/>
        </w:rPr>
        <w:t>Connections</w:t>
      </w:r>
      <w:r>
        <w:t>) verbinden SAP Datasphere mit Quell- und Zielsystemen, also mit Anwendungen, Datenbanken und Speichern. Jede Verbindung entsteht aus einem Verbindungstyp (</w:t>
      </w:r>
      <w:r>
        <w:rPr>
          <w:i/>
        </w:rPr>
        <w:t>Connection Type</w:t>
      </w:r>
      <w:r>
        <w:t>). Sie gehört genau zu einem Bereich (</w:t>
      </w:r>
      <w:r>
        <w:rPr>
          <w:i/>
        </w:rPr>
        <w:t>Space</w:t>
      </w:r>
      <w:r>
        <w:t>), und die Benutzer dieses Bereichs verwenden sie für Modellierung und Datenzugriff. Laut SAP-Dokumentation unterstützt jeder Verbindungstyp einen eigenen Satz von Funktionen. Die vier wichtigsten Funktionen sind:</w:t>
      </w:r>
    </w:p>
    <w:p>
      <w:pPr>
        <w:pStyle w:val="ListBullet"/>
      </w:pPr>
      <w:r>
        <w:t>Remote-Tabellen (</w:t>
      </w:r>
      <w:r>
        <w:rPr>
          <w:i/>
        </w:rPr>
        <w:t>Remote Tables</w:t>
      </w:r>
      <w:r>
        <w:t>)</w:t>
      </w:r>
    </w:p>
    <w:p>
      <w:pPr>
        <w:pStyle w:val="ListBullet"/>
      </w:pPr>
      <w:r>
        <w:t>Datenflüsse (</w:t>
      </w:r>
      <w:r>
        <w:rPr>
          <w:i/>
        </w:rPr>
        <w:t>Data Flows</w:t>
      </w:r>
      <w:r>
        <w:t>)</w:t>
      </w:r>
    </w:p>
    <w:p>
      <w:pPr>
        <w:pStyle w:val="ListBullet"/>
      </w:pPr>
      <w:r>
        <w:t>Replikationsflüsse (</w:t>
      </w:r>
      <w:r>
        <w:rPr>
          <w:i/>
        </w:rPr>
        <w:t>Replication Flows</w:t>
      </w:r>
      <w:r>
        <w:t>)</w:t>
      </w:r>
    </w:p>
    <w:p>
      <w:pPr>
        <w:pStyle w:val="ListBullet"/>
      </w:pPr>
      <w:r>
        <w:t>Modellimport (</w:t>
      </w:r>
      <w:r>
        <w:rPr>
          <w:i/>
        </w:rPr>
        <w:t>Model Import</w:t>
      </w:r>
      <w:r>
        <w:t>)</w:t>
      </w:r>
    </w:p>
    <w:p>
      <w:r>
        <w:t>Welche dieser Funktionen eine konkrete Verbindung bietet, hängt vom Typ und von der Konfiguration ab.</w:t>
      </w:r>
    </w:p>
    <w:p>
      <w:r>
        <w:t>Verbindungen bilden damit die Grundlage für alle Integrationsobjekte des Datenbausteins (</w:t>
      </w:r>
      <w:r>
        <w:rPr>
          <w:i/>
        </w:rPr>
        <w:t>Data Builder</w:t>
      </w:r>
      <w:r>
        <w:t>, siehe Kapitel 6). Ihre Laufzeitüberwachung erfolgt im Datenintegrationsmonitor (</w:t>
      </w:r>
      <w:r>
        <w:rPr>
          <w:i/>
        </w:rPr>
        <w:t>Data Integration Monitor</w:t>
      </w:r>
      <w:r>
        <w:t>, siehe Kapitel 10).</w:t>
      </w:r>
    </w:p>
    <w:p>
      <w:pPr>
        <w:pStyle w:val="Heading2"/>
      </w:pPr>
      <w:r>
        <w:t>5.2 Aufruf und Navigation</w:t>
      </w:r>
    </w:p>
    <w:p>
      <w:pPr>
        <w:pStyle w:val="ListBullet"/>
      </w:pPr>
      <w:r>
        <w:rPr>
          <w:b/>
        </w:rPr>
        <w:t>Seitenleiste:</w:t>
      </w:r>
      <w:r>
        <w:t xml:space="preserve"> In der seitlichen Navigation (siehe Kapitel 2) öffnen Sie die App </w:t>
      </w:r>
      <w:r>
        <w:rPr>
          <w:i/>
        </w:rPr>
        <w:t>Connections</w:t>
      </w:r>
      <w:r>
        <w:t>. Danach wählen Sie bei Bedarf einen Bereich aus.</w:t>
      </w:r>
    </w:p>
    <w:p>
      <w:pPr>
        <w:pStyle w:val="ListBullet"/>
      </w:pPr>
      <w:r>
        <w:rPr>
          <w:b/>
        </w:rPr>
        <w:t>Rollen:</w:t>
      </w:r>
      <w:r>
        <w:t xml:space="preserve"> Benutzer mit der Rolle Bereichsadministrator (</w:t>
      </w:r>
      <w:r>
        <w:rPr>
          <w:i/>
        </w:rPr>
        <w:t>Space Administrator</w:t>
      </w:r>
      <w:r>
        <w:t>) oder Integrator (</w:t>
      </w:r>
      <w:r>
        <w:rPr>
          <w:i/>
        </w:rPr>
        <w:t>Integrator</w:t>
      </w:r>
      <w:r>
        <w:t>) dürfen Verbindungen anlegen und Replikations- bzw. Integrationsaufgaben planen und überwachen.</w:t>
      </w:r>
    </w:p>
    <w:p>
      <w:pPr>
        <w:pStyle w:val="ListBullet"/>
      </w:pPr>
      <w:r>
        <w:rPr>
          <w:b/>
        </w:rPr>
        <w:t>Privileg:</w:t>
      </w:r>
      <w:r>
        <w:t xml:space="preserve"> Auf Bereichsebene steuert das Privileg </w:t>
      </w:r>
      <w:r>
        <w:rPr>
          <w:i/>
        </w:rPr>
        <w:t>Connection</w:t>
      </w:r>
      <w:r>
        <w:t xml:space="preserve"> (Anlegen, Lesen, Ändern, Löschen) den Zugriff. Die genaue Ausprägung der Berechtigungen ist hier </w:t>
      </w:r>
      <w:r>
        <w:rPr>
          <w:b/>
        </w:rPr>
        <w:t>nicht verifiziert</w:t>
      </w:r>
      <w:r>
        <w:t>; sie wird in Kapitel 3 und 9 behandelt.</w:t>
      </w:r>
    </w:p>
    <w:p>
      <w:pPr>
        <w:pStyle w:val="ListBullet"/>
      </w:pPr>
      <w:r>
        <w:rPr>
          <w:b/>
        </w:rPr>
        <w:t>Systemweite Voraussetzungen:</w:t>
      </w:r>
      <w:r>
        <w:t xml:space="preserve"> Cloud Connector, Data Provisioning Agent, IP-Freigabeliste und Zertifikate werden unter </w:t>
      </w:r>
      <w:r>
        <w:rPr>
          <w:i/>
        </w:rPr>
        <w:t>System › Configuration</w:t>
      </w:r>
      <w:r>
        <w:t xml:space="preserve"> gepflegt. Dafür ist eine Administratorrolle nötig (siehe Kapitel 3).</w:t>
      </w:r>
    </w:p>
    <w:p>
      <w:pPr>
        <w:pStyle w:val="Heading2"/>
      </w:pPr>
      <w:r>
        <w:t>5.3 Aufbau der Oberfläche</w:t>
      </w:r>
    </w:p>
    <w:p>
      <w:r>
        <w:t xml:space="preserve">Die App </w:t>
      </w:r>
      <w:r>
        <w:rPr>
          <w:i/>
        </w:rPr>
        <w:t>Connections</w:t>
      </w:r>
      <w:r>
        <w:t xml:space="preserve"> besteht aus folgenden Elementen: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Inhalt</w:t>
            </w:r>
          </w:p>
        </w:tc>
      </w:tr>
      <w:tr>
        <w:tc>
          <w:tcPr>
            <w:tcW w:type="dxa" w:w="4320"/>
          </w:tcPr>
          <w:p>
            <w:r>
              <w:t>Bereichsauswahl</w:t>
            </w:r>
          </w:p>
        </w:tc>
        <w:tc>
          <w:tcPr>
            <w:tcW w:type="dxa" w:w="4320"/>
          </w:tcPr>
          <w:p>
            <w:r>
              <w:t>Legt fest, für welchen Bereich die Verbindungen angezeigt werden.</w:t>
            </w:r>
          </w:p>
        </w:tc>
      </w:tr>
      <w:tr>
        <w:tc>
          <w:tcPr>
            <w:tcW w:type="dxa" w:w="4320"/>
          </w:tcPr>
          <w:p>
            <w:r>
              <w:t xml:space="preserve">Registerkarte </w:t>
            </w:r>
            <w:r>
              <w:rPr>
                <w:i/>
              </w:rPr>
              <w:t>Connections</w:t>
            </w:r>
          </w:p>
        </w:tc>
        <w:tc>
          <w:tcPr>
            <w:tcW w:type="dxa" w:w="4320"/>
          </w:tcPr>
          <w:p>
            <w:r>
              <w:t xml:space="preserve">Liste aller Verbindungen des Bereichs. Die genauen Spalten sind </w:t>
            </w:r>
            <w:r>
              <w:rPr>
                <w:b/>
              </w:rPr>
              <w:t>nicht verifiziert</w:t>
            </w:r>
            <w:r>
              <w:t>; erwartet werden Name, Verbindungstyp, Echtzeitreplikationsstatus und Änderungsdatum.</w:t>
            </w:r>
          </w:p>
        </w:tc>
      </w:tr>
      <w:tr>
        <w:tc>
          <w:tcPr>
            <w:tcW w:type="dxa" w:w="4320"/>
          </w:tcPr>
          <w:p>
            <w:r>
              <w:t xml:space="preserve">Registerkarte </w:t>
            </w:r>
            <w:r>
              <w:rPr>
                <w:i/>
              </w:rPr>
              <w:t>Custom Connection Types</w:t>
            </w:r>
          </w:p>
        </w:tc>
        <w:tc>
          <w:tcPr>
            <w:tcW w:type="dxa" w:w="4320"/>
          </w:tcPr>
          <w:p>
            <w:r>
              <w:t>Nur in Datei-Bereichen (</w:t>
            </w:r>
            <w:r>
              <w:rPr>
                <w:i/>
              </w:rPr>
              <w:t>File Space</w:t>
            </w:r>
            <w:r>
              <w:t>): Übersicht und Pflege benutzerdefinierter Verbindungstypen für REST-APIs (siehe 5.4.7).</w:t>
            </w:r>
          </w:p>
        </w:tc>
      </w:tr>
      <w:tr>
        <w:tc>
          <w:tcPr>
            <w:tcW w:type="dxa" w:w="4320"/>
          </w:tcPr>
          <w:p>
            <w:r>
              <w:t>Werkzeugleiste</w:t>
            </w:r>
          </w:p>
        </w:tc>
        <w:tc>
          <w:tcPr>
            <w:tcW w:type="dxa" w:w="4320"/>
          </w:tcPr>
          <w:p>
            <w:r>
              <w:t xml:space="preserve">Laut Doku belegt sind </w:t>
            </w:r>
            <w:r>
              <w:rPr>
                <w:i/>
              </w:rPr>
              <w:t>Edit</w:t>
            </w:r>
            <w:r>
              <w:t xml:space="preserve"> und </w:t>
            </w:r>
            <w:r>
              <w:rPr>
                <w:i/>
              </w:rPr>
              <w:t>Validate</w:t>
            </w:r>
            <w:r>
              <w:t xml:space="preserve">. Für Anlegen, Löschen sowie Pausieren und Fortsetzen der Echtzeitreplikation gibt es Aktionen; deren genaue Beschriftung ist </w:t>
            </w:r>
            <w:r>
              <w:rPr>
                <w:b/>
              </w:rPr>
              <w:t>nicht verifiziert</w:t>
            </w:r>
            <w:r>
              <w:t>.</w:t>
            </w:r>
          </w:p>
        </w:tc>
      </w:tr>
      <w:tr>
        <w:tc>
          <w:tcPr>
            <w:tcW w:type="dxa" w:w="4320"/>
          </w:tcPr>
          <w:p>
            <w:r>
              <w:t>Assistent zum Anlegen</w:t>
            </w:r>
          </w:p>
        </w:tc>
        <w:tc>
          <w:tcPr>
            <w:tcW w:type="dxa" w:w="4320"/>
          </w:tcPr>
          <w:p>
            <w:r>
              <w:t>Mehrstufig: Verbindungstyp wählen, Verbindungseigenschaften eingeben, Name und Beschreibung vergeben.</w:t>
            </w:r>
          </w:p>
        </w:tc>
      </w:tr>
    </w:tbl>
    <w:p>
      <w:r>
        <w:t>SAP ändert die Oberfläche quartalsweise. Beschriftungen und die Reihenfolge der Schaltflächen können daher abweichen.</w:t>
      </w:r>
    </w:p>
    <w:p>
      <w:pPr>
        <w:pStyle w:val="Heading2"/>
      </w:pPr>
      <w:r>
        <w:t>5.4 Funktionen der Connections-App</w:t>
      </w:r>
    </w:p>
    <w:p>
      <w:pPr>
        <w:pStyle w:val="Heading3"/>
      </w:pPr>
      <w:r>
        <w:t>5.4.1 Verbindungstypen</w:t>
      </w:r>
    </w:p>
    <w:p>
      <w:r>
        <w:t>SAP liefert für Datasphere eine Liste von Verbindungstypen aus (</w:t>
      </w:r>
      <w:r>
        <w:rPr>
          <w:i/>
        </w:rPr>
        <w:t>Connection Types Delivered by SAP</w:t>
      </w:r>
      <w:r>
        <w:t xml:space="preserve">). Die folgende Zusammenstellung gibt die erwartete Gliederung wieder. </w:t>
      </w:r>
      <w:r>
        <w:rPr>
          <w:b/>
        </w:rPr>
        <w:t>Die vollständige und aktuelle Typliste ist nicht verifiziert</w:t>
      </w:r>
      <w:r>
        <w:t xml:space="preserve"> und muss mit der Seite „Connection Types Delivered by SAP“ abgeglichen werden.</w:t>
      </w:r>
    </w:p>
    <w:p>
      <w:r>
        <w:rPr>
          <w:b/>
        </w:rPr>
        <w:t>SAP-Quellen (Auswahl):</w:t>
      </w:r>
    </w:p>
    <w:p>
      <w:pPr>
        <w:pStyle w:val="ListBullet"/>
      </w:pPr>
      <w:r>
        <w:t>SAP S/4HANA Cloud und SAP S/4HANA On-Premise: belegt durch die Dokumentation zum Import von Entitäten.</w:t>
      </w:r>
    </w:p>
    <w:p>
      <w:pPr>
        <w:pStyle w:val="ListBullet"/>
      </w:pPr>
      <w:r>
        <w:t xml:space="preserve">SAP ABAP und SAP ECC: </w:t>
      </w:r>
      <w:r>
        <w:rPr>
          <w:b/>
        </w:rPr>
        <w:t>nicht verifiziert</w:t>
      </w:r>
      <w:r>
        <w:t>.</w:t>
      </w:r>
    </w:p>
    <w:p>
      <w:pPr>
        <w:pStyle w:val="ListBullet"/>
      </w:pPr>
      <w:r>
        <w:t xml:space="preserve">SAP BW und SAP BW/4HANA Model Transfer: </w:t>
      </w:r>
      <w:r>
        <w:rPr>
          <w:b/>
        </w:rPr>
        <w:t>nicht verifiziert</w:t>
      </w:r>
      <w:r>
        <w:t>.</w:t>
      </w:r>
    </w:p>
    <w:p>
      <w:pPr>
        <w:pStyle w:val="ListBullet"/>
      </w:pPr>
      <w:r>
        <w:t xml:space="preserve">SAP HANA (Cloud und On-Premise) sowie SAP HANA Cloud Data Lake: </w:t>
      </w:r>
      <w:r>
        <w:rPr>
          <w:b/>
        </w:rPr>
        <w:t>nicht verifiziert</w:t>
      </w:r>
      <w:r>
        <w:t>.</w:t>
      </w:r>
    </w:p>
    <w:p>
      <w:pPr>
        <w:pStyle w:val="ListBullet"/>
      </w:pPr>
      <w:r>
        <w:t>SAP SuccessFactors: Verbindungstyp indirekt durch SAP-KBA 3509759 belegt.</w:t>
      </w:r>
    </w:p>
    <w:p>
      <w:pPr>
        <w:pStyle w:val="ListBullet"/>
      </w:pPr>
      <w:r>
        <w:t xml:space="preserve">SAP Ariba: Es ließ sich </w:t>
      </w:r>
      <w:r>
        <w:rPr>
          <w:b/>
        </w:rPr>
        <w:t>nicht verifizieren</w:t>
      </w:r>
      <w:r>
        <w:t>, ob ein eigener Verbindungstyp existiert.</w:t>
      </w:r>
    </w:p>
    <w:p>
      <w:r>
        <w:rPr>
          <w:b/>
        </w:rPr>
        <w:t>Nicht-SAP-Quellen (Auswahl):</w:t>
      </w:r>
    </w:p>
    <w:p>
      <w:pPr>
        <w:pStyle w:val="ListBullet"/>
      </w:pPr>
      <w:r>
        <w:t xml:space="preserve">Cloud-Speicher, z. B. Amazon S3: im Abschnitt zu Open Connectors als nativ unterstützter Typ genannt. Weitere Typen wie Google Cloud Storage oder Microsoft Azure Data Lake Gen2 sind </w:t>
      </w:r>
      <w:r>
        <w:rPr>
          <w:b/>
        </w:rPr>
        <w:t>nicht verifiziert</w:t>
      </w:r>
      <w:r>
        <w:t>.</w:t>
      </w:r>
    </w:p>
    <w:p>
      <w:pPr>
        <w:pStyle w:val="ListBullet"/>
      </w:pPr>
      <w:r>
        <w:t xml:space="preserve">Datenbanken, z. B. Microsoft SQL Server: ebenfalls als nativ unterstützt genannt. Google BigQuery ist durch SAP-KBA 3424000 indirekt belegt. Oracle und Amazon Redshift sind </w:t>
      </w:r>
      <w:r>
        <w:rPr>
          <w:b/>
        </w:rPr>
        <w:t>nicht verifiziert</w:t>
      </w:r>
      <w:r>
        <w:t>.</w:t>
      </w:r>
    </w:p>
    <w:p>
      <w:pPr>
        <w:pStyle w:val="ListBullet"/>
      </w:pPr>
      <w:r>
        <w:t xml:space="preserve">Generische Typen: Generic OData, Generic JDBC, Generic SFTP und Generic HTTP sind </w:t>
      </w:r>
      <w:r>
        <w:rPr>
          <w:b/>
        </w:rPr>
        <w:t>nicht verifiziert</w:t>
      </w:r>
      <w:r>
        <w:t>.</w:t>
      </w:r>
    </w:p>
    <w:p>
      <w:pPr>
        <w:pStyle w:val="ListBullet"/>
      </w:pPr>
      <w:r>
        <w:t>Open Connectors: für Quellen ohne eigenen Datasphere-Typ. Für nativ unterstützte Quellen wie Amazon S3 oder Microsoft SQL Server empfiehlt SAP ausdrücklich den jeweiligen eigenen Verbindungstyp.</w:t>
      </w:r>
    </w:p>
    <w:p>
      <w:r>
        <w:t>⚠ abhängig von Lizenz/Freischaltung: Open Connectors setzt ein SAP-BTP-Konto mit SAP Integration Suite voraus (</w:t>
      </w:r>
      <w:r>
        <w:rPr>
          <w:b/>
        </w:rPr>
        <w:t>nicht verifiziert</w:t>
      </w:r>
      <w:r>
        <w:t>). Für Replikationsflüsse zu Nicht-SAP-Zielen gelten Abrechnungs- und Lizenzregeln, z. B. Premium Outbound Integration (</w:t>
      </w:r>
      <w:r>
        <w:rPr>
          <w:b/>
        </w:rPr>
        <w:t>nicht verifiziert</w:t>
      </w:r>
      <w:r>
        <w:t>).</w:t>
      </w:r>
    </w:p>
    <w:p>
      <w:pPr>
        <w:pStyle w:val="Heading3"/>
      </w:pPr>
      <w:r>
        <w:t>5.4.2 Funktionsmatrix je Verbindungstyp</w:t>
      </w:r>
    </w:p>
    <w:p>
      <w:r>
        <w:t xml:space="preserve">Laut SAP-Dokumentation unterstützt jeder Verbindungstyp einen eigenen Funktionsumfang. Die tatsächlich verfügbaren Funktionen einer angelegten Verbindung meldet die Validierung (5.4.4). Die folgende Matrix ist eine Orientierungshilfe. </w:t>
      </w:r>
      <w:r>
        <w:rPr>
          <w:b/>
        </w:rPr>
        <w:t>Sie ist insgesamt nicht verifiziert</w:t>
      </w:r>
      <w:r>
        <w:t xml:space="preserve"> und muss vor der Freigabe mit der Seite „Connection Types Delivered by SAP“ abgeglichen werden.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Verbindungstyp</w:t>
            </w:r>
          </w:p>
        </w:tc>
        <w:tc>
          <w:tcPr>
            <w:tcW w:type="dxa" w:w="1728"/>
          </w:tcPr>
          <w:p>
            <w:r>
              <w:rPr>
                <w:b/>
              </w:rPr>
              <w:t>Remote Tables</w:t>
            </w:r>
          </w:p>
        </w:tc>
        <w:tc>
          <w:tcPr>
            <w:tcW w:type="dxa" w:w="1728"/>
          </w:tcPr>
          <w:p>
            <w:r>
              <w:rPr>
                <w:b/>
              </w:rPr>
              <w:t>Data Flows</w:t>
            </w:r>
          </w:p>
        </w:tc>
        <w:tc>
          <w:tcPr>
            <w:tcW w:type="dxa" w:w="1728"/>
          </w:tcPr>
          <w:p>
            <w:r>
              <w:rPr>
                <w:b/>
              </w:rPr>
              <w:t>Replication Flows</w:t>
            </w:r>
          </w:p>
        </w:tc>
        <w:tc>
          <w:tcPr>
            <w:tcW w:type="dxa" w:w="1728"/>
          </w:tcPr>
          <w:p>
            <w:r>
              <w:rPr>
                <w:b/>
              </w:rPr>
              <w:t>Model Import</w:t>
            </w:r>
          </w:p>
        </w:tc>
      </w:tr>
      <w:tr>
        <w:tc>
          <w:tcPr>
            <w:tcW w:type="dxa" w:w="1728"/>
          </w:tcPr>
          <w:p>
            <w:r>
              <w:t>SAP S/4HANA Cloud</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SAP S/4HANA On-Premise</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SAP ABAP / SAP ECC</w:t>
            </w:r>
          </w:p>
        </w:tc>
        <w:tc>
          <w:tcPr>
            <w:tcW w:type="dxa" w:w="1728"/>
          </w:tcPr>
          <w:p>
            <w:r>
              <w:t>✓</w:t>
            </w:r>
          </w:p>
        </w:tc>
        <w:tc>
          <w:tcPr>
            <w:tcW w:type="dxa" w:w="1728"/>
          </w:tcPr>
          <w:p>
            <w:r>
              <w:t>✓</w:t>
            </w:r>
          </w:p>
        </w:tc>
        <w:tc>
          <w:tcPr>
            <w:tcW w:type="dxa" w:w="1728"/>
          </w:tcPr>
          <w:p>
            <w:r>
              <w:t>prüfen</w:t>
            </w:r>
          </w:p>
        </w:tc>
        <w:tc>
          <w:tcPr>
            <w:tcW w:type="dxa" w:w="1728"/>
          </w:tcPr>
          <w:p>
            <w:r>
              <w:t>–</w:t>
            </w:r>
          </w:p>
        </w:tc>
      </w:tr>
      <w:tr>
        <w:tc>
          <w:tcPr>
            <w:tcW w:type="dxa" w:w="1728"/>
          </w:tcPr>
          <w:p>
            <w:r>
              <w:t>SAP BW/4HANA Model Transfer</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SAP HANA</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SAP SuccessFactors</w:t>
            </w:r>
          </w:p>
        </w:tc>
        <w:tc>
          <w:tcPr>
            <w:tcW w:type="dxa" w:w="1728"/>
          </w:tcPr>
          <w:p>
            <w:r>
              <w:t>✓</w:t>
            </w:r>
          </w:p>
        </w:tc>
        <w:tc>
          <w:tcPr>
            <w:tcW w:type="dxa" w:w="1728"/>
          </w:tcPr>
          <w:p>
            <w:r>
              <w:t>✓</w:t>
            </w:r>
          </w:p>
        </w:tc>
        <w:tc>
          <w:tcPr>
            <w:tcW w:type="dxa" w:w="1728"/>
          </w:tcPr>
          <w:p>
            <w:r>
              <w:t>prüfen</w:t>
            </w:r>
          </w:p>
        </w:tc>
        <w:tc>
          <w:tcPr>
            <w:tcW w:type="dxa" w:w="1728"/>
          </w:tcPr>
          <w:p>
            <w:r>
              <w:t>–</w:t>
            </w:r>
          </w:p>
        </w:tc>
      </w:tr>
      <w:tr>
        <w:tc>
          <w:tcPr>
            <w:tcW w:type="dxa" w:w="1728"/>
          </w:tcPr>
          <w:p>
            <w:r>
              <w:t>Generic OData</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Generic JDBC</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Cloud-Speicher (z. B. Amazon S3)</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Microsoft SQL Server</w:t>
            </w:r>
          </w:p>
        </w:tc>
        <w:tc>
          <w:tcPr>
            <w:tcW w:type="dxa" w:w="1728"/>
          </w:tcPr>
          <w:p>
            <w:r>
              <w:t>✓</w:t>
            </w:r>
          </w:p>
        </w:tc>
        <w:tc>
          <w:tcPr>
            <w:tcW w:type="dxa" w:w="1728"/>
          </w:tcPr>
          <w:p>
            <w:r>
              <w:t>✓</w:t>
            </w:r>
          </w:p>
        </w:tc>
        <w:tc>
          <w:tcPr>
            <w:tcW w:type="dxa" w:w="1728"/>
          </w:tcPr>
          <w:p>
            <w:r>
              <w:t>prüfen</w:t>
            </w:r>
          </w:p>
        </w:tc>
        <w:tc>
          <w:tcPr>
            <w:tcW w:type="dxa" w:w="1728"/>
          </w:tcPr>
          <w:p>
            <w:r>
              <w:t>–</w:t>
            </w:r>
          </w:p>
        </w:tc>
      </w:tr>
    </w:tbl>
    <w:p>
      <w:r>
        <w:t xml:space="preserve">Einige Funktionen gibt es nur über einen bestimmten Konnektivitätsweg. Remote-Tabellen nutzen bei On-Premise-Quellen teils den Data Provisioning Agent, Datenflüsse und Replikationsflüsse teils den Cloud Connector (siehe 5.5). Die Zuordnung je Typ ist </w:t>
      </w:r>
      <w:r>
        <w:rPr>
          <w:b/>
        </w:rPr>
        <w:t>nicht verifiziert</w:t>
      </w:r>
      <w:r>
        <w:t>.</w:t>
      </w:r>
    </w:p>
    <w:p>
      <w:pPr>
        <w:pStyle w:val="Heading3"/>
      </w:pPr>
      <w:r>
        <w:t>5.4.3 Verbindung anlegen</w:t>
      </w:r>
    </w:p>
    <w:p>
      <w:r>
        <w:rPr>
          <w:b/>
        </w:rPr>
        <w:t>Was und wofür:</w:t>
      </w:r>
      <w:r>
        <w:t xml:space="preserve"> Sie legen aus einem von SAP ausgelieferten Typ eine Verbindung an. Damit können die Benutzer des Bereichs die verbundene Quelle bzw. das Ziel für Modellierung und Datenzugriff nutzen.</w:t>
      </w:r>
    </w:p>
    <w:p>
      <w:r>
        <w:rPr>
          <w:b/>
        </w:rPr>
        <w:t>Wichtigste Einstellungen:</w:t>
      </w:r>
    </w:p>
    <w:p>
      <w:pPr>
        <w:pStyle w:val="ListBullet"/>
      </w:pPr>
      <w:r>
        <w:t>Verbindungsdetails wie Host, Port, Mandant und Sprache</w:t>
      </w:r>
    </w:p>
    <w:p>
      <w:pPr>
        <w:pStyle w:val="ListBullet"/>
      </w:pPr>
      <w:r>
        <w:t>Authentifizierung, z. B. Benutzer/Kennwort, X.509-Zertifikat oder OAuth 2.0. Für SAP-ABAP- und S/4HANA-Verbindungen ist eine eigene Vorbereitung für OAuth 2.0 dokumentiert.</w:t>
      </w:r>
    </w:p>
    <w:p>
      <w:pPr>
        <w:pStyle w:val="ListBullet"/>
      </w:pPr>
      <w:r>
        <w:t>Konnektivitätsweg: Cloud Connector mit Location-ID und/oder Data Provisioning Agent</w:t>
      </w:r>
    </w:p>
    <w:p>
      <w:pPr>
        <w:pStyle w:val="ListBullet"/>
      </w:pPr>
      <w:r>
        <w:t>Funktionsspezifische Optionen</w:t>
      </w:r>
    </w:p>
    <w:p>
      <w:pPr>
        <w:pStyle w:val="ListBullet"/>
      </w:pPr>
      <w:r>
        <w:t>Technischer Name und Geschäftsname (</w:t>
      </w:r>
      <w:r>
        <w:rPr>
          <w:i/>
        </w:rPr>
        <w:t>Business Name</w:t>
      </w:r>
      <w:r>
        <w:t>)</w:t>
      </w:r>
    </w:p>
    <w:p>
      <w:r>
        <w:t>Welche Felder genau erscheinen, hängt vom Typ ab.</w:t>
      </w:r>
    </w:p>
    <w:p>
      <w:pPr>
        <w:pStyle w:val="Heading3"/>
      </w:pPr>
      <w:r>
        <w:t>5.4.4 Verbindung validieren</w:t>
      </w:r>
    </w:p>
    <w:p>
      <w:r>
        <w:t xml:space="preserve">Sie wählen die Verbindung aus und klicken auf </w:t>
      </w:r>
      <w:r>
        <w:rPr>
          <w:i/>
        </w:rPr>
        <w:t>Validate</w:t>
      </w:r>
      <w:r>
        <w:t>. Die Meldung zeigt, welche der unterstützten Funktionen verfügbar sind. Bei Fehlern liefert sie Details. Die Validierung ist der erste Schritt bei jeder Fehlersuche, etwa bei Zertifikats-, Netzwerk- oder Berechtigungsproblemen.</w:t>
      </w:r>
    </w:p>
    <w:p>
      <w:pPr>
        <w:pStyle w:val="Heading3"/>
      </w:pPr>
      <w:r>
        <w:t>5.4.5 Verbindung bearbeiten und löschen</w:t>
      </w:r>
    </w:p>
    <w:p>
      <w:r>
        <w:t xml:space="preserve">Sie wählen die Verbindung aus und klicken auf </w:t>
      </w:r>
      <w:r>
        <w:rPr>
          <w:i/>
        </w:rPr>
        <w:t>Edit</w:t>
      </w:r>
      <w:r>
        <w:t>. Ist der Data Provisioning Agent getrennt, lassen sich bestimmte Eigenschaften erst bearbeiten, wenn der Agent wieder verbunden ist oder Sie einen anderen Agent zuordnen.</w:t>
      </w:r>
    </w:p>
    <w:p>
      <w:r>
        <w:t xml:space="preserve">Zum Löschen gilt laut SAP-Fachpraxis: Eine Verbindung lässt sich nicht löschen, solange abhängige Objekte wie Remote-Tabellen oder Flüsse bestehen. Diese Regel ist </w:t>
      </w:r>
      <w:r>
        <w:rPr>
          <w:b/>
        </w:rPr>
        <w:t>nicht verifiziert</w:t>
      </w:r>
      <w:r>
        <w:t>.</w:t>
      </w:r>
    </w:p>
    <w:p>
      <w:pPr>
        <w:pStyle w:val="Heading3"/>
      </w:pPr>
      <w:r>
        <w:t>5.4.6 Echtzeitreplikation pausieren und fortsetzen</w:t>
      </w:r>
    </w:p>
    <w:p>
      <w:r>
        <w:rPr>
          <w:b/>
        </w:rPr>
        <w:t>Was:</w:t>
      </w:r>
      <w:r>
        <w:t xml:space="preserve"> Die Echtzeitreplikation einer Verbindung wird vorübergehend angehalten.</w:t>
      </w:r>
    </w:p>
    <w:p>
      <w:r>
        <w:rPr>
          <w:b/>
        </w:rPr>
        <w:t>Wofür:</w:t>
      </w:r>
      <w:r>
        <w:t xml:space="preserve"> SAP nennt als Anlass vor allem das Aktualisieren oder Patchen des Data Provisioning Agent oder Änderungen an seiner Konfiguration.</w:t>
      </w:r>
    </w:p>
    <w:p>
      <w:r>
        <w:rPr>
          <w:b/>
        </w:rPr>
        <w:t>Varianten:</w:t>
      </w:r>
    </w:p>
    <w:p>
      <w:pPr>
        <w:pStyle w:val="ListNumber"/>
      </w:pPr>
      <w:r>
        <w:rPr>
          <w:b/>
        </w:rPr>
        <w:t>Pro Verbindung</w:t>
      </w:r>
      <w:r>
        <w:t xml:space="preserve"> in der App </w:t>
      </w:r>
      <w:r>
        <w:rPr>
          <w:i/>
        </w:rPr>
        <w:t>Connections</w:t>
      </w:r>
      <w:r>
        <w:t>.</w:t>
      </w:r>
    </w:p>
    <w:p>
      <w:pPr>
        <w:pStyle w:val="ListNumber"/>
      </w:pPr>
      <w:r>
        <w:rPr>
          <w:b/>
        </w:rPr>
        <w:t>Pro Agent:</w:t>
      </w:r>
      <w:r>
        <w:t xml:space="preserve"> In der Agent-Kachel unter </w:t>
      </w:r>
      <w:r>
        <w:rPr>
          <w:i/>
        </w:rPr>
        <w:t>System › Configuration › Data Integration</w:t>
      </w:r>
      <w:r>
        <w:t xml:space="preserve"> wählen Sie im Menü </w:t>
      </w:r>
      <w:r>
        <w:rPr>
          <w:i/>
        </w:rPr>
        <w:t>Pause All Connections</w:t>
      </w:r>
      <w:r>
        <w:t xml:space="preserve">. Der Status der betroffenen Verbindungen mit Replikationsstatus </w:t>
      </w:r>
      <w:r>
        <w:rPr>
          <w:i/>
        </w:rPr>
        <w:t>Active</w:t>
      </w:r>
      <w:r>
        <w:t xml:space="preserve"> oder </w:t>
      </w:r>
      <w:r>
        <w:rPr>
          <w:i/>
        </w:rPr>
        <w:t>Inactive</w:t>
      </w:r>
      <w:r>
        <w:t xml:space="preserve"> wechselt dann zu </w:t>
      </w:r>
      <w:r>
        <w:rPr>
          <w:i/>
        </w:rPr>
        <w:t>Paused</w:t>
      </w:r>
      <w:r>
        <w:t>.</w:t>
      </w:r>
    </w:p>
    <w:p>
      <w:r>
        <w:t>Abzugrenzen ist das Pausieren geplanter Aufgaben (</w:t>
      </w:r>
      <w:r>
        <w:rPr>
          <w:i/>
        </w:rPr>
        <w:t>Pause or Resume a Scheduled Task</w:t>
      </w:r>
      <w:r>
        <w:t>), etwa der Replikation von Remote-Tabellen oder von Flussläufen. Dies geschieht über die Aufgabenplanung (siehe Kapitel 10). Replikationsflüsse lassen sich laut SAP-KBA 3717654 derzeit nur einzeln pausieren oder fortsetzen, nicht als Massenänderung.</w:t>
      </w:r>
    </w:p>
    <w:p>
      <w:pPr>
        <w:pStyle w:val="Heading3"/>
      </w:pPr>
      <w:r>
        <w:t>5.4.7 Benutzerdefinierte Verbindungstypen</w:t>
      </w:r>
    </w:p>
    <w:p>
      <w:r>
        <w:t>⚠ abhängig von Lizenz/Freischaltung: Diese Funktion gibt es nur in Datei-Bereichen (</w:t>
      </w:r>
      <w:r>
        <w:rPr>
          <w:i/>
        </w:rPr>
        <w:t>File Space</w:t>
      </w:r>
      <w:r>
        <w:t>), und Datei-Bereiche setzen das Objektspeicher-Angebot voraus (</w:t>
      </w:r>
      <w:r>
        <w:rPr>
          <w:b/>
        </w:rPr>
        <w:t>nicht verifiziert</w:t>
      </w:r>
      <w:r>
        <w:t>).</w:t>
      </w:r>
    </w:p>
    <w:p>
      <w:r>
        <w:t xml:space="preserve">Auf der Registerkarte </w:t>
      </w:r>
      <w:r>
        <w:rPr>
          <w:i/>
        </w:rPr>
        <w:t>Custom Connection Types</w:t>
      </w:r>
      <w:r>
        <w:t xml:space="preserve"> legen Sie benutzerdefinierte Verbindungstypen für externe REST-APIs an. Aus einem solchen Typ erzeugen Sie anschließend eine Verbindung. Mit dieser Verbindung laden Replikationsflüsse JSON-Daten in den Objektspeicher von SAP Datasphere.</w:t>
      </w:r>
    </w:p>
    <w:p>
      <w:pPr>
        <w:pStyle w:val="Heading2"/>
      </w:pPr>
      <w:r>
        <w:t>5.5 Konnektivitätsvoraussetzungen</w:t>
      </w:r>
    </w:p>
    <w:p>
      <w:pPr>
        <w:pStyle w:val="Heading3"/>
      </w:pPr>
      <w:r>
        <w:t>5.5.1 SAP Cloud Connector</w:t>
      </w:r>
    </w:p>
    <w:p>
      <w:r>
        <w:t>Für On-Premise-Quellen, die Datenflüsse und andere Verbindungsfunktionen nutzen, braucht es den Cloud Connector als Bindeglied zwischen SAP Datasphere und der Quelle. Die Einrichtung umfasst drei Teile:</w:t>
      </w:r>
    </w:p>
    <w:p>
      <w:pPr>
        <w:pStyle w:val="ListNumber"/>
      </w:pPr>
      <w:r>
        <w:t>Installation des Cloud Connector im Kundennetz.</w:t>
      </w:r>
    </w:p>
    <w:p>
      <w:pPr>
        <w:pStyle w:val="ListNumber"/>
      </w:pPr>
      <w:r>
        <w:t>Anbindung an den Datasphere-Subaccount.</w:t>
      </w:r>
    </w:p>
    <w:p>
      <w:pPr>
        <w:pStyle w:val="ListNumber"/>
      </w:pPr>
      <w:r>
        <w:t>Freigabe der Backend-Ressourcen.</w:t>
      </w:r>
    </w:p>
    <w:p>
      <w:r>
        <w:t xml:space="preserve">In Datasphere wird die Location-ID in den Verbindungseigenschaften hinterlegt. Wo genau in </w:t>
      </w:r>
      <w:r>
        <w:rPr>
          <w:i/>
        </w:rPr>
        <w:t>System › Configuration</w:t>
      </w:r>
      <w:r>
        <w:t xml:space="preserve"> die Cloud-Connector-Daten (Subaccount, Location-ID) angezeigt werden, ist </w:t>
      </w:r>
      <w:r>
        <w:rPr>
          <w:b/>
        </w:rPr>
        <w:t>nicht verifiziert</w:t>
      </w:r>
      <w:r>
        <w:t>.</w:t>
      </w:r>
    </w:p>
    <w:p>
      <w:pPr>
        <w:pStyle w:val="Heading3"/>
      </w:pPr>
      <w:r>
        <w:t>5.5.2 Data Provisioning Agent</w:t>
      </w:r>
    </w:p>
    <w:p>
      <w:r>
        <w:t xml:space="preserve">Der Agent wird on-premise installiert und in Datasphere registriert. Seine Adapter verwalten Sie unter </w:t>
      </w:r>
      <w:r>
        <w:rPr>
          <w:i/>
        </w:rPr>
        <w:t>System › Configuration › Data Integration</w:t>
      </w:r>
      <w:r>
        <w:t xml:space="preserve">. Beim Anlegen einer Verbindung stehen nur Adapter mit dem Status </w:t>
      </w:r>
      <w:r>
        <w:rPr>
          <w:i/>
        </w:rPr>
        <w:t>CONNECTED</w:t>
      </w:r>
      <w:r>
        <w:t xml:space="preserve"> zur Auswahl.</w:t>
      </w:r>
    </w:p>
    <w:p>
      <w:r>
        <w:t>Der Agent wird vor allem für Remote-Tabellen und deren Echtzeitreplikation aus bestimmten Quellen genutzt (</w:t>
      </w:r>
      <w:r>
        <w:rPr>
          <w:b/>
        </w:rPr>
        <w:t>nicht verifiziert</w:t>
      </w:r>
      <w:r>
        <w:t>). Agent-Wartung und Pausieren siehe 5.4.6.</w:t>
      </w:r>
    </w:p>
    <w:p>
      <w:pPr>
        <w:pStyle w:val="Heading3"/>
      </w:pPr>
      <w:r>
        <w:t>5.5.3 IP-Freigaben</w:t>
      </w:r>
    </w:p>
    <w:p>
      <w:r>
        <w:t>Es gibt zwei Richtungen:</w:t>
      </w:r>
    </w:p>
    <w:p>
      <w:pPr>
        <w:pStyle w:val="ListBullet"/>
      </w:pPr>
      <w:r>
        <w:rPr>
          <w:b/>
        </w:rPr>
        <w:t>Eingehend:</w:t>
      </w:r>
      <w:r>
        <w:t xml:space="preserve"> Über die IP-Freigabeliste (</w:t>
      </w:r>
      <w:r>
        <w:rPr>
          <w:i/>
        </w:rPr>
        <w:t>IP Allowlist</w:t>
      </w:r>
      <w:r>
        <w:t>) legen Sie fest, welche IPv4-Adressbereiche auf die Datenbank von SAP Datasphere zugreifen dürfen. Einzutragen ist die externe (öffentliche) IPv4-Adresse des Clients, der direkt auf die Datenbank zugreift. Dazu zählen z. B. ein Data Provisioning Agent oder andere Satellitensysteme.</w:t>
      </w:r>
    </w:p>
    <w:p>
      <w:pPr>
        <w:pStyle w:val="ListBullet"/>
      </w:pPr>
      <w:r>
        <w:rPr>
          <w:b/>
        </w:rPr>
        <w:t>Ausgehend:</w:t>
      </w:r>
      <w:r>
        <w:t xml:space="preserve"> Ist das Fernsystem geschützt und nutzen Datenflüsse oder Replikationsflüsse die Verbindung, muss dort die </w:t>
      </w:r>
      <w:r>
        <w:rPr>
          <w:i/>
        </w:rPr>
        <w:t>Replication/Data Flow NAT IP (egress)</w:t>
      </w:r>
      <w:r>
        <w:t xml:space="preserve"> von SAP Datasphere freigegeben werden. SAP-KBA 3456052 beschreibt die verwendeten IP-Adressen. Wo diese Adressen in der Oberfläche angezeigt werden, ist </w:t>
      </w:r>
      <w:r>
        <w:rPr>
          <w:b/>
        </w:rPr>
        <w:t>nicht verifiziert</w:t>
      </w:r>
      <w:r>
        <w:t>.</w:t>
      </w:r>
    </w:p>
    <w:p>
      <w:pPr>
        <w:pStyle w:val="Heading3"/>
      </w:pPr>
      <w:r>
        <w:t>5.5.4 Zertifikate</w:t>
      </w:r>
    </w:p>
    <w:p>
      <w:r>
        <w:t xml:space="preserve">Für TLS-gesicherte Verbindungen muss das Serverzertifikat der Quelle oder das Zertifikat der ausstellenden Zertifizierungsstelle (CA) hochgeladen werden. Fehlt es, meldet die Validierung, dass keine sichere Verbindung aufgebaut werden konnte. Das Hochladen erfolgt laut SAP-KBA unter </w:t>
      </w:r>
      <w:r>
        <w:rPr>
          <w:i/>
        </w:rPr>
        <w:t>Configuration › Security</w:t>
      </w:r>
      <w:r>
        <w:t>.</w:t>
      </w:r>
    </w:p>
    <w:p>
      <w:r>
        <w:t>Typische Fälle:</w:t>
      </w:r>
    </w:p>
    <w:p>
      <w:pPr>
        <w:pStyle w:val="ListBullet"/>
      </w:pPr>
      <w:r>
        <w:t>Google BigQuery (SAP-KBA 3424000)</w:t>
      </w:r>
    </w:p>
    <w:p>
      <w:pPr>
        <w:pStyle w:val="ListBullet"/>
      </w:pPr>
      <w:r>
        <w:t>SAP SuccessFactors (SAP-KBA 3509759)</w:t>
      </w:r>
    </w:p>
    <w:p>
      <w:r>
        <w:t>Für OAuth 2.0 bei ABAP- und S/4HANA-Verbindungen wird zusätzlich ein im Cloud Connector erzeugtes Beispielzertifikat verwendet.</w:t>
      </w:r>
    </w:p>
    <w:p>
      <w:pPr>
        <w:pStyle w:val="Heading2"/>
      </w:pPr>
      <w:r>
        <w:t>5.6 Remote-Tabellen und Datenzugriffsarten</w:t>
      </w:r>
    </w:p>
    <w:p>
      <w:r>
        <w:t>Remote-Tabellen werden im Datenbaustein angelegt (siehe Kapitel 6). Jede Remote-Tabelle hat eine Datenzugriffsart (</w:t>
      </w:r>
      <w:r>
        <w:rPr>
          <w:i/>
        </w:rPr>
        <w:t>Data Access</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t>Datenzugriffsart</w:t>
            </w:r>
          </w:p>
        </w:tc>
        <w:tc>
          <w:tcPr>
            <w:tcW w:type="dxa" w:w="4320"/>
          </w:tcPr>
          <w:p>
            <w:r>
              <w:rPr>
                <w:b/>
              </w:rPr>
              <w:t>Bedeutung</w:t>
            </w:r>
          </w:p>
        </w:tc>
      </w:tr>
      <w:tr>
        <w:tc>
          <w:tcPr>
            <w:tcW w:type="dxa" w:w="4320"/>
          </w:tcPr>
          <w:p>
            <w:r>
              <w:rPr>
                <w:i/>
              </w:rPr>
              <w:t>Remote</w:t>
            </w:r>
            <w:r>
              <w:t xml:space="preserve"> (Federation)</w:t>
            </w:r>
          </w:p>
        </w:tc>
        <w:tc>
          <w:tcPr>
            <w:tcW w:type="dxa" w:w="4320"/>
          </w:tcPr>
          <w:p>
            <w:r>
              <w:t>Die Daten bleiben im Quellsystem und werden bei jeder Abfrage live gelesen.</w:t>
            </w:r>
          </w:p>
        </w:tc>
      </w:tr>
      <w:tr>
        <w:tc>
          <w:tcPr>
            <w:tcW w:type="dxa" w:w="4320"/>
          </w:tcPr>
          <w:p>
            <w:r>
              <w:rPr>
                <w:i/>
              </w:rPr>
              <w:t>Replicated (Snapshot)</w:t>
            </w:r>
          </w:p>
        </w:tc>
        <w:tc>
          <w:tcPr>
            <w:tcW w:type="dxa" w:w="4320"/>
          </w:tcPr>
          <w:p>
            <w:r>
              <w:t>Die Daten liegen als vollständige Kopie in Datasphere. Sie werden manuell oder per Zeitplan neu geladen.</w:t>
            </w:r>
          </w:p>
        </w:tc>
      </w:tr>
      <w:tr>
        <w:tc>
          <w:tcPr>
            <w:tcW w:type="dxa" w:w="4320"/>
          </w:tcPr>
          <w:p>
            <w:r>
              <w:rPr>
                <w:i/>
              </w:rPr>
              <w:t>Replicated (Real-Time)</w:t>
            </w:r>
          </w:p>
        </w:tc>
        <w:tc>
          <w:tcPr>
            <w:tcW w:type="dxa" w:w="4320"/>
          </w:tcPr>
          <w:p>
            <w:r>
              <w:t>Die Daten werden kopiert und anschließend laufend über Änderungserfassung aktualisiert.</w:t>
            </w:r>
          </w:p>
        </w:tc>
      </w:tr>
    </w:tbl>
    <w:p>
      <w:r>
        <w:rPr>
          <w:b/>
        </w:rPr>
        <w:t>Wichtig:</w:t>
      </w:r>
      <w:r>
        <w:t xml:space="preserve"> Starten Sie eine Snapshot-Replikation für eine Tabelle mit </w:t>
      </w:r>
      <w:r>
        <w:rPr>
          <w:i/>
        </w:rPr>
        <w:t>Replicated (Real-Time)</w:t>
      </w:r>
      <w:r>
        <w:t xml:space="preserve">, entfernt das die Echtzeitreplikation. Die Daten müssen danach erneut repliziert oder per Zeitplan aktualisiert werden. Wird die Replikation entfernt, kehrt die Tabelle zum Zugriff </w:t>
      </w:r>
      <w:r>
        <w:rPr>
          <w:i/>
        </w:rPr>
        <w:t>Remote</w:t>
      </w:r>
      <w:r>
        <w:t xml:space="preserve"> zurück.</w:t>
      </w:r>
    </w:p>
    <w:p>
      <w:r>
        <w:t xml:space="preserve">Unterstützt eine Verbindung sowohl Remote-Tabellen als auch Replikationsflüsse, kann der Datenzugriff auf </w:t>
      </w:r>
      <w:r>
        <w:rPr>
          <w:i/>
        </w:rPr>
        <w:t>Remote Only</w:t>
      </w:r>
      <w:r>
        <w:t xml:space="preserve"> beschränkt werden. Dann wird nur über Replikationsflüsse repliziert, wie SAP es empfiehlt, und dieselben Daten werden nicht doppelt kopiert.</w:t>
      </w:r>
    </w:p>
    <w:p>
      <w:r>
        <w:t>Echtzeitreplikation ist nur für bestimmte Quellen, Adapter und Objekttypen verfügbar (</w:t>
      </w:r>
      <w:r>
        <w:rPr>
          <w:b/>
        </w:rPr>
        <w:t>nicht verifiziert</w:t>
      </w:r>
      <w:r>
        <w:t>). Replikation starten, planen und überwachen siehe Kapitel 10.</w:t>
      </w:r>
    </w:p>
    <w:p>
      <w:pPr>
        <w:pStyle w:val="Heading2"/>
      </w:pPr>
      <w:r>
        <w:t>5.7 Import von Entitäten (Semantic Onboarding)</w:t>
      </w:r>
    </w:p>
    <w:p>
      <w:r>
        <w:rPr>
          <w:b/>
        </w:rPr>
        <w:t>Was:</w:t>
      </w:r>
      <w:r>
        <w:t xml:space="preserve"> Der Assistent </w:t>
      </w:r>
      <w:r>
        <w:rPr>
          <w:i/>
        </w:rPr>
        <w:t>Import Entities</w:t>
      </w:r>
      <w:r>
        <w:t xml:space="preserve"> importiert semantisch angereicherte Objekte aus ausgewählten SAP-Systemen. Er erzeugt Entitäten im Datenbaustein und im Geschäftsbaustein (</w:t>
      </w:r>
      <w:r>
        <w:rPr>
          <w:i/>
        </w:rPr>
        <w:t>Business Builder</w:t>
      </w:r>
      <w:r>
        <w:t>) und dazu alle Objekte, von denen diese abhängen.</w:t>
      </w:r>
    </w:p>
    <w:p>
      <w:r>
        <w:rPr>
          <w:b/>
        </w:rPr>
        <w:t>Wofür:</w:t>
      </w:r>
      <w:r>
        <w:t xml:space="preserve"> Bei SAP S/4HANA Cloud und S/4HANA On-Premise lädt der Assistent Metadaten aus CDS-Views, ohne dass die Semantik manuell nachmodelliert werden muss. Für SAP S/4HANA Cloud nennt die S/4HANA-Dokumentation das Kommunikationsszenario SAP_COM_0532. Damit abonniert eine ABAP-CDS-Pipeline öffentliche CDS-Views. Ob SAP BW/4HANA Model Transfer und SAP BW Bridge im selben Assistenten unterstützt werden, ist </w:t>
      </w:r>
      <w:r>
        <w:rPr>
          <w:b/>
        </w:rPr>
        <w:t>nicht verifiziert</w:t>
      </w:r>
      <w:r>
        <w:t>.</w:t>
      </w:r>
    </w:p>
    <w:p>
      <w:r>
        <w:rPr>
          <w:b/>
        </w:rPr>
        <w:t>Voraussetzung:</w:t>
      </w:r>
      <w:r>
        <w:t xml:space="preserve"> Die Verbindung unterstützt die Funktion </w:t>
      </w:r>
      <w:r>
        <w:rPr>
          <w:i/>
        </w:rPr>
        <w:t>Model Import</w:t>
      </w:r>
      <w:r>
        <w:t xml:space="preserve"> (siehe 5.4.2).</w:t>
      </w:r>
    </w:p>
    <w:p>
      <w:r>
        <w:t>SAP bündelt Hinweise und Leitfäden zu dieser Funktion im zentralen KBA 3608311. Weitere Einzelheiten zum Datenbaustein siehe Kapitel 6, zum Geschäftsbaustein Kapitel 7.</w:t>
      </w:r>
    </w:p>
    <w:p>
      <w:pPr>
        <w:pStyle w:val="Heading2"/>
      </w:pPr>
      <w:r>
        <w:t>5.8 Typische Abläufe</w:t>
      </w:r>
    </w:p>
    <w:p>
      <w:r>
        <w:rPr>
          <w:b/>
        </w:rPr>
        <w:t>Ablauf A – Verbindung anlegen und validieren</w:t>
      </w:r>
    </w:p>
    <w:p>
      <w:pPr>
        <w:pStyle w:val="ListNumber"/>
      </w:pPr>
      <w:r>
        <w:t xml:space="preserve">Öffnen Sie in der Seitenleiste </w:t>
      </w:r>
      <w:r>
        <w:rPr>
          <w:i/>
        </w:rPr>
        <w:t>Connections</w:t>
      </w:r>
      <w:r>
        <w:t xml:space="preserve"> und wählen Sie den Bereich aus.</w:t>
      </w:r>
    </w:p>
    <w:p>
      <w:pPr>
        <w:pStyle w:val="ListNumber"/>
      </w:pPr>
      <w:r>
        <w:t>Starten Sie das Anlegen und wählen Sie den Verbindungstyp. Die Funktionssymbole am Typ zeigen, welche Funktionen er unterstützt (</w:t>
      </w:r>
      <w:r>
        <w:rPr>
          <w:b/>
        </w:rPr>
        <w:t>nicht verifiziert</w:t>
      </w:r>
      <w:r>
        <w:t>).</w:t>
      </w:r>
    </w:p>
    <w:p>
      <w:pPr>
        <w:pStyle w:val="ListNumber"/>
      </w:pPr>
      <w:r>
        <w:t>Geben Sie Verbindungsdetails, Authentifizierung und gegebenenfalls Cloud Connector bzw. Data Provisioning Agent an.</w:t>
      </w:r>
    </w:p>
    <w:p>
      <w:pPr>
        <w:pStyle w:val="ListNumber"/>
      </w:pPr>
      <w:r>
        <w:t>Vergeben Sie Geschäftsnamen und technischen Namen und speichern Sie.</w:t>
      </w:r>
    </w:p>
    <w:p>
      <w:pPr>
        <w:pStyle w:val="ListNumber"/>
      </w:pPr>
      <w:r>
        <w:t xml:space="preserve">Markieren Sie die Verbindung und klicken Sie auf </w:t>
      </w:r>
      <w:r>
        <w:rPr>
          <w:i/>
        </w:rPr>
        <w:t>Validate</w:t>
      </w:r>
      <w:r>
        <w:t>. Prüfen Sie in der Meldung, welche Funktionen verfügbar sind.</w:t>
      </w:r>
    </w:p>
    <w:p>
      <w:r>
        <w:rPr>
          <w:b/>
        </w:rPr>
        <w:t>Ablauf B – On-Premise-Quelle vorbereiten (Administrator)</w:t>
      </w:r>
    </w:p>
    <w:p>
      <w:pPr>
        <w:pStyle w:val="ListNumber"/>
      </w:pPr>
      <w:r>
        <w:t>Installieren Sie den Cloud Connector und verbinden Sie ihn mit dem Datasphere-Subaccount. Geben Sie die Backend-Ressourcen frei.</w:t>
      </w:r>
    </w:p>
    <w:p>
      <w:pPr>
        <w:pStyle w:val="ListNumber"/>
      </w:pPr>
      <w:r>
        <w:t xml:space="preserve">Installieren und registrieren Sie bei Bedarf den Data Provisioning Agent und aktivieren Sie die benötigten Adapter unter </w:t>
      </w:r>
      <w:r>
        <w:rPr>
          <w:i/>
        </w:rPr>
        <w:t>System › Configuration › Data Integration</w:t>
      </w:r>
      <w:r>
        <w:t>.</w:t>
      </w:r>
    </w:p>
    <w:p>
      <w:pPr>
        <w:pStyle w:val="ListNumber"/>
      </w:pPr>
      <w:r>
        <w:t>Tragen Sie die öffentliche IPv4-Adresse des Agents in die IP-Freigabeliste ein.</w:t>
      </w:r>
    </w:p>
    <w:p>
      <w:pPr>
        <w:pStyle w:val="ListNumber"/>
      </w:pPr>
      <w:r>
        <w:t xml:space="preserve">Laden Sie bei TLS-Verbindungen das Server- oder CA-Zertifikat unter </w:t>
      </w:r>
      <w:r>
        <w:rPr>
          <w:i/>
        </w:rPr>
        <w:t>Configuration › Security</w:t>
      </w:r>
      <w:r>
        <w:t xml:space="preserve"> hoch.</w:t>
      </w:r>
    </w:p>
    <w:p>
      <w:pPr>
        <w:pStyle w:val="ListNumber"/>
      </w:pPr>
      <w:r>
        <w:t>Legen Sie die Verbindung nach Ablauf A an und validieren Sie sie.</w:t>
      </w:r>
    </w:p>
    <w:p>
      <w:r>
        <w:rPr>
          <w:b/>
        </w:rPr>
        <w:t>Ablauf C – Agent-Wartung ohne Datenverlust</w:t>
      </w:r>
    </w:p>
    <w:p>
      <w:pPr>
        <w:pStyle w:val="ListNumber"/>
      </w:pPr>
      <w:r>
        <w:t xml:space="preserve">Wählen Sie in der Agent-Kachel </w:t>
      </w:r>
      <w:r>
        <w:rPr>
          <w:i/>
        </w:rPr>
        <w:t>Pause All Connections</w:t>
      </w:r>
      <w:r>
        <w:t>.</w:t>
      </w:r>
    </w:p>
    <w:p>
      <w:pPr>
        <w:pStyle w:val="ListNumber"/>
      </w:pPr>
      <w:r>
        <w:t xml:space="preserve">Prüfen Sie, ob der Status der betroffenen Verbindungen </w:t>
      </w:r>
      <w:r>
        <w:rPr>
          <w:i/>
        </w:rPr>
        <w:t>Paused</w:t>
      </w:r>
      <w:r>
        <w:t xml:space="preserve"> lautet.</w:t>
      </w:r>
    </w:p>
    <w:p>
      <w:pPr>
        <w:pStyle w:val="ListNumber"/>
      </w:pPr>
      <w:r>
        <w:t>Aktualisieren bzw. patchen Sie den Agent oder ändern Sie seine Konfiguration.</w:t>
      </w:r>
    </w:p>
    <w:p>
      <w:pPr>
        <w:pStyle w:val="ListNumber"/>
      </w:pPr>
      <w:r>
        <w:t xml:space="preserve">Setzen Sie die Echtzeitreplikation fort. Die Beschriftung der zugehörigen Aktion ist </w:t>
      </w:r>
      <w:r>
        <w:rPr>
          <w:b/>
        </w:rPr>
        <w:t>nicht verifiziert</w:t>
      </w:r>
      <w:r>
        <w:t>.</w:t>
      </w:r>
    </w:p>
    <w:p>
      <w:r>
        <w:rPr>
          <w:b/>
        </w:rPr>
        <w:t>Ablauf D – Entitäten aus S/4HANA importieren</w:t>
      </w:r>
    </w:p>
    <w:p>
      <w:pPr>
        <w:pStyle w:val="ListNumber"/>
      </w:pPr>
      <w:r>
        <w:t xml:space="preserve">Stellen Sie sicher, dass eine S/4HANA-Verbindung mit der Funktion </w:t>
      </w:r>
      <w:r>
        <w:rPr>
          <w:i/>
        </w:rPr>
        <w:t>Model Import</w:t>
      </w:r>
      <w:r>
        <w:t xml:space="preserve"> vorhanden und validiert ist.</w:t>
      </w:r>
    </w:p>
    <w:p>
      <w:pPr>
        <w:pStyle w:val="ListNumber"/>
      </w:pPr>
      <w:r>
        <w:t xml:space="preserve">Starten Sie im Datenbaustein den Assistenten </w:t>
      </w:r>
      <w:r>
        <w:rPr>
          <w:i/>
        </w:rPr>
        <w:t>Import Entities</w:t>
      </w:r>
      <w:r>
        <w:t>.</w:t>
      </w:r>
    </w:p>
    <w:p>
      <w:pPr>
        <w:pStyle w:val="ListNumber"/>
      </w:pPr>
      <w:r>
        <w:t>Wählen Sie Verbindung und Entitäten aus.</w:t>
      </w:r>
    </w:p>
    <w:p>
      <w:pPr>
        <w:pStyle w:val="ListNumber"/>
      </w:pPr>
      <w:r>
        <w:t xml:space="preserve">Prüfen Sie die vorgeschlagenen Objekte samt Abhängigkeiten und starten Sie den Import. Die Einzelschritte und Optionen des Assistenten sind </w:t>
      </w:r>
      <w:r>
        <w:rPr>
          <w:b/>
        </w:rPr>
        <w:t>nicht verifiziert</w:t>
      </w:r>
      <w:r>
        <w:t>.</w:t>
      </w:r>
    </w:p>
    <w:p>
      <w:pPr>
        <w:pStyle w:val="Heading2"/>
      </w:pPr>
      <w:r>
        <w:t>5.9 Abhängigkeiten, Grenzen und Hinweise</w:t>
      </w:r>
    </w:p>
    <w:p>
      <w:pPr>
        <w:pStyle w:val="ListBullet"/>
      </w:pPr>
      <w:r>
        <w:rPr>
          <w:b/>
        </w:rPr>
        <w:t>Bereichsbindung:</w:t>
      </w:r>
      <w:r>
        <w:t xml:space="preserve"> Verbindungen gehören zu genau einem Bereich. Zur Bereichsverwaltung siehe Kapitel 4.</w:t>
      </w:r>
    </w:p>
    <w:p>
      <w:pPr>
        <w:pStyle w:val="ListBullet"/>
      </w:pPr>
      <w:r>
        <w:rPr>
          <w:b/>
        </w:rPr>
        <w:t>Funktionen je Typ:</w:t>
      </w:r>
      <w:r>
        <w:t xml:space="preserve"> Funktionen hängen von Verbindungstyp </w:t>
      </w:r>
      <w:r>
        <w:rPr>
          <w:i/>
        </w:rPr>
        <w:t>und</w:t>
      </w:r>
      <w:r>
        <w:t xml:space="preserve"> Konfiguration ab. Ohne Cloud Connector bzw. Data Provisioning Agent fallen einzelne Funktionen weg.</w:t>
      </w:r>
    </w:p>
    <w:p>
      <w:pPr>
        <w:pStyle w:val="ListBullet"/>
      </w:pPr>
      <w:r>
        <w:rPr>
          <w:b/>
        </w:rPr>
        <w:t>Doppelte Replikation vermeiden:</w:t>
      </w:r>
      <w:r>
        <w:t xml:space="preserve"> Lässt sich eine Quelle über Remote-Tabellen und über Replikationsflüsse replizieren, empfiehlt SAP </w:t>
      </w:r>
      <w:r>
        <w:rPr>
          <w:i/>
        </w:rPr>
        <w:t>Remote Only</w:t>
      </w:r>
      <w:r>
        <w:t xml:space="preserve"> plus Replikationsfluss.</w:t>
      </w:r>
    </w:p>
    <w:p>
      <w:pPr>
        <w:pStyle w:val="ListBullet"/>
      </w:pPr>
      <w:r>
        <w:rPr>
          <w:b/>
        </w:rPr>
        <w:t>Pausieren:</w:t>
      </w:r>
      <w:r>
        <w:t xml:space="preserve"> Replikationsflüsse lassen sich nicht als Massenänderung pausieren oder fortsetzen.</w:t>
      </w:r>
    </w:p>
    <w:p>
      <w:pPr>
        <w:pStyle w:val="ListBullet"/>
      </w:pPr>
      <w:r>
        <w:rPr>
          <w:b/>
        </w:rPr>
        <w:t>Agent getrennt:</w:t>
      </w:r>
      <w:r>
        <w:t xml:space="preserve"> Ist der Agent getrennt, sind Verbindungseigenschaften nur eingeschränkt bearbeitbar.</w:t>
      </w:r>
    </w:p>
    <w:p>
      <w:pPr>
        <w:pStyle w:val="ListBullet"/>
      </w:pPr>
      <w:r>
        <w:rPr>
          <w:b/>
        </w:rPr>
        <w:t>Netzwerk:</w:t>
      </w:r>
      <w:r>
        <w:t xml:space="preserve"> Netzwerk- und Zertifikatsfehler zeigen sich meist erst bei der Validierung. Prüfen Sie dann IP-Freigaben in beiden Richtungen und die hochgeladenen Zertifikate.</w:t>
      </w:r>
    </w:p>
    <w:p>
      <w:pPr>
        <w:pStyle w:val="ListBullet"/>
      </w:pPr>
      <w:r>
        <w:t>⚠ abhängig von Lizenz/Freischaltung: Datei-Bereiche und benutzerdefinierte Verbindungstypen, Open Connectors sowie ausgehende Replikation zu Nicht-SAP-Zielen.</w:t>
      </w:r>
    </w:p>
    <w:p>
      <w:pPr>
        <w:pStyle w:val="ListBullet"/>
      </w:pPr>
      <w:r>
        <w:rPr>
          <w:b/>
        </w:rPr>
        <w:t>Oberfläche:</w:t>
      </w:r>
      <w:r>
        <w:t xml:space="preserve"> SAP ändert die UI quartalsweise. Beschriftungen und die Verbindungstypliste können sich ändern.</w:t>
      </w:r>
    </w:p>
    <w:p>
      <w:pPr>
        <w:pStyle w:val="Heading2"/>
      </w:pPr>
      <w:r>
        <w:t>5.10 Funktion – Zweck – benötigtes 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Benötigtes Privileg / Rolle</w:t>
            </w:r>
          </w:p>
        </w:tc>
      </w:tr>
      <w:tr>
        <w:tc>
          <w:tcPr>
            <w:tcW w:type="dxa" w:w="2880"/>
          </w:tcPr>
          <w:p>
            <w:r>
              <w:t>Verbindung anlegen / bearbeiten / löschen</w:t>
            </w:r>
          </w:p>
        </w:tc>
        <w:tc>
          <w:tcPr>
            <w:tcW w:type="dxa" w:w="2880"/>
          </w:tcPr>
          <w:p>
            <w:r>
              <w:t>Quelle oder Ziel für den Bereich verfügbar machen</w:t>
            </w:r>
          </w:p>
        </w:tc>
        <w:tc>
          <w:tcPr>
            <w:tcW w:type="dxa" w:w="2880"/>
          </w:tcPr>
          <w:p>
            <w:r>
              <w:t xml:space="preserve">Privileg </w:t>
            </w:r>
            <w:r>
              <w:rPr>
                <w:i/>
              </w:rPr>
              <w:t>Connection</w:t>
            </w:r>
            <w:r>
              <w:t xml:space="preserve"> (C/U/D) im Bereich; Rollen </w:t>
            </w:r>
            <w:r>
              <w:rPr>
                <w:i/>
              </w:rPr>
              <w:t>Space Administrator</w:t>
            </w:r>
            <w:r>
              <w:t xml:space="preserve">, </w:t>
            </w:r>
            <w:r>
              <w:rPr>
                <w:i/>
              </w:rPr>
              <w:t>Integrator</w:t>
            </w:r>
            <w:r>
              <w:t xml:space="preserve"> (Privilegname </w:t>
            </w:r>
            <w:r>
              <w:rPr>
                <w:b/>
              </w:rPr>
              <w:t>nicht verifiziert</w:t>
            </w:r>
            <w:r>
              <w:t>)</w:t>
            </w:r>
          </w:p>
        </w:tc>
      </w:tr>
      <w:tr>
        <w:tc>
          <w:tcPr>
            <w:tcW w:type="dxa" w:w="2880"/>
          </w:tcPr>
          <w:p>
            <w:r>
              <w:rPr>
                <w:i/>
              </w:rPr>
              <w:t>Validate</w:t>
            </w:r>
          </w:p>
        </w:tc>
        <w:tc>
          <w:tcPr>
            <w:tcW w:type="dxa" w:w="2880"/>
          </w:tcPr>
          <w:p>
            <w:r>
              <w:t>Verfügbarkeit der Funktionen und Fehlerdiagnose</w:t>
            </w:r>
          </w:p>
        </w:tc>
        <w:tc>
          <w:tcPr>
            <w:tcW w:type="dxa" w:w="2880"/>
          </w:tcPr>
          <w:p>
            <w:r>
              <w:t xml:space="preserve">Privileg </w:t>
            </w:r>
            <w:r>
              <w:rPr>
                <w:i/>
              </w:rPr>
              <w:t>Connection</w:t>
            </w:r>
            <w:r>
              <w:t xml:space="preserve"> (R) (</w:t>
            </w:r>
            <w:r>
              <w:rPr>
                <w:b/>
              </w:rPr>
              <w:t>nicht verifiziert</w:t>
            </w:r>
            <w:r>
              <w:t>)</w:t>
            </w:r>
          </w:p>
        </w:tc>
      </w:tr>
      <w:tr>
        <w:tc>
          <w:tcPr>
            <w:tcW w:type="dxa" w:w="2880"/>
          </w:tcPr>
          <w:p>
            <w:r>
              <w:t>Echtzeitreplikation pausieren / fortsetzen (Verbindung)</w:t>
            </w:r>
          </w:p>
        </w:tc>
        <w:tc>
          <w:tcPr>
            <w:tcW w:type="dxa" w:w="2880"/>
          </w:tcPr>
          <w:p>
            <w:r>
              <w:t>Wartung, Störungsbehebung</w:t>
            </w:r>
          </w:p>
        </w:tc>
        <w:tc>
          <w:tcPr>
            <w:tcW w:type="dxa" w:w="2880"/>
          </w:tcPr>
          <w:p>
            <w:r>
              <w:t xml:space="preserve">Privileg </w:t>
            </w:r>
            <w:r>
              <w:rPr>
                <w:i/>
              </w:rPr>
              <w:t>Connection</w:t>
            </w:r>
            <w:r>
              <w:t xml:space="preserve"> (U) (</w:t>
            </w:r>
            <w:r>
              <w:rPr>
                <w:b/>
              </w:rPr>
              <w:t>nicht verifiziert</w:t>
            </w:r>
            <w:r>
              <w:t>)</w:t>
            </w:r>
          </w:p>
        </w:tc>
      </w:tr>
      <w:tr>
        <w:tc>
          <w:tcPr>
            <w:tcW w:type="dxa" w:w="2880"/>
          </w:tcPr>
          <w:p>
            <w:r>
              <w:rPr>
                <w:i/>
              </w:rPr>
              <w:t>Pause All Connections</w:t>
            </w:r>
            <w:r>
              <w:t xml:space="preserve"> (Agent)</w:t>
            </w:r>
          </w:p>
        </w:tc>
        <w:tc>
          <w:tcPr>
            <w:tcW w:type="dxa" w:w="2880"/>
          </w:tcPr>
          <w:p>
            <w:r>
              <w:t>Agent-Update oder -Patch</w:t>
            </w:r>
          </w:p>
        </w:tc>
        <w:tc>
          <w:tcPr>
            <w:tcW w:type="dxa" w:w="2880"/>
          </w:tcPr>
          <w:p>
            <w:r>
              <w:t>Systemadministrator (</w:t>
            </w:r>
            <w:r>
              <w:rPr>
                <w:b/>
              </w:rPr>
              <w:t>nicht verifiziert</w:t>
            </w:r>
            <w:r>
              <w:t>)</w:t>
            </w:r>
          </w:p>
        </w:tc>
      </w:tr>
      <w:tr>
        <w:tc>
          <w:tcPr>
            <w:tcW w:type="dxa" w:w="2880"/>
          </w:tcPr>
          <w:p>
            <w:r>
              <w:t>Benutzerdefinierte Verbindungstypen</w:t>
            </w:r>
          </w:p>
        </w:tc>
        <w:tc>
          <w:tcPr>
            <w:tcW w:type="dxa" w:w="2880"/>
          </w:tcPr>
          <w:p>
            <w:r>
              <w:t>REST/JSON in den Objektspeicher laden</w:t>
            </w:r>
          </w:p>
        </w:tc>
        <w:tc>
          <w:tcPr>
            <w:tcW w:type="dxa" w:w="2880"/>
          </w:tcPr>
          <w:p>
            <w:r>
              <w:t>Rechte im Datei-Bereich (</w:t>
            </w:r>
            <w:r>
              <w:rPr>
                <w:b/>
              </w:rPr>
              <w:t>nicht verifiziert</w:t>
            </w:r>
            <w:r>
              <w:t>)</w:t>
            </w:r>
          </w:p>
        </w:tc>
      </w:tr>
      <w:tr>
        <w:tc>
          <w:tcPr>
            <w:tcW w:type="dxa" w:w="2880"/>
          </w:tcPr>
          <w:p>
            <w:r>
              <w:t>Cloud Connector, Agent, IP-Freigabeliste, Zertifikate</w:t>
            </w:r>
          </w:p>
        </w:tc>
        <w:tc>
          <w:tcPr>
            <w:tcW w:type="dxa" w:w="2880"/>
          </w:tcPr>
          <w:p>
            <w:r>
              <w:t>Konnektivität systemweit vorbereiten</w:t>
            </w:r>
          </w:p>
        </w:tc>
        <w:tc>
          <w:tcPr>
            <w:tcW w:type="dxa" w:w="2880"/>
          </w:tcPr>
          <w:p>
            <w:r>
              <w:t>Systemadministrator (siehe Kapitel 3)</w:t>
            </w:r>
          </w:p>
        </w:tc>
      </w:tr>
      <w:tr>
        <w:tc>
          <w:tcPr>
            <w:tcW w:type="dxa" w:w="2880"/>
          </w:tcPr>
          <w:p>
            <w:r>
              <w:t>Remote-Tabellen replizieren</w:t>
            </w:r>
          </w:p>
        </w:tc>
        <w:tc>
          <w:tcPr>
            <w:tcW w:type="dxa" w:w="2880"/>
          </w:tcPr>
          <w:p>
            <w:r>
              <w:t>Snapshot oder Echtzeit</w:t>
            </w:r>
          </w:p>
        </w:tc>
        <w:tc>
          <w:tcPr>
            <w:tcW w:type="dxa" w:w="2880"/>
          </w:tcPr>
          <w:p>
            <w:r>
              <w:t>Integrator bzw. Datenintegrationsprivilegien (siehe Kapitel 10)</w:t>
            </w:r>
          </w:p>
        </w:tc>
      </w:tr>
      <w:tr>
        <w:tc>
          <w:tcPr>
            <w:tcW w:type="dxa" w:w="2880"/>
          </w:tcPr>
          <w:p>
            <w:r>
              <w:rPr>
                <w:i/>
              </w:rPr>
              <w:t>Import Entities</w:t>
            </w:r>
          </w:p>
        </w:tc>
        <w:tc>
          <w:tcPr>
            <w:tcW w:type="dxa" w:w="2880"/>
          </w:tcPr>
          <w:p>
            <w:r>
              <w:t>Semantisches Onboarding aus S/4HANA</w:t>
            </w:r>
          </w:p>
        </w:tc>
        <w:tc>
          <w:tcPr>
            <w:tcW w:type="dxa" w:w="2880"/>
          </w:tcPr>
          <w:p>
            <w:r>
              <w:t>Modellierungsrechte für Daten- und Geschäftsbaustein (</w:t>
            </w:r>
            <w:r>
              <w:rPr>
                <w:b/>
              </w:rPr>
              <w:t>nicht verifiziert</w:t>
            </w:r>
            <w:r>
              <w:t>)</w:t>
            </w:r>
          </w:p>
        </w:tc>
      </w:tr>
    </w:tbl>
    <w:p>
      <w:pPr>
        <w:pStyle w:val="Heading1"/>
      </w:pPr>
      <w:r>
        <w:t>6. Data Builder</w:t>
      </w:r>
    </w:p>
    <w:p>
      <w:pPr>
        <w:pStyle w:val="Heading2"/>
      </w:pPr>
      <w:r>
        <w:t>6.1 Zweck und Einordnung</w:t>
      </w:r>
    </w:p>
    <w:p>
      <w:r>
        <w:t>Im Datenbaustein (</w:t>
      </w:r>
      <w:r>
        <w:rPr>
          <w:i/>
        </w:rPr>
        <w:t>Data Builder</w:t>
      </w:r>
      <w:r>
        <w:t>) legen Modellierer Objekte an, mit denen sie Daten in SAP Datasphere übernehmen, aufbereiten und für die Nutzung modellieren. Nutzer mit Modellierer-Rolle führen hier Daten zusammen und bereiten sie für SAP Analytics Cloud und andere BI-Clients auf. Der Data Builder ist damit die zentrale Modellierungsumgebung der technischen Schicht eines Bereichs (</w:t>
      </w:r>
      <w:r>
        <w:rPr>
          <w:i/>
        </w:rPr>
        <w:t>Space</w:t>
      </w:r>
      <w:r>
        <w:t>). Die semantische, fachliche Schicht liegt im Business Builder (siehe Kapitel 7).</w:t>
      </w:r>
    </w:p>
    <w:p>
      <w:r>
        <w:t>Der Data Builder arbeitet immer im Kontext eines Bereichs. Alle Objekte gehören zu genau einem Bereich und nutzen dessen Ressourcen, Verbindungen und Speicher (siehe Kapitel 4 und 5). Objekte anderer Bereiche lassen sich nur verwenden, wenn sie freigegeben (</w:t>
      </w:r>
      <w:r>
        <w:rPr>
          <w:i/>
        </w:rPr>
        <w:t>shared</w:t>
      </w:r>
      <w:r>
        <w:t>) wurden.</w:t>
      </w:r>
    </w:p>
    <w:p>
      <w:r>
        <w:t>Im Data Builder werden folgende Objekttypen erstellt und bearbeitet:</w:t>
      </w:r>
    </w:p>
    <w:tbl>
      <w:tblPr>
        <w:tblStyle w:val="TableGrid"/>
        <w:tblW w:type="auto" w:w="0"/>
        <w:tblLook w:firstColumn="1" w:firstRow="1" w:lastColumn="0" w:lastRow="0" w:noHBand="0" w:noVBand="1" w:val="04A0"/>
      </w:tblPr>
      <w:tblGrid>
        <w:gridCol w:w="4320"/>
        <w:gridCol w:w="4320"/>
      </w:tblGrid>
      <w:tr>
        <w:tc>
          <w:tcPr>
            <w:tcW w:type="dxa" w:w="4320"/>
          </w:tcPr>
          <w:p>
            <w:r>
              <w:rPr>
                <w:b/>
              </w:rPr>
              <w:t>Objektgruppe</w:t>
            </w:r>
          </w:p>
        </w:tc>
        <w:tc>
          <w:tcPr>
            <w:tcW w:type="dxa" w:w="4320"/>
          </w:tcPr>
          <w:p>
            <w:r>
              <w:rPr>
                <w:b/>
              </w:rPr>
              <w:t>Objekttypen</w:t>
            </w:r>
          </w:p>
        </w:tc>
      </w:tr>
      <w:tr>
        <w:tc>
          <w:tcPr>
            <w:tcW w:type="dxa" w:w="4320"/>
          </w:tcPr>
          <w:p>
            <w:r>
              <w:t>Tabellen</w:t>
            </w:r>
          </w:p>
        </w:tc>
        <w:tc>
          <w:tcPr>
            <w:tcW w:type="dxa" w:w="4320"/>
          </w:tcPr>
          <w:p>
            <w:r>
              <w:t>Lokale Tabelle (</w:t>
            </w:r>
            <w:r>
              <w:rPr>
                <w:i/>
              </w:rPr>
              <w:t>Local Table</w:t>
            </w:r>
            <w:r>
              <w:t>), Lokale Tabelle (Datei) (</w:t>
            </w:r>
            <w:r>
              <w:rPr>
                <w:i/>
              </w:rPr>
              <w:t>Local Table (File)</w:t>
            </w:r>
            <w:r>
              <w:t>), Remote-Tabelle (</w:t>
            </w:r>
            <w:r>
              <w:rPr>
                <w:i/>
              </w:rPr>
              <w:t>Remote Table</w:t>
            </w:r>
            <w:r>
              <w:t>)</w:t>
            </w:r>
          </w:p>
        </w:tc>
      </w:tr>
      <w:tr>
        <w:tc>
          <w:tcPr>
            <w:tcW w:type="dxa" w:w="4320"/>
          </w:tcPr>
          <w:p>
            <w:r>
              <w:t>Views</w:t>
            </w:r>
          </w:p>
        </w:tc>
        <w:tc>
          <w:tcPr>
            <w:tcW w:type="dxa" w:w="4320"/>
          </w:tcPr>
          <w:p>
            <w:r>
              <w:t>Grafische View (</w:t>
            </w:r>
            <w:r>
              <w:rPr>
                <w:i/>
              </w:rPr>
              <w:t>Graphical View</w:t>
            </w:r>
            <w:r>
              <w:t>), SQL-View (</w:t>
            </w:r>
            <w:r>
              <w:rPr>
                <w:i/>
              </w:rPr>
              <w:t>SQL View</w:t>
            </w:r>
            <w:r>
              <w:t>)</w:t>
            </w:r>
          </w:p>
        </w:tc>
      </w:tr>
      <w:tr>
        <w:tc>
          <w:tcPr>
            <w:tcW w:type="dxa" w:w="4320"/>
          </w:tcPr>
          <w:p>
            <w:r>
              <w:t>Modelle</w:t>
            </w:r>
          </w:p>
        </w:tc>
        <w:tc>
          <w:tcPr>
            <w:tcW w:type="dxa" w:w="4320"/>
          </w:tcPr>
          <w:p>
            <w:r>
              <w:t>Entity-Relationship-Modell (</w:t>
            </w:r>
            <w:r>
              <w:rPr>
                <w:i/>
              </w:rPr>
              <w:t>Entity-Relationship Model</w:t>
            </w:r>
            <w:r>
              <w:t>), Analysemodell (</w:t>
            </w:r>
            <w:r>
              <w:rPr>
                <w:i/>
              </w:rPr>
              <w:t>Analytic Model</w:t>
            </w:r>
            <w:r>
              <w:t>)</w:t>
            </w:r>
          </w:p>
        </w:tc>
      </w:tr>
      <w:tr>
        <w:tc>
          <w:tcPr>
            <w:tcW w:type="dxa" w:w="4320"/>
          </w:tcPr>
          <w:p>
            <w:r>
              <w:t>Flows</w:t>
            </w:r>
          </w:p>
        </w:tc>
        <w:tc>
          <w:tcPr>
            <w:tcW w:type="dxa" w:w="4320"/>
          </w:tcPr>
          <w:p>
            <w:r>
              <w:t>Datenfluss (</w:t>
            </w:r>
            <w:r>
              <w:rPr>
                <w:i/>
              </w:rPr>
              <w:t>Data Flow</w:t>
            </w:r>
            <w:r>
              <w:t>), Replikationsfluss (</w:t>
            </w:r>
            <w:r>
              <w:rPr>
                <w:i/>
              </w:rPr>
              <w:t>Replication Flow</w:t>
            </w:r>
            <w:r>
              <w:t>), Transformationsfluss (</w:t>
            </w:r>
            <w:r>
              <w:rPr>
                <w:i/>
              </w:rPr>
              <w:t>Transformation Flow</w:t>
            </w:r>
            <w:r>
              <w:t>)</w:t>
            </w:r>
          </w:p>
        </w:tc>
      </w:tr>
      <w:tr>
        <w:tc>
          <w:tcPr>
            <w:tcW w:type="dxa" w:w="4320"/>
          </w:tcPr>
          <w:p>
            <w:r>
              <w:t>Orchestrierung und Abgleich</w:t>
            </w:r>
          </w:p>
        </w:tc>
        <w:tc>
          <w:tcPr>
            <w:tcW w:type="dxa" w:w="4320"/>
          </w:tcPr>
          <w:p>
            <w:r>
              <w:t>Aufgabenkette (</w:t>
            </w:r>
            <w:r>
              <w:rPr>
                <w:i/>
              </w:rPr>
              <w:t>Task Chain</w:t>
            </w:r>
            <w:r>
              <w:t>), Intelligentes Nachschlagen (</w:t>
            </w:r>
            <w:r>
              <w:rPr>
                <w:i/>
              </w:rPr>
              <w:t>Intelligent Lookup</w:t>
            </w:r>
            <w:r>
              <w:t>)</w:t>
            </w:r>
          </w:p>
        </w:tc>
      </w:tr>
    </w:tbl>
    <w:p>
      <w:r>
        <w:t>Hinweis: SAP ändert die Oberfläche des Data Builder quartalsweise. Bezeichnungen von Kacheln, Menüs und Schaltflächen können daher vom hier beschriebenen Stand abweichen.</w:t>
      </w:r>
    </w:p>
    <w:p>
      <w:pPr>
        <w:pStyle w:val="Heading2"/>
      </w:pPr>
      <w:r>
        <w:t>6.2 Aufruf, Navigation und Berechtigungen</w:t>
      </w:r>
    </w:p>
    <w:p>
      <w:pPr>
        <w:pStyle w:val="Heading3"/>
      </w:pPr>
      <w:r>
        <w:t>6.2.1 Aufruf</w:t>
      </w:r>
    </w:p>
    <w:p>
      <w:r>
        <w:t>Der Data Builder wird über den gleichnamigen Eintrag in der Seitenleiste geöffnet (Aufbau der Seitenleiste siehe Kapitel 2). Ist der Nutzer Mitglied mehrerer Bereiche, wählt er beim ersten Aufruf zunächst einen Bereich aus. Danach erscheint die Startseite des Data Builder für diesen Bereich. Über die Bereichsauswahl im Kopf der Startseite lässt sich jederzeit in einen anderen Bereich wechseln.</w:t>
      </w:r>
    </w:p>
    <w:p>
      <w:pPr>
        <w:pStyle w:val="Heading3"/>
      </w:pPr>
      <w:r>
        <w:t>6.2.2 Benötigte Rollen und Privilegien</w:t>
      </w:r>
    </w:p>
    <w:p>
      <w:r>
        <w:t>Damit der Data Builder in der Seitenleiste erscheint und genutzt werden kann, braucht der Nutzer</w:t>
      </w:r>
    </w:p>
    <w:p>
      <w:pPr>
        <w:pStyle w:val="ListBullet"/>
      </w:pPr>
      <w:r>
        <w:t xml:space="preserve">eine Rolle mit dem Privileg </w:t>
      </w:r>
      <w:r>
        <w:rPr>
          <w:i/>
        </w:rPr>
        <w:t>Data Warehouse Data Builder</w:t>
      </w:r>
      <w:r>
        <w:t xml:space="preserve"> (Anlegen, Lesen, Ändern, Löschen von Data-Builder-Objekten) und</w:t>
      </w:r>
    </w:p>
    <w:p>
      <w:pPr>
        <w:pStyle w:val="ListBullet"/>
      </w:pPr>
      <w:r>
        <w:t>die Mitgliedschaft in mindestens einem Bereich.</w:t>
      </w:r>
    </w:p>
    <w:p>
      <w:r>
        <w:t xml:space="preserve">SAP liefert dafür die Standardrolle </w:t>
      </w:r>
      <w:r>
        <w:rPr>
          <w:i/>
        </w:rPr>
        <w:t>DW Modeler</w:t>
      </w:r>
      <w:r>
        <w:t xml:space="preserve"> bzw. die entsprechende bereichsbezogene Rolle (</w:t>
      </w:r>
      <w:r>
        <w:rPr>
          <w:i/>
        </w:rPr>
        <w:t>scoped role</w:t>
      </w:r>
      <w:r>
        <w:t>) aus. Für einzelne Funktionen sind weitere Privilegien nötig:</w:t>
      </w:r>
    </w:p>
    <w:p>
      <w:pPr>
        <w:pStyle w:val="ListBullet"/>
      </w:pPr>
      <w:r>
        <w:t xml:space="preserve">Ausführen und Einplanen von Flows und Aufgabenketten: </w:t>
      </w:r>
      <w:r>
        <w:rPr>
          <w:i/>
        </w:rPr>
        <w:t>Data Integration</w:t>
      </w:r>
      <w:r>
        <w:t>,</w:t>
      </w:r>
    </w:p>
    <w:p>
      <w:pPr>
        <w:pStyle w:val="ListBullet"/>
      </w:pPr>
      <w:r>
        <w:t xml:space="preserve">Anlegen von Datenzugriffskontrollen: </w:t>
      </w:r>
      <w:r>
        <w:rPr>
          <w:i/>
        </w:rPr>
        <w:t>Data Warehouse Data Access Control</w:t>
      </w:r>
      <w:r>
        <w:t>.</w:t>
      </w:r>
    </w:p>
    <w:p>
      <w:r>
        <w:t>Das Rollen- und Berechtigungskonzept ist in Kapitel 3 beschrieben, die Datenzugriffskontrollen in Kapitel 9. Die genauen Privilegienbezeichnungen und CRUD-Stufen je Funktion sind gegen die aktuelle Privilegienliste abzugleichen (nicht verifiziert).</w:t>
      </w:r>
    </w:p>
    <w:p>
      <w:pPr>
        <w:pStyle w:val="Heading2"/>
      </w:pPr>
      <w:r>
        <w:t>6.3 Aufbau der Oberfläche</w:t>
      </w:r>
    </w:p>
    <w:p>
      <w:pPr>
        <w:pStyle w:val="Heading3"/>
      </w:pPr>
      <w:r>
        <w:t>6.3.1 Startseite und Objektliste</w:t>
      </w:r>
    </w:p>
    <w:p>
      <w:r>
        <w:t>Die Startseite des Data Builder hat drei Bereiche:</w:t>
      </w:r>
    </w:p>
    <w:p>
      <w:pPr>
        <w:pStyle w:val="ListNumber"/>
      </w:pPr>
      <w:r>
        <w:rPr>
          <w:b/>
        </w:rPr>
        <w:t>Kopfbereich mit Bereichsauswahl:</w:t>
      </w:r>
      <w:r>
        <w:t xml:space="preserve"> Zeigt den aktuellen Bereich und erlaubt den Wechsel in einen anderen.</w:t>
      </w:r>
    </w:p>
    <w:p>
      <w:pPr>
        <w:pStyle w:val="ListNumber"/>
      </w:pPr>
      <w:r>
        <w:rPr>
          <w:b/>
        </w:rPr>
        <w:t>Kacheln bzw. Menü zum Anlegen neuer Objekte:</w:t>
      </w:r>
      <w:r>
        <w:t xml:space="preserve"> Für jeden Objekttyp gibt es einen Einstieg, etwa </w:t>
      </w:r>
      <w:r>
        <w:rPr>
          <w:i/>
        </w:rPr>
        <w:t>New Graphical View</w:t>
      </w:r>
      <w:r>
        <w:t xml:space="preserve">, </w:t>
      </w:r>
      <w:r>
        <w:rPr>
          <w:i/>
        </w:rPr>
        <w:t>New SQL View</w:t>
      </w:r>
      <w:r>
        <w:t xml:space="preserve">, </w:t>
      </w:r>
      <w:r>
        <w:rPr>
          <w:i/>
        </w:rPr>
        <w:t>New Entity-Relationship Model</w:t>
      </w:r>
      <w:r>
        <w:t xml:space="preserve">, </w:t>
      </w:r>
      <w:r>
        <w:rPr>
          <w:i/>
        </w:rPr>
        <w:t>New Data Flow</w:t>
      </w:r>
      <w:r>
        <w:t xml:space="preserve">, </w:t>
      </w:r>
      <w:r>
        <w:rPr>
          <w:i/>
        </w:rPr>
        <w:t>New Replication Flow</w:t>
      </w:r>
      <w:r>
        <w:t xml:space="preserve">, </w:t>
      </w:r>
      <w:r>
        <w:rPr>
          <w:i/>
        </w:rPr>
        <w:t>New Transformation Flow</w:t>
      </w:r>
      <w:r>
        <w:t xml:space="preserve">, </w:t>
      </w:r>
      <w:r>
        <w:rPr>
          <w:i/>
        </w:rPr>
        <w:t>New Task Chain</w:t>
      </w:r>
      <w:r>
        <w:t xml:space="preserve">, </w:t>
      </w:r>
      <w:r>
        <w:rPr>
          <w:i/>
        </w:rPr>
        <w:t>New Intelligent Lookup</w:t>
      </w:r>
      <w:r>
        <w:t xml:space="preserve">, </w:t>
      </w:r>
      <w:r>
        <w:rPr>
          <w:i/>
        </w:rPr>
        <w:t>New Analytic Model</w:t>
      </w:r>
      <w:r>
        <w:t xml:space="preserve"> sowie </w:t>
      </w:r>
      <w:r>
        <w:rPr>
          <w:i/>
        </w:rPr>
        <w:t>New Local Table</w:t>
      </w:r>
      <w:r>
        <w:t>. Ergänzend gibt es ein Importmenü (</w:t>
      </w:r>
      <w:r>
        <w:rPr>
          <w:i/>
        </w:rPr>
        <w:t>Import</w:t>
      </w:r>
      <w:r>
        <w:t xml:space="preserve">), u. a. mit </w:t>
      </w:r>
      <w:r>
        <w:rPr>
          <w:i/>
        </w:rPr>
        <w:t>Import CSV File</w:t>
      </w:r>
      <w:r>
        <w:t xml:space="preserve">, </w:t>
      </w:r>
      <w:r>
        <w:rPr>
          <w:i/>
        </w:rPr>
        <w:t>Import Objects from CSN/JSON File</w:t>
      </w:r>
      <w:r>
        <w:t xml:space="preserve">, </w:t>
      </w:r>
      <w:r>
        <w:rPr>
          <w:i/>
        </w:rPr>
        <w:t>Import Remote Tables</w:t>
      </w:r>
      <w:r>
        <w:t xml:space="preserve"> und dem Assistenten </w:t>
      </w:r>
      <w:r>
        <w:rPr>
          <w:i/>
        </w:rPr>
        <w:t>Import Entities</w:t>
      </w:r>
      <w:r>
        <w:t xml:space="preserve"> für semantisch angereicherte Objekte aus SAP S/4HANA. Der genaue Kachelsatz hängt vom Release ab und davon, ob es sich um einen Standard- oder einen Dateibereich (</w:t>
      </w:r>
      <w:r>
        <w:rPr>
          <w:i/>
        </w:rPr>
        <w:t>file space</w:t>
      </w:r>
      <w:r>
        <w:t>) handelt (nicht verifiziert).</w:t>
      </w:r>
    </w:p>
    <w:p>
      <w:pPr>
        <w:pStyle w:val="ListNumber"/>
      </w:pPr>
      <w:r>
        <w:rPr>
          <w:b/>
        </w:rPr>
        <w:t>Objektliste:</w:t>
      </w:r>
      <w:r>
        <w:t xml:space="preserve"> Tabellarische Übersicht aller Objekte des Bereichs, ggf. auf Registerkarten bzw. Filter nach Objektgruppen verteilt (Tabellen, Views, Flows usw.).</w:t>
      </w:r>
    </w:p>
    <w:p>
      <w:r>
        <w:t>Typische Spalten der Objektliste:</w:t>
      </w:r>
    </w:p>
    <w:tbl>
      <w:tblPr>
        <w:tblStyle w:val="TableGrid"/>
        <w:tblW w:type="auto" w:w="0"/>
        <w:tblLook w:firstColumn="1" w:firstRow="1" w:lastColumn="0" w:lastRow="0" w:noHBand="0" w:noVBand="1" w:val="04A0"/>
      </w:tblPr>
      <w:tblGrid>
        <w:gridCol w:w="4320"/>
        <w:gridCol w:w="4320"/>
      </w:tblGrid>
      <w:tr>
        <w:tc>
          <w:tcPr>
            <w:tcW w:type="dxa" w:w="4320"/>
          </w:tcPr>
          <w:p>
            <w:r>
              <w:rPr>
                <w:b/>
              </w:rPr>
              <w:t>Spalte</w:t>
            </w:r>
          </w:p>
        </w:tc>
        <w:tc>
          <w:tcPr>
            <w:tcW w:type="dxa" w:w="4320"/>
          </w:tcPr>
          <w:p>
            <w:r>
              <w:rPr>
                <w:b/>
              </w:rPr>
              <w:t>Inhalt</w:t>
            </w:r>
          </w:p>
        </w:tc>
      </w:tr>
      <w:tr>
        <w:tc>
          <w:tcPr>
            <w:tcW w:type="dxa" w:w="4320"/>
          </w:tcPr>
          <w:p>
            <w:r>
              <w:t>Geschäftsname (</w:t>
            </w:r>
            <w:r>
              <w:rPr>
                <w:i/>
              </w:rPr>
              <w:t>Business Name</w:t>
            </w:r>
            <w:r>
              <w:t>)</w:t>
            </w:r>
          </w:p>
        </w:tc>
        <w:tc>
          <w:tcPr>
            <w:tcW w:type="dxa" w:w="4320"/>
          </w:tcPr>
          <w:p>
            <w:r>
              <w:t>Sprechender, frei änderbarer Name</w:t>
            </w:r>
          </w:p>
        </w:tc>
      </w:tr>
      <w:tr>
        <w:tc>
          <w:tcPr>
            <w:tcW w:type="dxa" w:w="4320"/>
          </w:tcPr>
          <w:p>
            <w:r>
              <w:t>Technischer Name (</w:t>
            </w:r>
            <w:r>
              <w:rPr>
                <w:i/>
              </w:rPr>
              <w:t>Technical Name</w:t>
            </w:r>
            <w:r>
              <w:t>)</w:t>
            </w:r>
          </w:p>
        </w:tc>
        <w:tc>
          <w:tcPr>
            <w:tcW w:type="dxa" w:w="4320"/>
          </w:tcPr>
          <w:p>
            <w:r>
              <w:t>Eindeutiger, nach dem Speichern nicht mehr änderbarer Name</w:t>
            </w:r>
          </w:p>
        </w:tc>
      </w:tr>
      <w:tr>
        <w:tc>
          <w:tcPr>
            <w:tcW w:type="dxa" w:w="4320"/>
          </w:tcPr>
          <w:p>
            <w:r>
              <w:t>Typ (</w:t>
            </w:r>
            <w:r>
              <w:rPr>
                <w:i/>
              </w:rPr>
              <w:t>Type</w:t>
            </w:r>
            <w:r>
              <w:t>)</w:t>
            </w:r>
          </w:p>
        </w:tc>
        <w:tc>
          <w:tcPr>
            <w:tcW w:type="dxa" w:w="4320"/>
          </w:tcPr>
          <w:p>
            <w:r>
              <w:t xml:space="preserve">Objekttyp, z. B. </w:t>
            </w:r>
            <w:r>
              <w:rPr>
                <w:i/>
              </w:rPr>
              <w:t>Local Table</w:t>
            </w:r>
            <w:r>
              <w:t xml:space="preserve">, </w:t>
            </w:r>
            <w:r>
              <w:rPr>
                <w:i/>
              </w:rPr>
              <w:t>View</w:t>
            </w:r>
            <w:r>
              <w:t xml:space="preserve">, </w:t>
            </w:r>
            <w:r>
              <w:rPr>
                <w:i/>
              </w:rPr>
              <w:t>Data Flow</w:t>
            </w:r>
          </w:p>
        </w:tc>
      </w:tr>
      <w:tr>
        <w:tc>
          <w:tcPr>
            <w:tcW w:type="dxa" w:w="4320"/>
          </w:tcPr>
          <w:p>
            <w:r>
              <w:t>Semantische Verwendung (</w:t>
            </w:r>
            <w:r>
              <w:rPr>
                <w:i/>
              </w:rPr>
              <w:t>Semantic Usage</w:t>
            </w:r>
            <w:r>
              <w:t>)</w:t>
            </w:r>
          </w:p>
        </w:tc>
        <w:tc>
          <w:tcPr>
            <w:tcW w:type="dxa" w:w="4320"/>
          </w:tcPr>
          <w:p>
            <w:r>
              <w:t xml:space="preserve">z. B. </w:t>
            </w:r>
            <w:r>
              <w:rPr>
                <w:i/>
              </w:rPr>
              <w:t>Fact</w:t>
            </w:r>
            <w:r>
              <w:t xml:space="preserve">, </w:t>
            </w:r>
            <w:r>
              <w:rPr>
                <w:i/>
              </w:rPr>
              <w:t>Dimension</w:t>
            </w:r>
            <w:r>
              <w:t xml:space="preserve">, </w:t>
            </w:r>
            <w:r>
              <w:rPr>
                <w:i/>
              </w:rPr>
              <w:t>Text</w:t>
            </w:r>
            <w:r>
              <w:t xml:space="preserve"> (siehe 6.5.3)</w:t>
            </w:r>
          </w:p>
        </w:tc>
      </w:tr>
      <w:tr>
        <w:tc>
          <w:tcPr>
            <w:tcW w:type="dxa" w:w="4320"/>
          </w:tcPr>
          <w:p>
            <w:r>
              <w:t>Status (</w:t>
            </w:r>
            <w:r>
              <w:rPr>
                <w:i/>
              </w:rPr>
              <w:t>Status</w:t>
            </w:r>
            <w:r>
              <w:t>)</w:t>
            </w:r>
          </w:p>
        </w:tc>
        <w:tc>
          <w:tcPr>
            <w:tcW w:type="dxa" w:w="4320"/>
          </w:tcPr>
          <w:p>
            <w:r>
              <w:t>Bereitstellungsstatus (siehe 6.3.3)</w:t>
            </w:r>
          </w:p>
        </w:tc>
      </w:tr>
      <w:tr>
        <w:tc>
          <w:tcPr>
            <w:tcW w:type="dxa" w:w="4320"/>
          </w:tcPr>
          <w:p>
            <w:r>
              <w:t>Geändert von/am (</w:t>
            </w:r>
            <w:r>
              <w:rPr>
                <w:i/>
              </w:rPr>
              <w:t>Changed By/On</w:t>
            </w:r>
            <w:r>
              <w:t>), Bereitgestellt am (</w:t>
            </w:r>
            <w:r>
              <w:rPr>
                <w:i/>
              </w:rPr>
              <w:t>Deployed On</w:t>
            </w:r>
            <w:r>
              <w:t>)</w:t>
            </w:r>
          </w:p>
        </w:tc>
        <w:tc>
          <w:tcPr>
            <w:tcW w:type="dxa" w:w="4320"/>
          </w:tcPr>
          <w:p>
            <w:r>
              <w:t>Änderungshistorie</w:t>
            </w:r>
          </w:p>
        </w:tc>
      </w:tr>
      <w:tr>
        <w:tc>
          <w:tcPr>
            <w:tcW w:type="dxa" w:w="4320"/>
          </w:tcPr>
          <w:p>
            <w:r>
              <w:t>Freigabe (</w:t>
            </w:r>
            <w:r>
              <w:rPr>
                <w:i/>
              </w:rPr>
              <w:t>Sharing</w:t>
            </w:r>
            <w:r>
              <w:t>)</w:t>
            </w:r>
          </w:p>
        </w:tc>
        <w:tc>
          <w:tcPr>
            <w:tcW w:type="dxa" w:w="4320"/>
          </w:tcPr>
          <w:p>
            <w:r>
              <w:t>Ob das Objekt für andere Bereiche freigegeben ist</w:t>
            </w:r>
          </w:p>
        </w:tc>
      </w:tr>
    </w:tbl>
    <w:p>
      <w:r>
        <w:t>Weitere Funktionen der Objektliste:</w:t>
      </w:r>
    </w:p>
    <w:p>
      <w:pPr>
        <w:pStyle w:val="ListBullet"/>
      </w:pPr>
      <w:r>
        <w:t>Suche über Freitext</w:t>
      </w:r>
    </w:p>
    <w:p>
      <w:pPr>
        <w:pStyle w:val="ListBullet"/>
      </w:pPr>
      <w:r>
        <w:t>Filter nach Typ, Status und semantischer Verwendung</w:t>
      </w:r>
    </w:p>
    <w:p>
      <w:pPr>
        <w:pStyle w:val="ListBullet"/>
      </w:pPr>
      <w:r>
        <w:t>Sortierung und Spaltenauswahl</w:t>
      </w:r>
    </w:p>
    <w:p>
      <w:pPr>
        <w:pStyle w:val="ListBullet"/>
      </w:pPr>
      <w:r>
        <w:t>Mehrfachauswahl für Sammelaktionen, z. B. Bereitstellen (</w:t>
      </w:r>
      <w:r>
        <w:rPr>
          <w:i/>
        </w:rPr>
        <w:t>Deploy</w:t>
      </w:r>
      <w:r>
        <w:t>), Löschen (</w:t>
      </w:r>
      <w:r>
        <w:rPr>
          <w:i/>
        </w:rPr>
        <w:t>Delete</w:t>
      </w:r>
      <w:r>
        <w:t>), Freigeben (</w:t>
      </w:r>
      <w:r>
        <w:rPr>
          <w:i/>
        </w:rPr>
        <w:t>Share</w:t>
      </w:r>
      <w:r>
        <w:t>), Exportieren als CSN/JSON</w:t>
      </w:r>
    </w:p>
    <w:p>
      <w:pPr>
        <w:pStyle w:val="ListBullet"/>
      </w:pPr>
      <w:r>
        <w:t>Doppelklick öffnet das Objekt im passenden Editor</w:t>
      </w:r>
    </w:p>
    <w:p>
      <w:r>
        <w:t>Welche Spalten genau zur Verfügung stehen, ist am aktuellen Release zu prüfen (nicht verifiziert).</w:t>
      </w:r>
    </w:p>
    <w:p>
      <w:pPr>
        <w:pStyle w:val="Heading3"/>
      </w:pPr>
      <w:r>
        <w:t>6.3.2 Gemeinsamer Editoraufbau</w:t>
      </w:r>
    </w:p>
    <w:p>
      <w:r>
        <w:t>Alle Data-Builder-Editoren sind nach demselben Muster aufgebaut:</w:t>
      </w:r>
    </w:p>
    <w:p>
      <w:pPr>
        <w:pStyle w:val="ListBullet"/>
      </w:pPr>
      <w:r>
        <w:rPr>
          <w:b/>
        </w:rPr>
        <w:t>Werkzeugleiste (*Toolbar*)</w:t>
      </w:r>
      <w:r>
        <w:t xml:space="preserve"> am oberen Rand mit den Gruppen</w:t>
      </w:r>
    </w:p>
    <w:p>
      <w:pPr>
        <w:pStyle w:val="ListBullet"/>
      </w:pPr>
      <w:r>
        <w:t>Allgemein: Speichern (</w:t>
      </w:r>
      <w:r>
        <w:rPr>
          <w:i/>
        </w:rPr>
        <w:t>Save</w:t>
      </w:r>
      <w:r>
        <w:t>), Speichern unter (</w:t>
      </w:r>
      <w:r>
        <w:rPr>
          <w:i/>
        </w:rPr>
        <w:t>Save As</w:t>
      </w:r>
      <w:r>
        <w:t>), Bereitstellen (</w:t>
      </w:r>
      <w:r>
        <w:rPr>
          <w:i/>
        </w:rPr>
        <w:t>Deploy</w:t>
      </w:r>
      <w:r>
        <w:t>), Rückgängig/Wiederholen,</w:t>
      </w:r>
    </w:p>
    <w:p>
      <w:pPr>
        <w:pStyle w:val="ListBullet"/>
      </w:pPr>
      <w:r>
        <w:t>Bearbeiten: Hinzufügen und Entfernen von Knoten,</w:t>
      </w:r>
    </w:p>
    <w:p>
      <w:pPr>
        <w:pStyle w:val="ListBullet"/>
      </w:pPr>
      <w:r>
        <w:t>Werkzeuge (</w:t>
      </w:r>
      <w:r>
        <w:rPr>
          <w:i/>
        </w:rPr>
        <w:t>Tools</w:t>
      </w:r>
      <w:r>
        <w:t>): Validieren, Analyse der Auswirkungen und Herkunft (</w:t>
      </w:r>
      <w:r>
        <w:rPr>
          <w:i/>
        </w:rPr>
        <w:t>Impact and Lineage Analysis</w:t>
      </w:r>
      <w:r>
        <w:t>), Datenvorschau bzw. Datenanzeige (</w:t>
      </w:r>
      <w:r>
        <w:rPr>
          <w:i/>
        </w:rPr>
        <w:t>Data Viewer</w:t>
      </w:r>
      <w:r>
        <w:t>),</w:t>
      </w:r>
    </w:p>
    <w:p>
      <w:pPr>
        <w:pStyle w:val="ListBullet"/>
      </w:pPr>
      <w:r>
        <w:t>Ansicht: ein- und ausblendbare Bereiche,</w:t>
      </w:r>
    </w:p>
    <w:p>
      <w:pPr>
        <w:pStyle w:val="ListBullet"/>
      </w:pPr>
      <w:r>
        <w:t>bei Flows zusätzlich: Ausführen (</w:t>
      </w:r>
      <w:r>
        <w:rPr>
          <w:i/>
        </w:rPr>
        <w:t>Run</w:t>
      </w:r>
      <w:r>
        <w:t>) und Einplanen (</w:t>
      </w:r>
      <w:r>
        <w:rPr>
          <w:i/>
        </w:rPr>
        <w:t>Schedule</w:t>
      </w:r>
      <w:r>
        <w:t>).</w:t>
      </w:r>
    </w:p>
    <w:p>
      <w:pPr>
        <w:pStyle w:val="ListBullet"/>
      </w:pPr>
      <w:r>
        <w:rPr>
          <w:b/>
        </w:rPr>
        <w:t>Quellenbrowser (*Source Browser*)</w:t>
      </w:r>
      <w:r>
        <w:t xml:space="preserve"> links, bei grafischen Editoren mit den Registerkarten Repository (Objekte des Bereichs und freigegebene Objekte) und Quellen (</w:t>
      </w:r>
      <w:r>
        <w:rPr>
          <w:i/>
        </w:rPr>
        <w:t>Sources</w:t>
      </w:r>
      <w:r>
        <w:t>, Verbindungen des Bereichs). Objekte werden per Drag &amp; Drop auf die Arbeitsfläche gezogen.</w:t>
      </w:r>
    </w:p>
    <w:p>
      <w:pPr>
        <w:pStyle w:val="ListBullet"/>
      </w:pPr>
      <w:r>
        <w:rPr>
          <w:b/>
        </w:rPr>
        <w:t>Arbeitsfläche (*Canvas*)</w:t>
      </w:r>
      <w:r>
        <w:t xml:space="preserve"> in der Mitte. Sie zeigt das Modell grafisch als Knoten und Kanten oder – bei SQL-Views – als Code-Editor.</w:t>
      </w:r>
    </w:p>
    <w:p>
      <w:pPr>
        <w:pStyle w:val="ListBullet"/>
      </w:pPr>
      <w:r>
        <w:rPr>
          <w:b/>
        </w:rPr>
        <w:t>Eigenschaftsbereich (*Properties Panel*)</w:t>
      </w:r>
      <w:r>
        <w:t xml:space="preserve"> rechts mit den Einstellungen des gewählten Knotens bzw. des Gesamtobjekts. Er ist in Abschnitte gegliedert, z. B.</w:t>
      </w:r>
    </w:p>
    <w:p>
      <w:pPr>
        <w:pStyle w:val="ListBullet"/>
      </w:pPr>
      <w:r>
        <w:t>Allgemein (</w:t>
      </w:r>
      <w:r>
        <w:rPr>
          <w:i/>
        </w:rPr>
        <w:t>General</w:t>
      </w:r>
      <w:r>
        <w:t>),</w:t>
      </w:r>
    </w:p>
    <w:p>
      <w:pPr>
        <w:pStyle w:val="ListBullet"/>
      </w:pPr>
      <w:r>
        <w:t>Attribute bzw. Spalten (</w:t>
      </w:r>
      <w:r>
        <w:rPr>
          <w:i/>
        </w:rPr>
        <w:t>Attributes/Columns</w:t>
      </w:r>
      <w:r>
        <w:t>),</w:t>
      </w:r>
    </w:p>
    <w:p>
      <w:pPr>
        <w:pStyle w:val="ListBullet"/>
      </w:pPr>
      <w:r>
        <w:t>Assoziationen (</w:t>
      </w:r>
      <w:r>
        <w:rPr>
          <w:i/>
        </w:rPr>
        <w:t>Associations</w:t>
      </w:r>
      <w:r>
        <w:t>),</w:t>
      </w:r>
    </w:p>
    <w:p>
      <w:pPr>
        <w:pStyle w:val="ListBullet"/>
      </w:pPr>
      <w:r>
        <w:t>Eingabeparameter (</w:t>
      </w:r>
      <w:r>
        <w:rPr>
          <w:i/>
        </w:rPr>
        <w:t>Input Parameters</w:t>
      </w:r>
      <w:r>
        <w:t>),</w:t>
      </w:r>
    </w:p>
    <w:p>
      <w:pPr>
        <w:pStyle w:val="ListBullet"/>
      </w:pPr>
      <w:r>
        <w:t>Datenzugriffskontrollen (</w:t>
      </w:r>
      <w:r>
        <w:rPr>
          <w:i/>
        </w:rPr>
        <w:t>Data Access Controls</w:t>
      </w:r>
      <w:r>
        <w:t>),</w:t>
      </w:r>
    </w:p>
    <w:p>
      <w:pPr>
        <w:pStyle w:val="ListBullet"/>
      </w:pPr>
      <w:r>
        <w:t>Persistenz (</w:t>
      </w:r>
      <w:r>
        <w:rPr>
          <w:i/>
        </w:rPr>
        <w:t>Persistency</w:t>
      </w:r>
      <w:r>
        <w:t>),</w:t>
      </w:r>
    </w:p>
    <w:p>
      <w:pPr>
        <w:pStyle w:val="ListBullet"/>
      </w:pPr>
      <w:r>
        <w:t>abhängige Objekte (</w:t>
      </w:r>
      <w:r>
        <w:rPr>
          <w:i/>
        </w:rPr>
        <w:t>Dependent Objects</w:t>
      </w:r>
      <w:r>
        <w:t>),</w:t>
      </w:r>
    </w:p>
    <w:p>
      <w:pPr>
        <w:pStyle w:val="ListBullet"/>
      </w:pPr>
      <w:r>
        <w:t>Status.</w:t>
      </w:r>
    </w:p>
    <w:p>
      <w:pPr>
        <w:pStyle w:val="ListBullet"/>
      </w:pPr>
      <w:r>
        <w:rPr>
          <w:b/>
        </w:rPr>
        <w:t>Datenvorschau-Bereich</w:t>
      </w:r>
      <w:r>
        <w:t xml:space="preserve"> unten, der sich bei Bedarf öffnet (siehe 6.11.1).</w:t>
      </w:r>
    </w:p>
    <w:p>
      <w:pPr>
        <w:pStyle w:val="Heading3"/>
      </w:pPr>
      <w:r>
        <w:t>6.3.3 Speichern, Bereitstellen und Objektstatus</w:t>
      </w:r>
    </w:p>
    <w:p>
      <w:r>
        <w:t xml:space="preserve">Beim </w:t>
      </w:r>
      <w:r>
        <w:rPr>
          <w:b/>
        </w:rPr>
        <w:t>Speichern</w:t>
      </w:r>
      <w:r>
        <w:t xml:space="preserve"> wird nur die Definition zur Entwurfszeit (</w:t>
      </w:r>
      <w:r>
        <w:rPr>
          <w:i/>
        </w:rPr>
        <w:t>design time</w:t>
      </w:r>
      <w:r>
        <w:t xml:space="preserve">) im Repository abgelegt. Erst durch das </w:t>
      </w:r>
      <w:r>
        <w:rPr>
          <w:b/>
        </w:rPr>
        <w:t>Bereitstellen (*Deploy*)</w:t>
      </w:r>
      <w:r>
        <w:t xml:space="preserve"> entstehen die zugehörigen Laufzeitobjekte in der SAP-HANA-Cloud-Datenbank des Bereichs. Erst dann kann das Objekt verwendet, befüllt oder konsumiert werden.</w:t>
      </w:r>
    </w:p>
    <w:p>
      <w:r>
        <w:t>Mögliche Statuswerte (Bezeichnungen nicht abschließend verifiziert):</w:t>
      </w:r>
    </w:p>
    <w:tbl>
      <w:tblPr>
        <w:tblStyle w:val="TableGrid"/>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Bedeutung</w:t>
            </w:r>
          </w:p>
        </w:tc>
      </w:tr>
      <w:tr>
        <w:tc>
          <w:tcPr>
            <w:tcW w:type="dxa" w:w="4320"/>
          </w:tcPr>
          <w:p>
            <w:r>
              <w:t>Nicht bereitgestellt (</w:t>
            </w:r>
            <w:r>
              <w:rPr>
                <w:i/>
              </w:rPr>
              <w:t>Not Deployed</w:t>
            </w:r>
            <w:r>
              <w:t>)</w:t>
            </w:r>
          </w:p>
        </w:tc>
        <w:tc>
          <w:tcPr>
            <w:tcW w:type="dxa" w:w="4320"/>
          </w:tcPr>
          <w:p>
            <w:r>
              <w:t>Nur gespeichert, keine Laufzeitobjekte vorhanden</w:t>
            </w:r>
          </w:p>
        </w:tc>
      </w:tr>
      <w:tr>
        <w:tc>
          <w:tcPr>
            <w:tcW w:type="dxa" w:w="4320"/>
          </w:tcPr>
          <w:p>
            <w:r>
              <w:t>Bereitgestellt (</w:t>
            </w:r>
            <w:r>
              <w:rPr>
                <w:i/>
              </w:rPr>
              <w:t>Deployed</w:t>
            </w:r>
            <w:r>
              <w:t>)</w:t>
            </w:r>
          </w:p>
        </w:tc>
        <w:tc>
          <w:tcPr>
            <w:tcW w:type="dxa" w:w="4320"/>
          </w:tcPr>
          <w:p>
            <w:r>
              <w:t>Entwurfs- und Laufzeitstand stimmen überein</w:t>
            </w:r>
          </w:p>
        </w:tc>
      </w:tr>
      <w:tr>
        <w:tc>
          <w:tcPr>
            <w:tcW w:type="dxa" w:w="4320"/>
          </w:tcPr>
          <w:p>
            <w:r>
              <w:t>Änderungen bereitzustellen (</w:t>
            </w:r>
            <w:r>
              <w:rPr>
                <w:i/>
              </w:rPr>
              <w:t>Changes to Deploy</w:t>
            </w:r>
            <w:r>
              <w:t>)</w:t>
            </w:r>
          </w:p>
        </w:tc>
        <w:tc>
          <w:tcPr>
            <w:tcW w:type="dxa" w:w="4320"/>
          </w:tcPr>
          <w:p>
            <w:r>
              <w:t>Gespeicherte Änderungen sind noch nicht bereitgestellt</w:t>
            </w:r>
          </w:p>
        </w:tc>
      </w:tr>
      <w:tr>
        <w:tc>
          <w:tcPr>
            <w:tcW w:type="dxa" w:w="4320"/>
          </w:tcPr>
          <w:p>
            <w:r>
              <w:t>Entwurfszeitfehler (</w:t>
            </w:r>
            <w:r>
              <w:rPr>
                <w:i/>
              </w:rPr>
              <w:t>Design-Time Error</w:t>
            </w:r>
            <w:r>
              <w:t>)</w:t>
            </w:r>
          </w:p>
        </w:tc>
        <w:tc>
          <w:tcPr>
            <w:tcW w:type="dxa" w:w="4320"/>
          </w:tcPr>
          <w:p>
            <w:r>
              <w:t>Die Definition ist fehlerhaft, z. B. nach Änderung einer Quelle</w:t>
            </w:r>
          </w:p>
        </w:tc>
      </w:tr>
      <w:tr>
        <w:tc>
          <w:tcPr>
            <w:tcW w:type="dxa" w:w="4320"/>
          </w:tcPr>
          <w:p>
            <w:r>
              <w:t>Laufzeitfehler (</w:t>
            </w:r>
            <w:r>
              <w:rPr>
                <w:i/>
              </w:rPr>
              <w:t>Run-Time Error</w:t>
            </w:r>
            <w:r>
              <w:t>)</w:t>
            </w:r>
          </w:p>
        </w:tc>
        <w:tc>
          <w:tcPr>
            <w:tcW w:type="dxa" w:w="4320"/>
          </w:tcPr>
          <w:p>
            <w:r>
              <w:t>Das Laufzeitobjekt ist fehlerhaft</w:t>
            </w:r>
          </w:p>
        </w:tc>
      </w:tr>
    </w:tbl>
    <w:p>
      <w:r>
        <w:t>Hinweise:</w:t>
      </w:r>
    </w:p>
    <w:p>
      <w:pPr>
        <w:pStyle w:val="ListBullet"/>
      </w:pPr>
      <w:r>
        <w:t>Wird eine Quelle geändert, kann das abhängige Objekte betreffen. Vor dem Bereitstellen sollte deshalb die Auswirkungsanalyse (siehe 6.11.2) genutzt werden.</w:t>
      </w:r>
    </w:p>
    <w:p>
      <w:pPr>
        <w:pStyle w:val="ListBullet"/>
      </w:pPr>
      <w:r>
        <w:t>Den Transport bereitgestellter Objekte in andere Mandanten beschreibt Kapitel 11.</w:t>
      </w:r>
    </w:p>
    <w:p>
      <w:pPr>
        <w:pStyle w:val="Heading2"/>
      </w:pPr>
      <w:r>
        <w:t>6.4 Tabellen</w:t>
      </w:r>
    </w:p>
    <w:p>
      <w:pPr>
        <w:pStyle w:val="Heading3"/>
      </w:pPr>
      <w:r>
        <w:t>6.4.1 Lokale Tabellen</w:t>
      </w:r>
    </w:p>
    <w:p>
      <w:r>
        <w:rPr>
          <w:b/>
        </w:rPr>
        <w:t>Was:</w:t>
      </w:r>
      <w:r>
        <w:t xml:space="preserve"> Eine lokale Tabelle (</w:t>
      </w:r>
      <w:r>
        <w:rPr>
          <w:i/>
        </w:rPr>
        <w:t>Local Table</w:t>
      </w:r>
      <w:r>
        <w:t>) ist eine Datenbanktabelle im Speicher des Bereichs. Sie dient als Ziel von Flows, als Ablage für manuell gepflegte oder hochgeladene Daten und als Quelle für Views.</w:t>
      </w:r>
    </w:p>
    <w:p>
      <w:r>
        <w:rPr>
          <w:b/>
        </w:rPr>
        <w:t>Anlage:</w:t>
      </w:r>
      <w:r>
        <w:t xml:space="preserve"> Es gibt vier Wege:</w:t>
      </w:r>
    </w:p>
    <w:p>
      <w:pPr>
        <w:pStyle w:val="ListBullet"/>
      </w:pPr>
      <w:r>
        <w:t xml:space="preserve">über </w:t>
      </w:r>
      <w:r>
        <w:rPr>
          <w:i/>
        </w:rPr>
        <w:t>New Local Table</w:t>
      </w:r>
      <w:r>
        <w:t>,</w:t>
      </w:r>
    </w:p>
    <w:p>
      <w:pPr>
        <w:pStyle w:val="ListBullet"/>
      </w:pPr>
      <w:r>
        <w:t>aus einem ER-Modell,</w:t>
      </w:r>
    </w:p>
    <w:p>
      <w:pPr>
        <w:pStyle w:val="ListBullet"/>
      </w:pPr>
      <w:r>
        <w:t>durch CSV-Import (siehe 6.11.3),</w:t>
      </w:r>
    </w:p>
    <w:p>
      <w:pPr>
        <w:pStyle w:val="ListBullet"/>
      </w:pPr>
      <w:r>
        <w:t>automatisch als Zieltabelle eines Flows.</w:t>
      </w:r>
    </w:p>
    <w:p>
      <w:r>
        <w:rPr>
          <w:b/>
        </w:rPr>
        <w:t>Wichtigste Einstellungen im Tabelleneditor:</w:t>
      </w:r>
    </w:p>
    <w:p>
      <w:pPr>
        <w:pStyle w:val="ListBullet"/>
      </w:pPr>
      <w:r>
        <w:t>Geschäftsname, technischer Name und semantische Verwendung (siehe 6.5.3).</w:t>
      </w:r>
    </w:p>
    <w:p>
      <w:pPr>
        <w:pStyle w:val="ListBullet"/>
      </w:pPr>
      <w:r>
        <w:t>Spaltendefinition: Name, Datentyp, Länge/Genauigkeit, Schlüsselkennzeichen (</w:t>
      </w:r>
      <w:r>
        <w:rPr>
          <w:i/>
        </w:rPr>
        <w:t>Key</w:t>
      </w:r>
      <w:r>
        <w:t xml:space="preserve">), Nicht-Null, Standardwert und semantischer Typ der Spalte (z. B. Betrag mit Währung, Menge mit Einheit, Text, Datum). Bei Tabellen mit semantischer Verwendung </w:t>
      </w:r>
      <w:r>
        <w:rPr>
          <w:i/>
        </w:rPr>
        <w:t>Fact</w:t>
      </w:r>
      <w:r>
        <w:t xml:space="preserve"> oder </w:t>
      </w:r>
      <w:r>
        <w:rPr>
          <w:i/>
        </w:rPr>
        <w:t>Dimension</w:t>
      </w:r>
      <w:r>
        <w:t xml:space="preserve"> werden Spalten als Kennzahl (</w:t>
      </w:r>
      <w:r>
        <w:rPr>
          <w:i/>
        </w:rPr>
        <w:t>Measure</w:t>
      </w:r>
      <w:r>
        <w:t>) oder Attribut eingestuft.</w:t>
      </w:r>
    </w:p>
    <w:p>
      <w:pPr>
        <w:pStyle w:val="ListBullet"/>
      </w:pPr>
      <w:r>
        <w:t>Assoziationen zu anderen Entitäten (siehe 6.5.4).</w:t>
      </w:r>
    </w:p>
    <w:p>
      <w:pPr>
        <w:pStyle w:val="ListBullet"/>
      </w:pPr>
      <w:r>
        <w:t>Option „Für Nutzung freigeben“ (</w:t>
      </w:r>
      <w:r>
        <w:rPr>
          <w:i/>
        </w:rPr>
        <w:t>Expose for Consumption</w:t>
      </w:r>
      <w:r>
        <w:t>), damit die Tabelle direkt von Clients konsumiert werden kann (Details siehe Kapitel 12).</w:t>
      </w:r>
    </w:p>
    <w:p>
      <w:pPr>
        <w:pStyle w:val="ListBullet"/>
      </w:pPr>
      <w:r>
        <w:t>Speicher- und Tabellendienste, z. B. In-Memory-Speicher, sowie Partitionierung (Umfang nicht verifiziert).</w:t>
      </w:r>
    </w:p>
    <w:p>
      <w:pPr>
        <w:pStyle w:val="ListBullet"/>
      </w:pPr>
      <w:r>
        <w:t>Dateneditor (</w:t>
      </w:r>
      <w:r>
        <w:rPr>
          <w:i/>
        </w:rPr>
        <w:t>Data Editor</w:t>
      </w:r>
      <w:r>
        <w:t>): Datensätze direkt in der Oberfläche anlegen, ändern oder löschen.</w:t>
      </w:r>
    </w:p>
    <w:p>
      <w:pPr>
        <w:pStyle w:val="ListBullet"/>
      </w:pPr>
      <w:r>
        <w:t>Daten aus einer CSV-Datei laden (</w:t>
      </w:r>
      <w:r>
        <w:rPr>
          <w:i/>
        </w:rPr>
        <w:t>Upload Data from CSV File</w:t>
      </w:r>
      <w:r>
        <w:t>). Mit der Option „Vorhandene Daten vor dem Upload löschen“ (</w:t>
      </w:r>
      <w:r>
        <w:rPr>
          <w:i/>
        </w:rPr>
        <w:t>Delete Existing Data Before Upload</w:t>
      </w:r>
      <w:r>
        <w:t>) wird der Bestand vorher entfernt. Ohne diese Option werden Datensätze nur eingefügt.</w:t>
      </w:r>
    </w:p>
    <w:p>
      <w:pPr>
        <w:pStyle w:val="Heading3"/>
      </w:pPr>
      <w:r>
        <w:t>6.4.2 Delta-Erfassung (Delta Capture)</w:t>
      </w:r>
    </w:p>
    <w:p>
      <w:r>
        <w:t>Mit dem Schalter Delta-Erfassung (</w:t>
      </w:r>
      <w:r>
        <w:rPr>
          <w:i/>
        </w:rPr>
        <w:t>Delta Capture</w:t>
      </w:r>
      <w:r>
        <w:t>) zeichnet eine lokale Tabelle Änderungen auf, die nach ihrer Bereitstellung vorgenommen werden. Das ist nötig, wenn nachgelagerte Prozesse, etwa Transformationsflüsse mit Delta-Ladung, nur Änderungen verarbeiten sollen.</w:t>
      </w:r>
    </w:p>
    <w:p>
      <w:r>
        <w:t>Wirkung:</w:t>
      </w:r>
    </w:p>
    <w:p>
      <w:pPr>
        <w:pStyle w:val="ListBullet"/>
      </w:pPr>
      <w:r>
        <w:t xml:space="preserve">Das System legt eine interne Delta-Tabelle mit dem Suffix </w:t>
      </w:r>
      <w:r>
        <w:rPr>
          <w:rFonts w:ascii="Consolas" w:hAnsi="Consolas"/>
        </w:rPr>
        <w:t>_Delta</w:t>
      </w:r>
      <w:r>
        <w:t xml:space="preserve"> an. Sie enthält die technischen Spalten Änderungsart (</w:t>
      </w:r>
      <w:r>
        <w:rPr>
          <w:i/>
        </w:rPr>
        <w:t>Change Type</w:t>
      </w:r>
      <w:r>
        <w:t>) und Änderungsdatum (</w:t>
      </w:r>
      <w:r>
        <w:rPr>
          <w:i/>
        </w:rPr>
        <w:t>Change Date</w:t>
      </w:r>
      <w:r>
        <w:t>).</w:t>
      </w:r>
    </w:p>
    <w:p>
      <w:pPr>
        <w:pStyle w:val="ListBullet"/>
      </w:pPr>
      <w:r>
        <w:t>Für Abfragen steht die Sicht auf die aktiven Datensätze (</w:t>
      </w:r>
      <w:r>
        <w:rPr>
          <w:i/>
        </w:rPr>
        <w:t>Active Records</w:t>
      </w:r>
      <w:r>
        <w:t>) bereit.</w:t>
      </w:r>
    </w:p>
    <w:p>
      <w:pPr>
        <w:pStyle w:val="ListBullet"/>
      </w:pPr>
      <w:r>
        <w:t>Die Delta-Tabelle kann nicht direkt in einer SQL-View abgefragt werden. Das ist eine dokumentierte Einschränkung.</w:t>
      </w:r>
    </w:p>
    <w:p>
      <w:pPr>
        <w:pStyle w:val="ListBullet"/>
      </w:pPr>
      <w:r>
        <w:t>Die Delta-Erfassung lässt sich bei bereits befüllten Tabellen nur eingeschränkt nachträglich ein- oder ausschalten (nicht verifiziert).</w:t>
      </w:r>
    </w:p>
    <w:p>
      <w:pPr>
        <w:pStyle w:val="Heading3"/>
      </w:pPr>
      <w:r>
        <w:t>6.4.3 Lokale Tabellen (Datei)</w:t>
      </w:r>
    </w:p>
    <w:p>
      <w:r>
        <w:t>⚠ abhängig von Lizenz/Freischaltung: In Dateibereichen (</w:t>
      </w:r>
      <w:r>
        <w:rPr>
          <w:i/>
        </w:rPr>
        <w:t>file spaces</w:t>
      </w:r>
      <w:r>
        <w:t>), die auf dem Objektspeicher (SAP HANA Cloud, Data Lake Files) basieren, gibt es den Typ Lokale Tabelle (Datei) (</w:t>
      </w:r>
      <w:r>
        <w:rPr>
          <w:i/>
        </w:rPr>
        <w:t>Local Table (File)</w:t>
      </w:r>
      <w:r>
        <w:t>). Diese Tabellen</w:t>
      </w:r>
    </w:p>
    <w:p>
      <w:pPr>
        <w:pStyle w:val="ListBullet"/>
      </w:pPr>
      <w:r>
        <w:t>speichern Daten im Objektspeicher statt im In-Memory-Speicher,</w:t>
      </w:r>
    </w:p>
    <w:p>
      <w:pPr>
        <w:pStyle w:val="ListBullet"/>
      </w:pPr>
      <w:r>
        <w:t>haben eine eigene Variante der Delta-Erfassung,</w:t>
      </w:r>
    </w:p>
    <w:p>
      <w:pPr>
        <w:pStyle w:val="ListBullet"/>
      </w:pPr>
      <w:r>
        <w:t>werden über Replikations- und Transformationsflüsse befüllt.</w:t>
      </w:r>
    </w:p>
    <w:p>
      <w:r>
        <w:t>Über Pufferstufen und Wartungsaufgaben wie Zusammenführen (</w:t>
      </w:r>
      <w:r>
        <w:rPr>
          <w:i/>
        </w:rPr>
        <w:t>Merge</w:t>
      </w:r>
      <w:r>
        <w:t>) und Optimieren (</w:t>
      </w:r>
      <w:r>
        <w:rPr>
          <w:i/>
        </w:rPr>
        <w:t>Optimize</w:t>
      </w:r>
      <w:r>
        <w:t>) werden die Daten in die aktive Tabelle überführt. Die Verfügbarkeit hängt von der Mandantenkonfiguration ab (siehe Kapitel 3 und 4). Die Details sind nicht verifiziert.</w:t>
      </w:r>
    </w:p>
    <w:p>
      <w:pPr>
        <w:pStyle w:val="Heading3"/>
      </w:pPr>
      <w:r>
        <w:t>6.4.4 Remote-Tabellen</w:t>
      </w:r>
    </w:p>
    <w:p>
      <w:r>
        <w:rPr>
          <w:b/>
        </w:rPr>
        <w:t>Was:</w:t>
      </w:r>
      <w:r>
        <w:t xml:space="preserve"> Eine Remote-Tabelle (</w:t>
      </w:r>
      <w:r>
        <w:rPr>
          <w:i/>
        </w:rPr>
        <w:t>Remote Table</w:t>
      </w:r>
      <w:r>
        <w:t>) bildet eine Quelltabelle bzw. ein Quellobjekt einer Verbindung (siehe Kapitel 5) im Bereich ab, ohne die Daten zunächst zu kopieren.</w:t>
      </w:r>
    </w:p>
    <w:p>
      <w:r>
        <w:rPr>
          <w:b/>
        </w:rPr>
        <w:t>Anlage:</w:t>
      </w:r>
      <w:r>
        <w:t xml:space="preserve"> Über </w:t>
      </w:r>
      <w:r>
        <w:rPr>
          <w:i/>
        </w:rPr>
        <w:t>Import Remote Tables</w:t>
      </w:r>
      <w:r>
        <w:t xml:space="preserve"> oder per Drag &amp; Drop eines Quellobjekts aus dem Quellenbrowser in eine View oder ein ER-Modell.</w:t>
      </w:r>
    </w:p>
    <w:p>
      <w:r>
        <w:rPr>
          <w:b/>
        </w:rPr>
        <w:t>Optionen:</w:t>
      </w:r>
    </w:p>
    <w:p>
      <w:pPr>
        <w:pStyle w:val="ListBullet"/>
      </w:pPr>
      <w:r>
        <w:t>Spalten ausblenden bzw. entfernen, um die übertragene Datenmenge zu verringern.</w:t>
      </w:r>
    </w:p>
    <w:p>
      <w:pPr>
        <w:pStyle w:val="ListBullet"/>
      </w:pPr>
      <w:r>
        <w:t>Filter definieren (bei Replikation).</w:t>
      </w:r>
    </w:p>
    <w:p>
      <w:pPr>
        <w:pStyle w:val="ListBullet"/>
      </w:pPr>
      <w:r>
        <w:t>Datenzugriff wählen:</w:t>
      </w:r>
    </w:p>
    <w:p>
      <w:pPr>
        <w:pStyle w:val="ListBullet"/>
      </w:pPr>
      <w:r>
        <w:t>föderiert/remote: Abfrage zur Laufzeit an der Quelle,</w:t>
      </w:r>
    </w:p>
    <w:p>
      <w:pPr>
        <w:pStyle w:val="ListBullet"/>
      </w:pPr>
      <w:r>
        <w:t>Snapshot-Replikation,</w:t>
      </w:r>
    </w:p>
    <w:p>
      <w:pPr>
        <w:pStyle w:val="ListBullet"/>
      </w:pPr>
      <w:r>
        <w:t>Echtzeitreplikation (nur bei geeigneten Quellen und Verbindungstypen).</w:t>
      </w:r>
    </w:p>
    <w:p>
      <w:pPr>
        <w:pStyle w:val="ListBullet"/>
      </w:pPr>
      <w:r>
        <w:t>Semantische Verwendung und Spaltenmetadaten anpassen.</w:t>
      </w:r>
    </w:p>
    <w:p>
      <w:r>
        <w:t>Den Wechsel des Datenzugriffs, das Laden von Snapshots und das Einplanen steuert man im Data Integration Monitor (siehe Kapitel 10).</w:t>
      </w:r>
    </w:p>
    <w:p>
      <w:pPr>
        <w:pStyle w:val="Heading2"/>
      </w:pPr>
      <w:r>
        <w:t>6.5 Views und modellierende Querschnittsfunktionen</w:t>
      </w:r>
    </w:p>
    <w:p>
      <w:pPr>
        <w:pStyle w:val="Heading3"/>
      </w:pPr>
      <w:r>
        <w:t>6.5.1 Grafische Views</w:t>
      </w:r>
    </w:p>
    <w:p>
      <w:r>
        <w:rPr>
          <w:b/>
        </w:rPr>
        <w:t>Was:</w:t>
      </w:r>
      <w:r>
        <w:t xml:space="preserve"> Eine grafische View (</w:t>
      </w:r>
      <w:r>
        <w:rPr>
          <w:i/>
        </w:rPr>
        <w:t>Graphical View</w:t>
      </w:r>
      <w:r>
        <w:t>) beschreibt eine Abfrage über ein Datenflussdiagramm auf der Arbeitsfläche. Sie ist das Standardwerkzeug, um Daten ohne Code zu kombinieren, zu filtern und anzureichern.</w:t>
      </w:r>
    </w:p>
    <w:p>
      <w:r>
        <w:rPr>
          <w:b/>
        </w:rPr>
        <w:t>Aufbau:</w:t>
      </w:r>
      <w:r>
        <w:t xml:space="preserve"> Quellenbrowser, Arbeitsfläche mit Quell-, Operator- und Ausgabeknoten (</w:t>
      </w:r>
      <w:r>
        <w:rPr>
          <w:i/>
        </w:rPr>
        <w:t>Output</w:t>
      </w:r>
      <w:r>
        <w:t>) sowie Eigenschaftsbereich. Wird ein Knoten ausgewählt, erscheinen kontextbezogene Symbole zum Anfügen weiterer Operatoren.</w:t>
      </w:r>
    </w:p>
    <w:p>
      <w:r>
        <w:rPr>
          <w:b/>
        </w:rPr>
        <w:t>Operatoren (Knotentypen):</w:t>
      </w:r>
    </w:p>
    <w:tbl>
      <w:tblPr>
        <w:tblStyle w:val="TableGrid"/>
        <w:tblW w:type="auto" w:w="0"/>
        <w:tblLook w:firstColumn="1" w:firstRow="1" w:lastColumn="0" w:lastRow="0" w:noHBand="0" w:noVBand="1" w:val="04A0"/>
      </w:tblPr>
      <w:tblGrid>
        <w:gridCol w:w="4320"/>
        <w:gridCol w:w="4320"/>
      </w:tblGrid>
      <w:tr>
        <w:tc>
          <w:tcPr>
            <w:tcW w:type="dxa" w:w="4320"/>
          </w:tcPr>
          <w:p>
            <w:r>
              <w:rPr>
                <w:b/>
              </w:rPr>
              <w:t>Operator</w:t>
            </w:r>
          </w:p>
        </w:tc>
        <w:tc>
          <w:tcPr>
            <w:tcW w:type="dxa" w:w="4320"/>
          </w:tcPr>
          <w:p>
            <w:r>
              <w:rPr>
                <w:b/>
              </w:rPr>
              <w:t>Zweck</w:t>
            </w:r>
          </w:p>
        </w:tc>
      </w:tr>
      <w:tr>
        <w:tc>
          <w:tcPr>
            <w:tcW w:type="dxa" w:w="4320"/>
          </w:tcPr>
          <w:p>
            <w:r>
              <w:t>Join</w:t>
            </w:r>
          </w:p>
        </w:tc>
        <w:tc>
          <w:tcPr>
            <w:tcW w:type="dxa" w:w="4320"/>
          </w:tcPr>
          <w:p>
            <w:r>
              <w:t>Zwei Quellen über Join-Bedingungen verbinden (Inner, Left Outer, Right Outer, Full Outer, Cross). Spaltenzuordnung per Drag &amp; Drop.</w:t>
            </w:r>
          </w:p>
        </w:tc>
      </w:tr>
      <w:tr>
        <w:tc>
          <w:tcPr>
            <w:tcW w:type="dxa" w:w="4320"/>
          </w:tcPr>
          <w:p>
            <w:r>
              <w:t>Union</w:t>
            </w:r>
          </w:p>
        </w:tc>
        <w:tc>
          <w:tcPr>
            <w:tcW w:type="dxa" w:w="4320"/>
          </w:tcPr>
          <w:p>
            <w:r>
              <w:t>Gleich strukturierte Quellen untereinander zusammenführen, mit Spaltenzuordnung</w:t>
            </w:r>
          </w:p>
        </w:tc>
      </w:tr>
      <w:tr>
        <w:tc>
          <w:tcPr>
            <w:tcW w:type="dxa" w:w="4320"/>
          </w:tcPr>
          <w:p>
            <w:r>
              <w:t>Projektion (</w:t>
            </w:r>
            <w:r>
              <w:rPr>
                <w:i/>
              </w:rPr>
              <w:t>Projection</w:t>
            </w:r>
            <w:r>
              <w:t>)</w:t>
            </w:r>
          </w:p>
        </w:tc>
        <w:tc>
          <w:tcPr>
            <w:tcW w:type="dxa" w:w="4320"/>
          </w:tcPr>
          <w:p>
            <w:r>
              <w:t>Spalten auswählen, ausschließen und umbenennen</w:t>
            </w:r>
          </w:p>
        </w:tc>
      </w:tr>
      <w:tr>
        <w:tc>
          <w:tcPr>
            <w:tcW w:type="dxa" w:w="4320"/>
          </w:tcPr>
          <w:p>
            <w:r>
              <w:t>Filter</w:t>
            </w:r>
          </w:p>
        </w:tc>
        <w:tc>
          <w:tcPr>
            <w:tcW w:type="dxa" w:w="4320"/>
          </w:tcPr>
          <w:p>
            <w:r>
              <w:t>Zeilen über einen Ausdruck einschränken (Ausdruckseditor mit Funktionen)</w:t>
            </w:r>
          </w:p>
        </w:tc>
      </w:tr>
      <w:tr>
        <w:tc>
          <w:tcPr>
            <w:tcW w:type="dxa" w:w="4320"/>
          </w:tcPr>
          <w:p>
            <w:r>
              <w:t>Berechnete Spalten (</w:t>
            </w:r>
            <w:r>
              <w:rPr>
                <w:i/>
              </w:rPr>
              <w:t>Calculated Columns</w:t>
            </w:r>
            <w:r>
              <w:t>)</w:t>
            </w:r>
          </w:p>
        </w:tc>
        <w:tc>
          <w:tcPr>
            <w:tcW w:type="dxa" w:w="4320"/>
          </w:tcPr>
          <w:p>
            <w:r>
              <w:t>Neue Spalten über Ausdrücke berechnen</w:t>
            </w:r>
          </w:p>
        </w:tc>
      </w:tr>
      <w:tr>
        <w:tc>
          <w:tcPr>
            <w:tcW w:type="dxa" w:w="4320"/>
          </w:tcPr>
          <w:p>
            <w:r>
              <w:t>Aggregation</w:t>
            </w:r>
          </w:p>
        </w:tc>
        <w:tc>
          <w:tcPr>
            <w:tcW w:type="dxa" w:w="4320"/>
          </w:tcPr>
          <w:p>
            <w:r>
              <w:t>Gruppieren und aggregieren (SUM, MIN, MAX, COUNT usw.)</w:t>
            </w:r>
          </w:p>
        </w:tc>
      </w:tr>
    </w:tbl>
    <w:p>
      <w:r>
        <w:t>Ausgabeknoten (Eigenschaftsbereich):</w:t>
      </w:r>
    </w:p>
    <w:p>
      <w:pPr>
        <w:pStyle w:val="ListBullet"/>
      </w:pPr>
      <w:r>
        <w:t>Geschäfts- und technischer Name</w:t>
      </w:r>
    </w:p>
    <w:p>
      <w:pPr>
        <w:pStyle w:val="ListBullet"/>
      </w:pPr>
      <w:r>
        <w:t>semantische Verwendung</w:t>
      </w:r>
    </w:p>
    <w:p>
      <w:pPr>
        <w:pStyle w:val="ListBullet"/>
      </w:pPr>
      <w:r>
        <w:rPr>
          <w:i/>
        </w:rPr>
        <w:t>Expose for Consumption</w:t>
      </w:r>
    </w:p>
    <w:p>
      <w:pPr>
        <w:pStyle w:val="ListBullet"/>
      </w:pPr>
      <w:r>
        <w:t>analytischer Modus (</w:t>
      </w:r>
      <w:r>
        <w:rPr>
          <w:i/>
        </w:rPr>
        <w:t>Run in Analytical Mode</w:t>
      </w:r>
      <w:r>
        <w:t>, nicht verifiziert)</w:t>
      </w:r>
    </w:p>
    <w:p>
      <w:pPr>
        <w:pStyle w:val="ListBullet"/>
      </w:pPr>
      <w:r>
        <w:t>Attribute und Kennzahlen</w:t>
      </w:r>
    </w:p>
    <w:p>
      <w:pPr>
        <w:pStyle w:val="ListBullet"/>
      </w:pPr>
      <w:r>
        <w:t>Assoziationen, Eingabeparameter, Datenzugriffskontrollen</w:t>
      </w:r>
    </w:p>
    <w:p>
      <w:pPr>
        <w:pStyle w:val="ListBullet"/>
      </w:pPr>
      <w:r>
        <w:t>Persistenz</w:t>
      </w:r>
    </w:p>
    <w:p>
      <w:pPr>
        <w:pStyle w:val="ListBullet"/>
      </w:pPr>
      <w:r>
        <w:t>abhängige Objekte</w:t>
      </w:r>
    </w:p>
    <w:p>
      <w:r>
        <w:rPr>
          <w:b/>
        </w:rPr>
        <w:t>Validierung:</w:t>
      </w:r>
      <w:r>
        <w:t xml:space="preserve"> Fehler und Warnungen werden am Knoten und in einer Meldungsliste angezeigt. Ändert sich die Struktur einer Quelle, erkennt der Editor das und bietet an, die Spalten zu übernehmen.</w:t>
      </w:r>
    </w:p>
    <w:p>
      <w:pPr>
        <w:pStyle w:val="Heading3"/>
      </w:pPr>
      <w:r>
        <w:t>6.5.2 SQL-Views (SQL und SQLScript)</w:t>
      </w:r>
    </w:p>
    <w:p>
      <w:r>
        <w:rPr>
          <w:b/>
        </w:rPr>
        <w:t>Was:</w:t>
      </w:r>
      <w:r>
        <w:t xml:space="preserve"> Eine SQL-View (</w:t>
      </w:r>
      <w:r>
        <w:rPr>
          <w:i/>
        </w:rPr>
        <w:t>SQL View</w:t>
      </w:r>
      <w:r>
        <w:t>) wird in einem Code-Editor geschrieben. Zur Wahl stehen zwei Sprachen:</w:t>
      </w:r>
    </w:p>
    <w:p>
      <w:pPr>
        <w:pStyle w:val="ListBullet"/>
      </w:pPr>
      <w:r>
        <w:rPr>
          <w:b/>
        </w:rPr>
        <w:t>SQL (Standardabfrage):</w:t>
      </w:r>
      <w:r>
        <w:t xml:space="preserve"> genau eine SELECT-Anweisung im SAP-HANA-SQL-Dialekt.</w:t>
      </w:r>
    </w:p>
    <w:p>
      <w:pPr>
        <w:pStyle w:val="ListBullet"/>
      </w:pPr>
      <w:r>
        <w:rPr>
          <w:b/>
        </w:rPr>
        <w:t>SQLScript (Tabellenfunktion):</w:t>
      </w:r>
      <w:r>
        <w:t xml:space="preserve"> eine Prozedurlogik mit Variablen, Zwischenergebnissen und </w:t>
      </w:r>
      <w:r>
        <w:rPr>
          <w:rFonts w:ascii="Consolas" w:hAnsi="Consolas"/>
        </w:rPr>
        <w:t>RETURN</w:t>
      </w:r>
      <w:r>
        <w:t>. Sie wird als Tabellenfunktion bereitgestellt.</w:t>
      </w:r>
    </w:p>
    <w:p>
      <w:r>
        <w:rPr>
          <w:b/>
        </w:rPr>
        <w:t>Funktionen:</w:t>
      </w:r>
    </w:p>
    <w:p>
      <w:pPr>
        <w:pStyle w:val="ListBullet"/>
      </w:pPr>
      <w:r>
        <w:t>Syntaxhervorhebung und Autovervollständigung von Objekt- und Spaltennamen</w:t>
      </w:r>
    </w:p>
    <w:p>
      <w:pPr>
        <w:pStyle w:val="ListBullet"/>
      </w:pPr>
      <w:r>
        <w:t>Einfügen von Objekten per Drag &amp; Drop aus dem Quellenbrowser</w:t>
      </w:r>
    </w:p>
    <w:p>
      <w:pPr>
        <w:pStyle w:val="ListBullet"/>
      </w:pPr>
      <w:r>
        <w:t>Validieren (</w:t>
      </w:r>
      <w:r>
        <w:rPr>
          <w:i/>
        </w:rPr>
        <w:t>Validate</w:t>
      </w:r>
      <w:r>
        <w:t>), um die Ausgabespalten abzuleiten</w:t>
      </w:r>
    </w:p>
    <w:p>
      <w:pPr>
        <w:pStyle w:val="ListBullet"/>
      </w:pPr>
      <w:r>
        <w:t>Eigenschaftsbereich wie bei grafischen Views: semantische Verwendung, Assoziationen, Eingabeparameter, Datenzugriffskontrollen, Persistenz</w:t>
      </w:r>
    </w:p>
    <w:p>
      <w:r>
        <w:rPr>
          <w:b/>
        </w:rPr>
        <w:t>Einschränkungen:</w:t>
      </w:r>
    </w:p>
    <w:p>
      <w:pPr>
        <w:pStyle w:val="ListBullet"/>
      </w:pPr>
      <w:r>
        <w:t>Nur Objekte des eigenen Bereichs und freigegebene Objekte sind referenzierbar.</w:t>
      </w:r>
    </w:p>
    <w:p>
      <w:pPr>
        <w:pStyle w:val="ListBullet"/>
      </w:pPr>
      <w:r>
        <w:t>Ausdrücke müssen mit der View-Laufzeit vereinbar sein, z. B. keine DML-Anweisungen.</w:t>
      </w:r>
    </w:p>
    <w:p>
      <w:pPr>
        <w:pStyle w:val="ListBullet"/>
      </w:pPr>
      <w:r>
        <w:t>In SQLScript gelten die von SAP dokumentierten Beschränkungen erlaubter Anweisungen (die Detailliste ist nicht verifiziert).</w:t>
      </w:r>
    </w:p>
    <w:p>
      <w:pPr>
        <w:pStyle w:val="Heading3"/>
      </w:pPr>
      <w:r>
        <w:t>6.5.3 Semantische Verwendung (Semantic Usage)</w:t>
      </w:r>
    </w:p>
    <w:p>
      <w:r>
        <w:t>Die semantische Verwendung legt bei Tabellen und Views fest, welche analytische Rolle eine Entität spielt. Sie bestimmt, welche Abschnitte im Eigenschaftsbereich angeboten werden und wie Analysemodell und Business Builder die Entität nutzen können.</w:t>
      </w:r>
    </w:p>
    <w:tbl>
      <w:tblPr>
        <w:tblStyle w:val="TableGrid"/>
        <w:tblW w:type="auto" w:w="0"/>
        <w:tblLook w:firstColumn="1" w:firstRow="1" w:lastColumn="0" w:lastRow="0" w:noHBand="0" w:noVBand="1" w:val="04A0"/>
      </w:tblPr>
      <w:tblGrid>
        <w:gridCol w:w="4320"/>
        <w:gridCol w:w="4320"/>
      </w:tblGrid>
      <w:tr>
        <w:tc>
          <w:tcPr>
            <w:tcW w:type="dxa" w:w="4320"/>
          </w:tcPr>
          <w:p>
            <w:r>
              <w:rPr>
                <w:b/>
              </w:rPr>
              <w:t>Semantische Verwendung</w:t>
            </w:r>
          </w:p>
        </w:tc>
        <w:tc>
          <w:tcPr>
            <w:tcW w:type="dxa" w:w="4320"/>
          </w:tcPr>
          <w:p>
            <w:r>
              <w:rPr>
                <w:b/>
              </w:rPr>
              <w:t>Bedeutung</w:t>
            </w:r>
          </w:p>
        </w:tc>
      </w:tr>
      <w:tr>
        <w:tc>
          <w:tcPr>
            <w:tcW w:type="dxa" w:w="4320"/>
          </w:tcPr>
          <w:p>
            <w:r>
              <w:t>Relationaler Datensatz (</w:t>
            </w:r>
            <w:r>
              <w:rPr>
                <w:i/>
              </w:rPr>
              <w:t>Relational Dataset</w:t>
            </w:r>
            <w:r>
              <w:t>)</w:t>
            </w:r>
          </w:p>
        </w:tc>
        <w:tc>
          <w:tcPr>
            <w:tcW w:type="dxa" w:w="4320"/>
          </w:tcPr>
          <w:p>
            <w:r>
              <w:t>Spalten ohne besonderen analytischen Zweck (Standardwert)</w:t>
            </w:r>
          </w:p>
        </w:tc>
      </w:tr>
      <w:tr>
        <w:tc>
          <w:tcPr>
            <w:tcW w:type="dxa" w:w="4320"/>
          </w:tcPr>
          <w:p>
            <w:r>
              <w:t>Fakt (</w:t>
            </w:r>
            <w:r>
              <w:rPr>
                <w:i/>
              </w:rPr>
              <w:t>Fact</w:t>
            </w:r>
            <w:r>
              <w:t>)</w:t>
            </w:r>
          </w:p>
        </w:tc>
        <w:tc>
          <w:tcPr>
            <w:tcW w:type="dxa" w:w="4320"/>
          </w:tcPr>
          <w:p>
            <w:r>
              <w:t>Enthält eine oder mehrere Kennzahlen; Quelle für Analysemodelle</w:t>
            </w:r>
          </w:p>
        </w:tc>
      </w:tr>
      <w:tr>
        <w:tc>
          <w:tcPr>
            <w:tcW w:type="dxa" w:w="4320"/>
          </w:tcPr>
          <w:p>
            <w:r>
              <w:t>Dimension (</w:t>
            </w:r>
            <w:r>
              <w:rPr>
                <w:i/>
              </w:rPr>
              <w:t>Dimension</w:t>
            </w:r>
            <w:r>
              <w:t>)</w:t>
            </w:r>
          </w:p>
        </w:tc>
        <w:tc>
          <w:tcPr>
            <w:tcW w:type="dxa" w:w="4320"/>
          </w:tcPr>
          <w:p>
            <w:r>
              <w:t>Stammdaten mit Attributen, an Fakten assoziierbar</w:t>
            </w:r>
          </w:p>
        </w:tc>
      </w:tr>
      <w:tr>
        <w:tc>
          <w:tcPr>
            <w:tcW w:type="dxa" w:w="4320"/>
          </w:tcPr>
          <w:p>
            <w:r>
              <w:t>Text (</w:t>
            </w:r>
            <w:r>
              <w:rPr>
                <w:i/>
              </w:rPr>
              <w:t>Text</w:t>
            </w:r>
            <w:r>
              <w:t>)</w:t>
            </w:r>
          </w:p>
        </w:tc>
        <w:tc>
          <w:tcPr>
            <w:tcW w:type="dxa" w:w="4320"/>
          </w:tcPr>
          <w:p>
            <w:r>
              <w:t>Sprachabhängige Bezeichnungen zu Schlüsseln (Sprachspalte, Textspalten)</w:t>
            </w:r>
          </w:p>
        </w:tc>
      </w:tr>
      <w:tr>
        <w:tc>
          <w:tcPr>
            <w:tcW w:type="dxa" w:w="4320"/>
          </w:tcPr>
          <w:p>
            <w:r>
              <w:t>Hierarchie (</w:t>
            </w:r>
            <w:r>
              <w:rPr>
                <w:i/>
              </w:rPr>
              <w:t>Hierarchy</w:t>
            </w:r>
            <w:r>
              <w:t>)</w:t>
            </w:r>
          </w:p>
        </w:tc>
        <w:tc>
          <w:tcPr>
            <w:tcW w:type="dxa" w:w="4320"/>
          </w:tcPr>
          <w:p>
            <w:r>
              <w:t>Eltern-Kind-Hierarchie zu einer Dimension</w:t>
            </w:r>
          </w:p>
        </w:tc>
      </w:tr>
      <w:tr>
        <w:tc>
          <w:tcPr>
            <w:tcW w:type="dxa" w:w="4320"/>
          </w:tcPr>
          <w:p>
            <w:r>
              <w:t>Hierarchie mit Verzeichnis (</w:t>
            </w:r>
            <w:r>
              <w:rPr>
                <w:i/>
              </w:rPr>
              <w:t>Hierarchy with Directory</w:t>
            </w:r>
            <w:r>
              <w:t>)</w:t>
            </w:r>
          </w:p>
        </w:tc>
        <w:tc>
          <w:tcPr>
            <w:tcW w:type="dxa" w:w="4320"/>
          </w:tcPr>
          <w:p>
            <w:r>
              <w:t>Mehrere Hierarchien mit Verzeichnis-Entität; eigene Pflicht-Attribute und Einstellungen</w:t>
            </w:r>
          </w:p>
        </w:tc>
      </w:tr>
      <w:tr>
        <w:tc>
          <w:tcPr>
            <w:tcW w:type="dxa" w:w="4320"/>
          </w:tcPr>
          <w:p>
            <w:r>
              <w:t>Analytischer Datensatz (</w:t>
            </w:r>
            <w:r>
              <w:rPr>
                <w:i/>
              </w:rPr>
              <w:t>Analytical Dataset</w:t>
            </w:r>
            <w:r>
              <w:t>)</w:t>
            </w:r>
          </w:p>
        </w:tc>
        <w:tc>
          <w:tcPr>
            <w:tcW w:type="dxa" w:w="4320"/>
          </w:tcPr>
          <w:p>
            <w:r>
              <w:t xml:space="preserve">Älterer Typ für die direkte analytische Nutzung; von SAP zugunsten von </w:t>
            </w:r>
            <w:r>
              <w:rPr>
                <w:i/>
              </w:rPr>
              <w:t>Fact</w:t>
            </w:r>
            <w:r>
              <w:t xml:space="preserve"> plus Analysemodell zurückgestuft (Status nicht verifiziert)</w:t>
            </w:r>
          </w:p>
        </w:tc>
      </w:tr>
    </w:tbl>
    <w:p>
      <w:r>
        <w:t>Neben der Verwendung der Entität vergibt man je Spalte semantische Typen, z. B. Betrag mit Währung, Menge mit Einheit, Währungscode, Einheit, Text, Geschäftsdatum oder Geolocation. Diese Typen steuern die Darstellung und die Umrechnungsfunktionen in den Clients.</w:t>
      </w:r>
    </w:p>
    <w:p>
      <w:pPr>
        <w:pStyle w:val="Heading3"/>
      </w:pPr>
      <w:r>
        <w:t>6.5.4 Assoziationen</w:t>
      </w:r>
    </w:p>
    <w:p>
      <w:r>
        <w:t>Assoziationen (</w:t>
      </w:r>
      <w:r>
        <w:rPr>
          <w:i/>
        </w:rPr>
        <w:t>Associations</w:t>
      </w:r>
      <w:r>
        <w:t xml:space="preserve">) sind semantische Beziehungen zwischen Entitäten. Sie wirken erst bei der Nutzung als Join und werden im Abschnitt </w:t>
      </w:r>
      <w:r>
        <w:rPr>
          <w:i/>
        </w:rPr>
        <w:t>Associations</w:t>
      </w:r>
      <w:r>
        <w:t xml:space="preserve"> einer Tabelle oder View bzw. grafisch im ER-Modell angelegt. Jede Assoziation hat</w:t>
      </w:r>
    </w:p>
    <w:p>
      <w:pPr>
        <w:pStyle w:val="ListBullet"/>
      </w:pPr>
      <w:r>
        <w:t>ein Ziel (</w:t>
      </w:r>
      <w:r>
        <w:rPr>
          <w:i/>
        </w:rPr>
        <w:t>Target</w:t>
      </w:r>
      <w:r>
        <w:t>),</w:t>
      </w:r>
    </w:p>
    <w:p>
      <w:pPr>
        <w:pStyle w:val="ListBullet"/>
      </w:pPr>
      <w:r>
        <w:t>eine Kardinalität und</w:t>
      </w:r>
    </w:p>
    <w:p>
      <w:pPr>
        <w:pStyle w:val="ListBullet"/>
      </w:pPr>
      <w:r>
        <w:t>eine Schlüsselzuordnung (Quellspalte → Zielspalte).</w:t>
      </w:r>
    </w:p>
    <w:p>
      <w:r>
        <w:t>Typische Arten:</w:t>
      </w:r>
    </w:p>
    <w:p>
      <w:pPr>
        <w:pStyle w:val="ListBullet"/>
      </w:pPr>
      <w:r>
        <w:rPr>
          <w:b/>
        </w:rPr>
        <w:t>Fakt → Dimension:</w:t>
      </w:r>
      <w:r>
        <w:t xml:space="preserve"> Das Analysemodell bietet die Dimension als auswählbare Dimension an.</w:t>
      </w:r>
    </w:p>
    <w:p>
      <w:pPr>
        <w:pStyle w:val="ListBullet"/>
      </w:pPr>
      <w:r>
        <w:rPr>
          <w:b/>
        </w:rPr>
        <w:t>Dimension/Spalte → Text:</w:t>
      </w:r>
      <w:r>
        <w:t xml:space="preserve"> Texte werden sprachabhängig zu Schlüsselwerten angezeigt.</w:t>
      </w:r>
    </w:p>
    <w:p>
      <w:pPr>
        <w:pStyle w:val="ListBullet"/>
      </w:pPr>
      <w:r>
        <w:rPr>
          <w:b/>
        </w:rPr>
        <w:t>Dimension → Hierarchie bzw. Hierarchie mit Verzeichnis:</w:t>
      </w:r>
      <w:r>
        <w:t xml:space="preserve"> Die Dimension wird hierarchisch dargestellt.</w:t>
      </w:r>
    </w:p>
    <w:p>
      <w:r>
        <w:t>Assoziationen werden in nachgelagerte Views übernommen, sofern die zugrunde liegenden Spalten erhalten bleiben (Bedingungen nicht verifiziert).</w:t>
      </w:r>
    </w:p>
    <w:p>
      <w:pPr>
        <w:pStyle w:val="Heading3"/>
      </w:pPr>
      <w:r>
        <w:t>6.5.5 Eingabeparameter</w:t>
      </w:r>
    </w:p>
    <w:p>
      <w:r>
        <w:t>Eingabeparameter (</w:t>
      </w:r>
      <w:r>
        <w:rPr>
          <w:i/>
        </w:rPr>
        <w:t>Input Parameters</w:t>
      </w:r>
      <w:r>
        <w:t>) sind Platzhalter, die beim Lesen der View mit Werten belegt werden. Sie werden im Eigenschaftsbereich einer View definiert: Name, Datentyp, Standardwert. Verwendet werden sie in Filterausdrücken, berechneten Spalten oder SQL-Code.</w:t>
      </w:r>
    </w:p>
    <w:p>
      <w:r>
        <w:t>Konsumierende Objekte müssen Werte für die Parameter liefern, z. B. eine darüberliegende View durch Parameterzuordnung oder ein Analysemodell durch eine Variable. Für persistierte Views gelten Einschränkungen: Eine View mit Eingabeparametern ist nur persistierbar, wenn für die Parameter Standardwerte festgelegt sind (nicht verifiziert).</w:t>
      </w:r>
    </w:p>
    <w:p>
      <w:pPr>
        <w:pStyle w:val="Heading3"/>
      </w:pPr>
      <w:r>
        <w:t>6.5.6 Persistenz</w:t>
      </w:r>
    </w:p>
    <w:p>
      <w:r>
        <w:t>Views werden standardmäßig virtuell zur Abfragezeit berechnet. Über den Abschnitt Persistenz (</w:t>
      </w:r>
      <w:r>
        <w:rPr>
          <w:i/>
        </w:rPr>
        <w:t>Persistency</w:t>
      </w:r>
      <w:r>
        <w:t>) einer bereitgestellten View lässt sich das Ergebnis als Snapshot in einer Tabelle speichern. Das verbessert die Laufzeit, kostet aber Speicher.</w:t>
      </w:r>
    </w:p>
    <w:p>
      <w:r>
        <w:t>Funktionen:</w:t>
      </w:r>
    </w:p>
    <w:p>
      <w:pPr>
        <w:pStyle w:val="ListBullet"/>
      </w:pPr>
      <w:r>
        <w:t>Daten persistieren und aktualisieren</w:t>
      </w:r>
    </w:p>
    <w:p>
      <w:pPr>
        <w:pStyle w:val="ListBullet"/>
      </w:pPr>
      <w:r>
        <w:t>Snapshot entfernen</w:t>
      </w:r>
    </w:p>
    <w:p>
      <w:pPr>
        <w:pStyle w:val="ListBullet"/>
      </w:pPr>
      <w:r>
        <w:t>Ausführung einplanen</w:t>
      </w:r>
    </w:p>
    <w:p>
      <w:pPr>
        <w:pStyle w:val="ListBullet"/>
      </w:pPr>
      <w:r>
        <w:t>Status prüfen</w:t>
      </w:r>
    </w:p>
    <w:p>
      <w:r>
        <w:t>Im Detail gesteuert und überwacht wird die View-Persistenz im Data Integration Monitor (siehe Kapitel 10). Persistenz ist auch als Aufgabe in Aufgabenketten einsetzbar (siehe 6.8).</w:t>
      </w:r>
    </w:p>
    <w:p>
      <w:pPr>
        <w:pStyle w:val="Heading3"/>
      </w:pPr>
      <w:r>
        <w:t>6.5.7 Datenzugriffskontrollen zuweisen</w:t>
      </w:r>
    </w:p>
    <w:p>
      <w:r>
        <w:t>Im Abschnitt Datenzugriffskontrollen (</w:t>
      </w:r>
      <w:r>
        <w:rPr>
          <w:i/>
        </w:rPr>
        <w:t>Data Access Controls</w:t>
      </w:r>
      <w:r>
        <w:t>) einer Tabelle oder View werden bereits angelegte Datenzugriffskontrollen zugewiesen. Dazu werden die Kriterien der Kontrolle den Spalten der View zugeordnet. So wird zeilenbasiert festgelegt, welche Nutzer welche Datensätze sehen.</w:t>
      </w:r>
    </w:p>
    <w:p>
      <w:r>
        <w:t>Anlage, Arten und Wirkungsweise der Datenzugriffskontrollen beschreibt Kapitel 9. Analysemodelle übernehmen die Kontrollen der zugrunde liegenden Entitäten.</w:t>
      </w:r>
    </w:p>
    <w:p>
      <w:pPr>
        <w:pStyle w:val="Heading2"/>
      </w:pPr>
      <w:r>
        <w:t>6.6 Entity-Relationship-Modelle</w:t>
      </w:r>
    </w:p>
    <w:p>
      <w:r>
        <w:rPr>
          <w:b/>
        </w:rPr>
        <w:t>Was:</w:t>
      </w:r>
      <w:r>
        <w:t xml:space="preserve"> Ein Entity-Relationship-Modell (</w:t>
      </w:r>
      <w:r>
        <w:rPr>
          <w:i/>
        </w:rPr>
        <w:t>Entity-Relationship Model</w:t>
      </w:r>
      <w:r>
        <w:t>, ER-Modell) ist eine Entwurfsansicht, in der mehrere Tabellen und Views mit ihren Assoziationen grafisch angeordnet werden. Das ER-Modell selbst hat keine eigene Laufzeit. Es ist ein Container für die Darstellung und für Sammelaktionen.</w:t>
      </w:r>
    </w:p>
    <w:p>
      <w:r>
        <w:rPr>
          <w:b/>
        </w:rPr>
        <w:t>Funktionen:</w:t>
      </w:r>
    </w:p>
    <w:p>
      <w:pPr>
        <w:pStyle w:val="ListBullet"/>
      </w:pPr>
      <w:r>
        <w:t>Vorhandene Tabellen und Views aus dem Repository sowie Remote-Tabellen aus dem Quellenbrowser hinzufügen</w:t>
      </w:r>
    </w:p>
    <w:p>
      <w:pPr>
        <w:pStyle w:val="ListBullet"/>
      </w:pPr>
      <w:r>
        <w:t>Neue Tabellen und Views direkt auf der Arbeitsfläche anlegen</w:t>
      </w:r>
    </w:p>
    <w:p>
      <w:pPr>
        <w:pStyle w:val="ListBullet"/>
      </w:pPr>
      <w:r>
        <w:t>Assoziationen zeichnen, indem eine Verbindung von einer Entität zur anderen gezogen wird; Schlüsselzuordnung im Eigenschaftsbereich</w:t>
      </w:r>
    </w:p>
    <w:p>
      <w:pPr>
        <w:pStyle w:val="ListBullet"/>
      </w:pPr>
      <w:r>
        <w:t>Verwandte Entitäten hinzufügen, d. h. assoziierte Objekte automatisch einblenden (Funktionsbezeichnung nicht verifiziert)</w:t>
      </w:r>
    </w:p>
    <w:p>
      <w:pPr>
        <w:pStyle w:val="ListBullet"/>
      </w:pPr>
      <w:r>
        <w:t>Import von Objekten aus CSN/JSON-Dateien direkt in das Modell (siehe 6.11.3)</w:t>
      </w:r>
    </w:p>
    <w:p>
      <w:pPr>
        <w:pStyle w:val="ListBullet"/>
      </w:pPr>
      <w:r>
        <w:t>Gesamtes Modell samt enthaltener Objekte speichern und bereitstellen</w:t>
      </w:r>
    </w:p>
    <w:p>
      <w:pPr>
        <w:pStyle w:val="ListBullet"/>
      </w:pPr>
      <w:r>
        <w:t>Export als CSN/JSON</w:t>
      </w:r>
    </w:p>
    <w:p>
      <w:r>
        <w:rPr>
          <w:b/>
        </w:rPr>
        <w:t>Hinweis:</w:t>
      </w:r>
      <w:r>
        <w:t xml:space="preserve"> Wird ein Objekt aus dem ER-Modell entfernt, bleibt es im Repository erhalten. Gelöscht wird es nur über die Objektliste oder ausdrücklich im Modell (Verhalten nicht verifiziert).</w:t>
      </w:r>
    </w:p>
    <w:p>
      <w:pPr>
        <w:pStyle w:val="Heading2"/>
      </w:pPr>
      <w:r>
        <w:t>6.7 Flows</w:t>
      </w:r>
    </w:p>
    <w:p>
      <w:pPr>
        <w:pStyle w:val="Heading3"/>
      </w:pPr>
      <w:r>
        <w:t>6.7.1 Datenfluss (Data Flow)</w:t>
      </w:r>
    </w:p>
    <w:p>
      <w:r>
        <w:rPr>
          <w:b/>
        </w:rPr>
        <w:t>Was:</w:t>
      </w:r>
      <w:r>
        <w:t xml:space="preserve"> Ein Datenfluss (</w:t>
      </w:r>
      <w:r>
        <w:rPr>
          <w:i/>
        </w:rPr>
        <w:t>Data Flow</w:t>
      </w:r>
      <w:r>
        <w:t>) ist ein ETL-Prozess. Er liest Daten aus einer oder mehreren Quellen, transformiert sie mit Operatoren und schreibt sie in eine Zieltabelle.</w:t>
      </w:r>
    </w:p>
    <w:p>
      <w:r>
        <w:rPr>
          <w:b/>
        </w:rPr>
        <w:t>Aufbau:</w:t>
      </w:r>
      <w:r>
        <w:t xml:space="preserve"> Arbeitsfläche mit Quellknoten (Tabellen, Views oder Quellobjekte von Verbindungen), Operatoren und genau einem bzw. mehreren Zielknoten (</w:t>
      </w:r>
      <w:r>
        <w:rPr>
          <w:i/>
        </w:rPr>
        <w:t>Target</w:t>
      </w:r>
      <w:r>
        <w:t>). Der Eigenschaftsbereich zeigt je Knoten Spalten, Zuordnungen und Optionen.</w:t>
      </w:r>
    </w:p>
    <w:p>
      <w:r>
        <w:rPr>
          <w:b/>
        </w:rPr>
        <w:t>Operatoren:</w:t>
      </w:r>
    </w:p>
    <w:tbl>
      <w:tblPr>
        <w:tblStyle w:val="TableGrid"/>
        <w:tblW w:type="auto" w:w="0"/>
        <w:tblLook w:firstColumn="1" w:firstRow="1" w:lastColumn="0" w:lastRow="0" w:noHBand="0" w:noVBand="1" w:val="04A0"/>
      </w:tblPr>
      <w:tblGrid>
        <w:gridCol w:w="4320"/>
        <w:gridCol w:w="4320"/>
      </w:tblGrid>
      <w:tr>
        <w:tc>
          <w:tcPr>
            <w:tcW w:type="dxa" w:w="4320"/>
          </w:tcPr>
          <w:p>
            <w:r>
              <w:rPr>
                <w:b/>
              </w:rPr>
              <w:t>Operator</w:t>
            </w:r>
          </w:p>
        </w:tc>
        <w:tc>
          <w:tcPr>
            <w:tcW w:type="dxa" w:w="4320"/>
          </w:tcPr>
          <w:p>
            <w:r>
              <w:rPr>
                <w:b/>
              </w:rPr>
              <w:t>Zweck</w:t>
            </w:r>
          </w:p>
        </w:tc>
      </w:tr>
      <w:tr>
        <w:tc>
          <w:tcPr>
            <w:tcW w:type="dxa" w:w="4320"/>
          </w:tcPr>
          <w:p>
            <w:r>
              <w:t>Join</w:t>
            </w:r>
          </w:p>
        </w:tc>
        <w:tc>
          <w:tcPr>
            <w:tcW w:type="dxa" w:w="4320"/>
          </w:tcPr>
          <w:p>
            <w:r>
              <w:t>Zwei Eingänge verbinden</w:t>
            </w:r>
          </w:p>
        </w:tc>
      </w:tr>
      <w:tr>
        <w:tc>
          <w:tcPr>
            <w:tcW w:type="dxa" w:w="4320"/>
          </w:tcPr>
          <w:p>
            <w:r>
              <w:t>Union</w:t>
            </w:r>
          </w:p>
        </w:tc>
        <w:tc>
          <w:tcPr>
            <w:tcW w:type="dxa" w:w="4320"/>
          </w:tcPr>
          <w:p>
            <w:r>
              <w:t>Eingänge zusammenführen</w:t>
            </w:r>
          </w:p>
        </w:tc>
      </w:tr>
      <w:tr>
        <w:tc>
          <w:tcPr>
            <w:tcW w:type="dxa" w:w="4320"/>
          </w:tcPr>
          <w:p>
            <w:r>
              <w:t>Projektion (</w:t>
            </w:r>
            <w:r>
              <w:rPr>
                <w:i/>
              </w:rPr>
              <w:t>Projection</w:t>
            </w:r>
            <w:r>
              <w:t>)</w:t>
            </w:r>
          </w:p>
        </w:tc>
        <w:tc>
          <w:tcPr>
            <w:tcW w:type="dxa" w:w="4320"/>
          </w:tcPr>
          <w:p>
            <w:r>
              <w:t>Spalten auswählen, umbenennen, berechnen, filtern</w:t>
            </w:r>
          </w:p>
        </w:tc>
      </w:tr>
      <w:tr>
        <w:tc>
          <w:tcPr>
            <w:tcW w:type="dxa" w:w="4320"/>
          </w:tcPr>
          <w:p>
            <w:r>
              <w:t>Aggregation</w:t>
            </w:r>
          </w:p>
        </w:tc>
        <w:tc>
          <w:tcPr>
            <w:tcW w:type="dxa" w:w="4320"/>
          </w:tcPr>
          <w:p>
            <w:r>
              <w:t>Gruppieren und aggregieren</w:t>
            </w:r>
          </w:p>
        </w:tc>
      </w:tr>
      <w:tr>
        <w:tc>
          <w:tcPr>
            <w:tcW w:type="dxa" w:w="4320"/>
          </w:tcPr>
          <w:p>
            <w:r>
              <w:t>Skript (</w:t>
            </w:r>
            <w:r>
              <w:rPr>
                <w:i/>
              </w:rPr>
              <w:t>Script</w:t>
            </w:r>
            <w:r>
              <w:t>)</w:t>
            </w:r>
          </w:p>
        </w:tc>
        <w:tc>
          <w:tcPr>
            <w:tcW w:type="dxa" w:w="4320"/>
          </w:tcPr>
          <w:p>
            <w:r>
              <w:t>Transformation per Python (siehe unten)</w:t>
            </w:r>
          </w:p>
        </w:tc>
      </w:tr>
    </w:tbl>
    <w:p>
      <w:r>
        <w:rPr>
          <w:b/>
        </w:rPr>
        <w:t>Skriptoperator:</w:t>
      </w:r>
      <w:r>
        <w:t xml:space="preserve"> Er erhält die Daten des vorherigen Operators und gibt strukturierte Daten an den nächsten weiter. Die Logik wird im Abschnitt </w:t>
      </w:r>
      <w:r>
        <w:rPr>
          <w:i/>
        </w:rPr>
        <w:t>Script</w:t>
      </w:r>
      <w:r>
        <w:t xml:space="preserve"> des Operators als Rumpf einer Funktion </w:t>
      </w:r>
      <w:r>
        <w:rPr>
          <w:rFonts w:ascii="Consolas" w:hAnsi="Consolas"/>
        </w:rPr>
        <w:t>transform</w:t>
      </w:r>
      <w:r>
        <w:t xml:space="preserve"> hinterlegt. Unterstützt werden die Bibliotheken NumPy und Pandas, verfügbar unter den Aliasen </w:t>
      </w:r>
      <w:r>
        <w:rPr>
          <w:rFonts w:ascii="Consolas" w:hAnsi="Consolas"/>
        </w:rPr>
        <w:t>np</w:t>
      </w:r>
      <w:r>
        <w:t xml:space="preserve"> und </w:t>
      </w:r>
      <w:r>
        <w:rPr>
          <w:rFonts w:ascii="Consolas" w:hAnsi="Consolas"/>
        </w:rPr>
        <w:t>pd</w:t>
      </w:r>
      <w:r>
        <w:t xml:space="preserve"> ohne ausdrücklichen Import. Nicht erlaubt sind E/A-Operationen wie Datei- oder Netzwerkzugriff.</w:t>
      </w:r>
    </w:p>
    <w:p>
      <w:r>
        <w:t xml:space="preserve">Das Ausgabeschema des Skriptoperators muss deklariert werden. Den erlaubten Funktionsumfang legt die SAP-Referenz </w:t>
      </w:r>
      <w:r>
        <w:rPr>
          <w:i/>
        </w:rPr>
        <w:t>Script Operator Python Reference</w:t>
      </w:r>
      <w:r>
        <w:t xml:space="preserve"> fest.</w:t>
      </w:r>
    </w:p>
    <w:p>
      <w:r>
        <w:rPr>
          <w:b/>
        </w:rPr>
        <w:t>Zieloptionen:</w:t>
      </w:r>
    </w:p>
    <w:p>
      <w:pPr>
        <w:pStyle w:val="ListBullet"/>
      </w:pPr>
      <w:r>
        <w:t>Modus Anhängen (</w:t>
      </w:r>
      <w:r>
        <w:rPr>
          <w:i/>
        </w:rPr>
        <w:t>Append</w:t>
      </w:r>
      <w:r>
        <w:t>), optional mit Upsert-Verhalten,</w:t>
      </w:r>
    </w:p>
    <w:p>
      <w:pPr>
        <w:pStyle w:val="ListBullet"/>
      </w:pPr>
      <w:r>
        <w:t>Modus Leeren (</w:t>
      </w:r>
      <w:r>
        <w:rPr>
          <w:i/>
        </w:rPr>
        <w:t>Truncate</w:t>
      </w:r>
      <w:r>
        <w:t>): Ziel vor dem Laden leeren,</w:t>
      </w:r>
    </w:p>
    <w:p>
      <w:pPr>
        <w:pStyle w:val="ListBullet"/>
      </w:pPr>
      <w:r>
        <w:t>Modus Löschen (</w:t>
      </w:r>
      <w:r>
        <w:rPr>
          <w:i/>
        </w:rPr>
        <w:t>Delete</w:t>
      </w:r>
      <w:r>
        <w:t>): Datensätze im Ziel anhand des Schlüssels löschen,</w:t>
      </w:r>
    </w:p>
    <w:p>
      <w:pPr>
        <w:pStyle w:val="ListBullet"/>
      </w:pPr>
      <w:r>
        <w:t>Spaltenzuordnung zwischen Eingang und Ziel, automatisch oder manuell,</w:t>
      </w:r>
    </w:p>
    <w:p>
      <w:pPr>
        <w:pStyle w:val="ListBullet"/>
      </w:pPr>
      <w:r>
        <w:t>Anlage einer neuen Zieltabelle aus dem Flow heraus.</w:t>
      </w:r>
    </w:p>
    <w:p>
      <w:r>
        <w:rPr>
          <w:b/>
        </w:rPr>
        <w:t>Ausführung:</w:t>
      </w:r>
      <w:r>
        <w:t xml:space="preserve"> Über </w:t>
      </w:r>
      <w:r>
        <w:rPr>
          <w:i/>
        </w:rPr>
        <w:t>Run</w:t>
      </w:r>
      <w:r>
        <w:t xml:space="preserve"> in der Werkzeugleiste oder durch Einplanen. Ein Datenfluss muss vor der Ausführung bereitgestellt sein. Ausführungsprotokolle, Laufzeitstatus und Einplanungen stehen im Data Integration Monitor (siehe Kapitel 10). Laufzeiteinstellungen (z. B. Speicher oder Parallelität) sind im Eigenschaftsbereich nur eingeschränkt verfügbar (nicht verifiziert).</w:t>
      </w:r>
    </w:p>
    <w:p>
      <w:pPr>
        <w:pStyle w:val="Heading3"/>
      </w:pPr>
      <w:r>
        <w:t>6.7.2 Replikationsfluss (Replication Flow)</w:t>
      </w:r>
    </w:p>
    <w:p>
      <w:r>
        <w:rPr>
          <w:b/>
        </w:rPr>
        <w:t>Was:</w:t>
      </w:r>
      <w:r>
        <w:t xml:space="preserve"> Ein Replikationsfluss (</w:t>
      </w:r>
      <w:r>
        <w:rPr>
          <w:i/>
        </w:rPr>
        <w:t>Replication Flow</w:t>
      </w:r>
      <w:r>
        <w:t>) kopiert mehrere Quellobjekte mit geringem Modellierungsaufwand in ein Ziel – mit Erstladung und optional fortlaufender Delta-Übertragung. Komplexe Transformationen sind nicht vorgesehen. Möglich sind Projektionen, also Filter und Spaltenzuordnungen.</w:t>
      </w:r>
    </w:p>
    <w:p>
      <w:r>
        <w:rPr>
          <w:b/>
        </w:rPr>
        <w:t>Quellen:</w:t>
      </w:r>
      <w:r>
        <w:t xml:space="preserve"> Verbindungen, die Replikationsflüsse unterstützen, z. B. SAP S/4HANA (CDS-Views, ODP-Quellen, Tabellen über SLT), SAP-ABAP-basierte Systeme, SAP HANA, SAP BW sowie ausgewählte Cloud-Speicher und Datenbanken. Die jeweils unterstützten Quellen sind in Kapitel 5 bzw. der Verbindungsdokumentation festgelegt.</w:t>
      </w:r>
    </w:p>
    <w:p>
      <w:r>
        <w:rPr>
          <w:b/>
        </w:rPr>
        <w:t>Ziele:</w:t>
      </w:r>
    </w:p>
    <w:p>
      <w:pPr>
        <w:pStyle w:val="ListBullet"/>
      </w:pPr>
      <w:r>
        <w:t>SAP Datasphere selbst: lokale Tabellen bzw. lokale Tabellen (Datei),</w:t>
      </w:r>
    </w:p>
    <w:p>
      <w:pPr>
        <w:pStyle w:val="ListBullet"/>
      </w:pPr>
      <w:r>
        <w:t>weitere SAP-Ziele, z. B. SAP HANA Cloud oder SAP HANA Data Lake Files,</w:t>
      </w:r>
    </w:p>
    <w:p>
      <w:pPr>
        <w:pStyle w:val="ListBullet"/>
      </w:pPr>
      <w:r>
        <w:t>Nicht-SAP-Ziele wie Objektspeicher von Hyperscalern (Amazon S3, Google Cloud Storage, Azure Data Lake Storage Gen2), Google BigQuery oder Kafka/Confluent.</w:t>
      </w:r>
    </w:p>
    <w:p>
      <w:r>
        <w:t>Die genaue Liste unterstützter Ziele ändert sich mit dem Release (nicht verifiziert).</w:t>
      </w:r>
    </w:p>
    <w:p>
      <w:r>
        <w:t xml:space="preserve">⚠ abhängig von Lizenz/Freischaltung: Die Replikation in Nicht-SAP-Ziele gehört zur </w:t>
      </w:r>
      <w:r>
        <w:rPr>
          <w:i/>
        </w:rPr>
        <w:t>Premium Outbound Integration</w:t>
      </w:r>
      <w:r>
        <w:t>. SAP nennt sie den empfohlenen Weg, um Daten aus der SAP-Umgebung herauszubewegen. Sie wird gesondert, volumenabhängig berechnet und muss im Mandanten verfügbar sein (Abrechnungsdetails siehe Kapitel 3; Abrechnungsmodell nicht verifiziert).</w:t>
      </w:r>
    </w:p>
    <w:p>
      <w:r>
        <w:rPr>
          <w:b/>
        </w:rPr>
        <w:t>Ladearten (*Load Type*):</w:t>
      </w:r>
    </w:p>
    <w:tbl>
      <w:tblPr>
        <w:tblStyle w:val="TableGrid"/>
        <w:tblW w:type="auto" w:w="0"/>
        <w:tblLook w:firstColumn="1" w:firstRow="1" w:lastColumn="0" w:lastRow="0" w:noHBand="0" w:noVBand="1" w:val="04A0"/>
      </w:tblPr>
      <w:tblGrid>
        <w:gridCol w:w="4320"/>
        <w:gridCol w:w="4320"/>
      </w:tblGrid>
      <w:tr>
        <w:tc>
          <w:tcPr>
            <w:tcW w:type="dxa" w:w="4320"/>
          </w:tcPr>
          <w:p>
            <w:r>
              <w:rPr>
                <w:b/>
              </w:rPr>
              <w:t>Ladeart</w:t>
            </w:r>
          </w:p>
        </w:tc>
        <w:tc>
          <w:tcPr>
            <w:tcW w:type="dxa" w:w="4320"/>
          </w:tcPr>
          <w:p>
            <w:r>
              <w:rPr>
                <w:b/>
              </w:rPr>
              <w:t>Wirkung</w:t>
            </w:r>
          </w:p>
        </w:tc>
      </w:tr>
      <w:tr>
        <w:tc>
          <w:tcPr>
            <w:tcW w:type="dxa" w:w="4320"/>
          </w:tcPr>
          <w:p>
            <w:r>
              <w:t>Nur initial (</w:t>
            </w:r>
            <w:r>
              <w:rPr>
                <w:i/>
              </w:rPr>
              <w:t>Initial Only</w:t>
            </w:r>
            <w:r>
              <w:t>)</w:t>
            </w:r>
          </w:p>
        </w:tc>
        <w:tc>
          <w:tcPr>
            <w:tcW w:type="dxa" w:w="4320"/>
          </w:tcPr>
          <w:p>
            <w:r>
              <w:t>Alle ausgewählten Daten werden einmal geladen</w:t>
            </w:r>
          </w:p>
        </w:tc>
      </w:tr>
      <w:tr>
        <w:tc>
          <w:tcPr>
            <w:tcW w:type="dxa" w:w="4320"/>
          </w:tcPr>
          <w:p>
            <w:r>
              <w:t>Initial und Delta (</w:t>
            </w:r>
            <w:r>
              <w:rPr>
                <w:i/>
              </w:rPr>
              <w:t>Initial and Delta</w:t>
            </w:r>
            <w:r>
              <w:t>)</w:t>
            </w:r>
          </w:p>
        </w:tc>
        <w:tc>
          <w:tcPr>
            <w:tcW w:type="dxa" w:w="4320"/>
          </w:tcPr>
          <w:p>
            <w:r>
              <w:t>Nach der Erstladung prüft das System in regelmäßigen Abständen auf Quelländerungen und überträgt sie ins Ziel</w:t>
            </w:r>
          </w:p>
        </w:tc>
      </w:tr>
      <w:tr>
        <w:tc>
          <w:tcPr>
            <w:tcW w:type="dxa" w:w="4320"/>
          </w:tcPr>
          <w:p>
            <w:r>
              <w:t>Nur Delta (</w:t>
            </w:r>
            <w:r>
              <w:rPr>
                <w:i/>
              </w:rPr>
              <w:t>Delta Only</w:t>
            </w:r>
            <w:r>
              <w:t>)</w:t>
            </w:r>
          </w:p>
        </w:tc>
        <w:tc>
          <w:tcPr>
            <w:tcW w:type="dxa" w:w="4320"/>
          </w:tcPr>
          <w:p>
            <w:r>
              <w:t>Nur Änderungen ab dem Startzeitpunkt (Verfügbarkeit je Quelle; nicht verifiziert)</w:t>
            </w:r>
          </w:p>
        </w:tc>
      </w:tr>
    </w:tbl>
    <w:p>
      <w:r>
        <w:rPr>
          <w:i/>
        </w:rPr>
        <w:t>Initial and Delta</w:t>
      </w:r>
      <w:r>
        <w:t xml:space="preserve"> setzt eine delta-fähige Quelle voraus. Bei CDS-Views ohne Delta-Fähigkeit wird nur </w:t>
      </w:r>
      <w:r>
        <w:rPr>
          <w:i/>
        </w:rPr>
        <w:t>Initial Only</w:t>
      </w:r>
      <w:r>
        <w:t xml:space="preserve"> angeboten.</w:t>
      </w:r>
    </w:p>
    <w:p>
      <w:r>
        <w:rPr>
          <w:b/>
        </w:rPr>
        <w:t>Weitere Einstellungen:</w:t>
      </w:r>
    </w:p>
    <w:p>
      <w:pPr>
        <w:pStyle w:val="ListBullet"/>
      </w:pPr>
      <w:r>
        <w:t>Option Leeren (</w:t>
      </w:r>
      <w:r>
        <w:rPr>
          <w:i/>
        </w:rPr>
        <w:t>Truncate</w:t>
      </w:r>
      <w:r>
        <w:t>) für das Ziel</w:t>
      </w:r>
    </w:p>
    <w:p>
      <w:pPr>
        <w:pStyle w:val="ListBullet"/>
      </w:pPr>
      <w:r>
        <w:t>Delta-Ladeintervall</w:t>
      </w:r>
    </w:p>
    <w:p>
      <w:pPr>
        <w:pStyle w:val="ListBullet"/>
      </w:pPr>
      <w:r>
        <w:t>Projektionen je Replikationsobjekt: Filter, Spaltenzuordnung, Zusatzspalten</w:t>
      </w:r>
    </w:p>
    <w:p>
      <w:pPr>
        <w:pStyle w:val="ListBullet"/>
      </w:pPr>
      <w:r>
        <w:t>Laufzeiteinstellungen wie Anzahl paralleler Threads (nicht verifiziert)</w:t>
      </w:r>
    </w:p>
    <w:p>
      <w:r>
        <w:t xml:space="preserve">Ausführung und Überwachung erfolgen über </w:t>
      </w:r>
      <w:r>
        <w:rPr>
          <w:i/>
        </w:rPr>
        <w:t>Run</w:t>
      </w:r>
      <w:r>
        <w:t xml:space="preserve"> bzw. den Data Integration Monitor (siehe Kapitel 10).</w:t>
      </w:r>
    </w:p>
    <w:p>
      <w:pPr>
        <w:pStyle w:val="Heading3"/>
      </w:pPr>
      <w:r>
        <w:t>6.7.3 Transformationsfluss (Transformation Flow)</w:t>
      </w:r>
    </w:p>
    <w:p>
      <w:r>
        <w:rPr>
          <w:b/>
        </w:rPr>
        <w:t>Was:</w:t>
      </w:r>
      <w:r>
        <w:t xml:space="preserve"> Ein Transformationsfluss (</w:t>
      </w:r>
      <w:r>
        <w:rPr>
          <w:i/>
        </w:rPr>
        <w:t>Transformation Flow</w:t>
      </w:r>
      <w:r>
        <w:t>) lädt Daten aus einer oder mehreren Quellen über eine Transformation in eine Zieltabelle – vollständig oder als Delta. Er ist das Mittel der Wahl, wenn Delta-Daten aus Tabellen mit Delta-Erfassung weiterverarbeitet werden sollen.</w:t>
      </w:r>
    </w:p>
    <w:p>
      <w:r>
        <w:rPr>
          <w:b/>
        </w:rPr>
        <w:t>Aufbau:</w:t>
      </w:r>
    </w:p>
    <w:p>
      <w:pPr>
        <w:pStyle w:val="ListBullet"/>
      </w:pPr>
      <w:r>
        <w:rPr>
          <w:b/>
        </w:rPr>
        <w:t>View-Transformation (*View Transform*)</w:t>
      </w:r>
      <w:r>
        <w:t>, wahlweise grafisch (Operatoren wie in 6.5.1) oder als SQL bzw. SQLScript.</w:t>
      </w:r>
    </w:p>
    <w:p>
      <w:pPr>
        <w:pStyle w:val="ListBullet"/>
      </w:pPr>
      <w:r>
        <w:rPr>
          <w:b/>
        </w:rPr>
        <w:t>Zieltabellenknoten (*Target Table*)</w:t>
      </w:r>
      <w:r>
        <w:t>: vorhandene oder neu angelegte lokale Tabelle, ggf. mit Delta-Erfassung.</w:t>
      </w:r>
    </w:p>
    <w:p>
      <w:pPr>
        <w:pStyle w:val="ListBullet"/>
      </w:pPr>
      <w:r>
        <w:t xml:space="preserve">In Dateibereichen ⚠ abhängig von Lizenz/Freischaltung zusätzlich ein Python-Operator. Er läuft auf der Spark-basierten Laufzeit des Objektspeichers und unterliegt der SAP-Referenz </w:t>
      </w:r>
      <w:r>
        <w:rPr>
          <w:i/>
        </w:rPr>
        <w:t>Python Operator Reference</w:t>
      </w:r>
      <w:r>
        <w:t>.</w:t>
      </w:r>
    </w:p>
    <w:p>
      <w:r>
        <w:rPr>
          <w:b/>
        </w:rPr>
        <w:t>Ladearten:</w:t>
      </w:r>
    </w:p>
    <w:p>
      <w:pPr>
        <w:pStyle w:val="ListBullet"/>
      </w:pPr>
      <w:r>
        <w:t>Nur initial (</w:t>
      </w:r>
      <w:r>
        <w:rPr>
          <w:i/>
        </w:rPr>
        <w:t>Initial Only</w:t>
      </w:r>
      <w:r>
        <w:t>)</w:t>
      </w:r>
    </w:p>
    <w:p>
      <w:pPr>
        <w:pStyle w:val="ListBullet"/>
      </w:pPr>
      <w:r>
        <w:t>Initial und Delta (</w:t>
      </w:r>
      <w:r>
        <w:rPr>
          <w:i/>
        </w:rPr>
        <w:t>Initial and Delta</w:t>
      </w:r>
      <w:r>
        <w:t>): Bei Folgeläufen werden nur Änderungen seit dem letzten Lauf aus delta-fähigen Quellen verarbeitet.</w:t>
      </w:r>
    </w:p>
    <w:p>
      <w:r>
        <w:rPr>
          <w:b/>
        </w:rPr>
        <w:t>Laufzeit:</w:t>
      </w:r>
      <w:r>
        <w:t xml:space="preserve"> Ausführung in SAP HANA (Standardbereich) oder auf der Objektspeicher-Laufzeit (Dateibereich). Ausführung, Einplanung und Monitoring wie bei Datenflüssen. Ein Rücksetzen des Delta-Zeigers ist über den Monitor möglich (Bezeichnung nicht verifiziert).</w:t>
      </w:r>
    </w:p>
    <w:p>
      <w:pPr>
        <w:pStyle w:val="Heading2"/>
      </w:pPr>
      <w:r>
        <w:t>6.8 Aufgabenketten (Task Chains)</w:t>
      </w:r>
    </w:p>
    <w:p>
      <w:r>
        <w:rPr>
          <w:b/>
        </w:rPr>
        <w:t>Was:</w:t>
      </w:r>
      <w:r>
        <w:t xml:space="preserve"> Eine Aufgabenkette (</w:t>
      </w:r>
      <w:r>
        <w:rPr>
          <w:i/>
        </w:rPr>
        <w:t>Task Chain</w:t>
      </w:r>
      <w:r>
        <w:t>) fasst mehrere Aufgaben zu einer gemeinsam ausführbaren und einplanbaren Kette zusammen, etwa „Remote-Tabelle replizieren → View persistieren → Transformationsfluss ausführen“.</w:t>
      </w:r>
    </w:p>
    <w:p>
      <w:r>
        <w:rPr>
          <w:b/>
        </w:rPr>
        <w:t>Mögliche Aufgaben (nicht abschließend):</w:t>
      </w:r>
    </w:p>
    <w:p>
      <w:pPr>
        <w:pStyle w:val="ListBullet"/>
      </w:pPr>
      <w:r>
        <w:t>Replikation von Remote-Tabellen</w:t>
      </w:r>
    </w:p>
    <w:p>
      <w:pPr>
        <w:pStyle w:val="ListBullet"/>
      </w:pPr>
      <w:r>
        <w:t>Persistenz von Views</w:t>
      </w:r>
    </w:p>
    <w:p>
      <w:pPr>
        <w:pStyle w:val="ListBullet"/>
      </w:pPr>
      <w:r>
        <w:t xml:space="preserve">Datenflüsse, Transformationsflüsse und Replikationsflüsse (bei Replikationsflüssen in der Regel nur </w:t>
      </w:r>
      <w:r>
        <w:rPr>
          <w:i/>
        </w:rPr>
        <w:t>Initial Only</w:t>
      </w:r>
      <w:r>
        <w:t>)</w:t>
      </w:r>
    </w:p>
    <w:p>
      <w:pPr>
        <w:pStyle w:val="ListBullet"/>
      </w:pPr>
      <w:r>
        <w:t>Intelligentes Nachschlagen</w:t>
      </w:r>
    </w:p>
    <w:p>
      <w:pPr>
        <w:pStyle w:val="ListBullet"/>
      </w:pPr>
      <w:r>
        <w:t>Andere Aufgabenketten (verschachtelt)</w:t>
      </w:r>
    </w:p>
    <w:p>
      <w:pPr>
        <w:pStyle w:val="ListBullet"/>
      </w:pPr>
      <w:r>
        <w:t>Weitere Aufgabentypen wie Open-SQL-Prozeduren, API-Aufgaben, Prozessketten von SAP BW Bridge oder Benachrichtigungsschritte (je nach Release; nicht verifiziert)</w:t>
      </w:r>
    </w:p>
    <w:p>
      <w:r>
        <w:rPr>
          <w:b/>
        </w:rPr>
        <w:t>Aufbau und Optionen:</w:t>
      </w:r>
    </w:p>
    <w:p>
      <w:pPr>
        <w:pStyle w:val="ListBullet"/>
      </w:pPr>
      <w:r>
        <w:t>Arbeitsfläche, auf der Objekte aus dem Repository per Drag &amp; Drop als Schritte eingefügt werden</w:t>
      </w:r>
    </w:p>
    <w:p>
      <w:pPr>
        <w:pStyle w:val="ListBullet"/>
      </w:pPr>
      <w:r>
        <w:t>Sequenzielle Abfolge oder parallele Zweige, zusammengeführt über einen Operator, der wartet, bis alle (</w:t>
      </w:r>
      <w:r>
        <w:rPr>
          <w:i/>
        </w:rPr>
        <w:t>ALL</w:t>
      </w:r>
      <w:r>
        <w:t>) bzw. einer (</w:t>
      </w:r>
      <w:r>
        <w:rPr>
          <w:i/>
        </w:rPr>
        <w:t>ANY</w:t>
      </w:r>
      <w:r>
        <w:t>) der Vorgänger erfolgreich beendet ist</w:t>
      </w:r>
    </w:p>
    <w:p>
      <w:pPr>
        <w:pStyle w:val="ListBullet"/>
      </w:pPr>
      <w:r>
        <w:t>E-Mail-Benachrichtigung bei Abschluss oder Fehler, mit Empfängern aus dem Mandanten oder externen Adressen</w:t>
      </w:r>
    </w:p>
    <w:p>
      <w:pPr>
        <w:pStyle w:val="ListBullet"/>
      </w:pPr>
      <w:r>
        <w:t xml:space="preserve">Einplanung über </w:t>
      </w:r>
      <w:r>
        <w:rPr>
          <w:i/>
        </w:rPr>
        <w:t>Schedule</w:t>
      </w:r>
      <w:r>
        <w:t>; Überwachung im Data Integration Monitor, Bereich Aufgabenketten (siehe Kapitel 10)</w:t>
      </w:r>
    </w:p>
    <w:p>
      <w:r>
        <w:t>Für das Ausführen der enthaltenen Aufgaben benötigt der Nutzer bzw. der Einplanungseigentümer die entsprechenden Integrationsprivilegien. Eingeplante Aufgaben laufen im Namen des Einplanungseigentümers. Die Einwilligung zur Einplanung (</w:t>
      </w:r>
      <w:r>
        <w:rPr>
          <w:i/>
        </w:rPr>
        <w:t>consent</w:t>
      </w:r>
      <w:r>
        <w:t>) und die Übertragung der Eigentümerschaft sind in Kapitel 10 beschrieben.</w:t>
      </w:r>
    </w:p>
    <w:p>
      <w:pPr>
        <w:pStyle w:val="Heading2"/>
      </w:pPr>
      <w:r>
        <w:t>6.9 Intelligentes Nachschlagen (Intelligent Lookup)</w:t>
      </w:r>
    </w:p>
    <w:p>
      <w:r>
        <w:rPr>
          <w:b/>
        </w:rPr>
        <w:t>Was:</w:t>
      </w:r>
      <w:r>
        <w:t xml:space="preserve"> Das intelligente Nachschlagen (</w:t>
      </w:r>
      <w:r>
        <w:rPr>
          <w:i/>
        </w:rPr>
        <w:t>Intelligent Lookup</w:t>
      </w:r>
      <w:r>
        <w:t>) gleicht die Datensätze einer Eingabe-Entität mit einer Nachschlage-Entität ab. Es wird verwendet, wenn kein sauberer gemeinsamer Schlüssel existiert, z. B. bei Kundennamen aus einer Tabellenkalkulation gegenüber Kundenstammdaten.</w:t>
      </w:r>
    </w:p>
    <w:p>
      <w:r>
        <w:rPr>
          <w:b/>
        </w:rPr>
        <w:t>Aufbau:</w:t>
      </w:r>
    </w:p>
    <w:p>
      <w:pPr>
        <w:pStyle w:val="ListBullet"/>
      </w:pPr>
      <w:r>
        <w:t>Eingabe-Entität (</w:t>
      </w:r>
      <w:r>
        <w:rPr>
          <w:i/>
        </w:rPr>
        <w:t>Input</w:t>
      </w:r>
      <w:r>
        <w:t>) mit eindeutiger Spalte zur Identifikation,</w:t>
      </w:r>
    </w:p>
    <w:p>
      <w:pPr>
        <w:pStyle w:val="ListBullet"/>
      </w:pPr>
      <w:r>
        <w:t>Nachschlage-Entität (</w:t>
      </w:r>
      <w:r>
        <w:rPr>
          <w:i/>
        </w:rPr>
        <w:t>Lookup</w:t>
      </w:r>
      <w:r>
        <w:t>),</w:t>
      </w:r>
    </w:p>
    <w:p>
      <w:pPr>
        <w:pStyle w:val="ListBullet"/>
      </w:pPr>
      <w:r>
        <w:t>Regelknoten (</w:t>
      </w:r>
      <w:r>
        <w:rPr>
          <w:i/>
        </w:rPr>
        <w:t>Rule</w:t>
      </w:r>
      <w:r>
        <w:t>),</w:t>
      </w:r>
    </w:p>
    <w:p>
      <w:pPr>
        <w:pStyle w:val="ListBullet"/>
      </w:pPr>
      <w:r>
        <w:t>Ausgabe-View.</w:t>
      </w:r>
    </w:p>
    <w:p>
      <w:r>
        <w:rPr>
          <w:b/>
        </w:rPr>
        <w:t>Regeln:</w:t>
      </w:r>
    </w:p>
    <w:p>
      <w:pPr>
        <w:pStyle w:val="ListBullet"/>
      </w:pPr>
      <w:r>
        <w:t>Exakte Übereinstimmung (</w:t>
      </w:r>
      <w:r>
        <w:rPr>
          <w:i/>
        </w:rPr>
        <w:t>Exact Match</w:t>
      </w:r>
      <w:r>
        <w:t>): Spaltenpaare müssen gleich sein.</w:t>
      </w:r>
    </w:p>
    <w:p>
      <w:pPr>
        <w:pStyle w:val="ListBullet"/>
      </w:pPr>
      <w:r>
        <w:t>Unscharfe Übereinstimmung (</w:t>
      </w:r>
      <w:r>
        <w:rPr>
          <w:i/>
        </w:rPr>
        <w:t>Fuzzy Match</w:t>
      </w:r>
      <w:r>
        <w:t>): Ähnlichkeitsvergleich mit einstellbarem Schwellenwert.</w:t>
      </w:r>
    </w:p>
    <w:p>
      <w:r>
        <w:t>Regeln lassen sich hintereinander schalten, sodass nicht zugeordnete Datensätze an eine Folgeregel weitergegeben werden.</w:t>
      </w:r>
    </w:p>
    <w:p>
      <w:r>
        <w:rPr>
          <w:b/>
        </w:rPr>
        <w:t>Ergebniskategorien:</w:t>
      </w:r>
      <w:r>
        <w:t xml:space="preserve"> Zugeordnet (</w:t>
      </w:r>
      <w:r>
        <w:rPr>
          <w:i/>
        </w:rPr>
        <w:t>Matched</w:t>
      </w:r>
      <w:r>
        <w:t>), zu prüfen (</w:t>
      </w:r>
      <w:r>
        <w:rPr>
          <w:i/>
        </w:rPr>
        <w:t>Review</w:t>
      </w:r>
      <w:r>
        <w:t>), mehrfach (</w:t>
      </w:r>
      <w:r>
        <w:rPr>
          <w:i/>
        </w:rPr>
        <w:t>Multiple</w:t>
      </w:r>
      <w:r>
        <w:t>), nicht zugeordnet (</w:t>
      </w:r>
      <w:r>
        <w:rPr>
          <w:i/>
        </w:rPr>
        <w:t>Unmatched</w:t>
      </w:r>
      <w:r>
        <w:t>), unbearbeitet (</w:t>
      </w:r>
      <w:r>
        <w:rPr>
          <w:i/>
        </w:rPr>
        <w:t>Unprocessed</w:t>
      </w:r>
      <w:r>
        <w:t>). Zu jeder Kategorie lassen sich Ergebnisse manuell bestätigen, ablehnen oder neu zuordnen. Die Ausgabe-View stellt die angereicherten Daten für Views bereit.</w:t>
      </w:r>
    </w:p>
    <w:p>
      <w:r>
        <w:t>Die Ausführung ist manuell, eingeplant oder in Aufgabenketten möglich. Die Kategoriebezeichnungen sind gegen die aktuelle Oberfläche zu prüfen (nicht verifiziert).</w:t>
      </w:r>
    </w:p>
    <w:p>
      <w:pPr>
        <w:pStyle w:val="Heading2"/>
      </w:pPr>
      <w:r>
        <w:t>6.10 Analysemodell (Analytic Model)</w:t>
      </w:r>
    </w:p>
    <w:p>
      <w:pPr>
        <w:pStyle w:val="Heading3"/>
      </w:pPr>
      <w:r>
        <w:t>6.10.1 Zweck</w:t>
      </w:r>
    </w:p>
    <w:p>
      <w:r>
        <w:t>Das Analysemodell (</w:t>
      </w:r>
      <w:r>
        <w:rPr>
          <w:i/>
        </w:rPr>
        <w:t>Analytic Model</w:t>
      </w:r>
      <w:r>
        <w:t>) ist das analytische Konsumobjekt des Data Builder. Es basiert auf genau einer Faktenquelle (</w:t>
      </w:r>
      <w:r>
        <w:rPr>
          <w:i/>
        </w:rPr>
        <w:t>Fact</w:t>
      </w:r>
      <w:r>
        <w:t>) und den daran assoziierten Dimensionen. Es definiert, welche Kennzahlen, Dimensionen, Attribute, Variablen und Filter für SAP Analytics Cloud und andere analytische Clients sichtbar sind (Nutzung siehe Kapitel 12).</w:t>
      </w:r>
    </w:p>
    <w:p>
      <w:pPr>
        <w:pStyle w:val="Heading3"/>
      </w:pPr>
      <w:r>
        <w:t>6.10.2 Aufbau des Editors</w:t>
      </w:r>
    </w:p>
    <w:p>
      <w:pPr>
        <w:pStyle w:val="ListBullet"/>
      </w:pPr>
      <w:r>
        <w:rPr>
          <w:b/>
        </w:rPr>
        <w:t>Arbeitsfläche:</w:t>
      </w:r>
      <w:r>
        <w:t xml:space="preserve"> Faktenquelle in der Mitte, assoziierte Dimensionen als Knoten. Dimensionen werden über Assoziationen der Faktenquelle hinzugefügt bzw. ausgewählt.</w:t>
      </w:r>
    </w:p>
    <w:p>
      <w:pPr>
        <w:pStyle w:val="ListBullet"/>
      </w:pPr>
      <w:r>
        <w:rPr>
          <w:b/>
        </w:rPr>
        <w:t>Eigenschaftsbereich:</w:t>
      </w:r>
      <w:r>
        <w:t xml:space="preserve"> Zeigt, je nachdem was ausgewählt ist, das Gesamtmodell (Kennzahlen, Attribute, Variablen, globaler Filter, Datenzugriff) oder einzelne Quellen (auszuwählende Kennzahlen und Attribute).</w:t>
      </w:r>
    </w:p>
    <w:p>
      <w:pPr>
        <w:pStyle w:val="ListBullet"/>
      </w:pPr>
      <w:r>
        <w:t>Über einen Klick auf den Hintergrund der Arbeitsfläche werden u. a. Variablen hinzugefügt (</w:t>
      </w:r>
      <w:r>
        <w:rPr>
          <w:i/>
        </w:rPr>
        <w:t>Add Variable</w:t>
      </w:r>
      <w:r>
        <w:t>).</w:t>
      </w:r>
    </w:p>
    <w:p>
      <w:pPr>
        <w:pStyle w:val="ListBullet"/>
      </w:pPr>
      <w:r>
        <w:rPr>
          <w:b/>
        </w:rPr>
        <w:t>Datenvorschau:</w:t>
      </w:r>
      <w:r>
        <w:t xml:space="preserve"> Integrierte Vorschau, die das Modell so zeigt, wie es Nutzer in SAP Analytics Cloud sehen.</w:t>
      </w:r>
    </w:p>
    <w:p>
      <w:pPr>
        <w:pStyle w:val="Heading3"/>
      </w:pPr>
      <w:r>
        <w:t>6.10.3 Kennzahlen</w:t>
      </w:r>
    </w:p>
    <w:tbl>
      <w:tblPr>
        <w:tblStyle w:val="TableGrid"/>
        <w:tblW w:type="auto" w:w="0"/>
        <w:tblLook w:firstColumn="1" w:firstRow="1" w:lastColumn="0" w:lastRow="0" w:noHBand="0" w:noVBand="1" w:val="04A0"/>
      </w:tblPr>
      <w:tblGrid>
        <w:gridCol w:w="4320"/>
        <w:gridCol w:w="4320"/>
      </w:tblGrid>
      <w:tr>
        <w:tc>
          <w:tcPr>
            <w:tcW w:type="dxa" w:w="4320"/>
          </w:tcPr>
          <w:p>
            <w:r>
              <w:rPr>
                <w:b/>
              </w:rPr>
              <w:t>Kennzahlart</w:t>
            </w:r>
          </w:p>
        </w:tc>
        <w:tc>
          <w:tcPr>
            <w:tcW w:type="dxa" w:w="4320"/>
          </w:tcPr>
          <w:p>
            <w:r>
              <w:rPr>
                <w:b/>
              </w:rPr>
              <w:t>Zweck</w:t>
            </w:r>
          </w:p>
        </w:tc>
      </w:tr>
      <w:tr>
        <w:tc>
          <w:tcPr>
            <w:tcW w:type="dxa" w:w="4320"/>
          </w:tcPr>
          <w:p>
            <w:r>
              <w:t>Faktenquell-Kennzahl (</w:t>
            </w:r>
            <w:r>
              <w:rPr>
                <w:i/>
              </w:rPr>
              <w:t>Fact Source Measure</w:t>
            </w:r>
            <w:r>
              <w:t>)</w:t>
            </w:r>
          </w:p>
        </w:tc>
        <w:tc>
          <w:tcPr>
            <w:tcW w:type="dxa" w:w="4320"/>
          </w:tcPr>
          <w:p>
            <w:r>
              <w:t>Aus der Faktenquelle übernommen, Aggregation konfigurierbar</w:t>
            </w:r>
          </w:p>
        </w:tc>
      </w:tr>
      <w:tr>
        <w:tc>
          <w:tcPr>
            <w:tcW w:type="dxa" w:w="4320"/>
          </w:tcPr>
          <w:p>
            <w:r>
              <w:t>Berechnete Kennzahl (</w:t>
            </w:r>
            <w:r>
              <w:rPr>
                <w:i/>
              </w:rPr>
              <w:t>Calculated Measure</w:t>
            </w:r>
            <w:r>
              <w:t>)</w:t>
            </w:r>
          </w:p>
        </w:tc>
        <w:tc>
          <w:tcPr>
            <w:tcW w:type="dxa" w:w="4320"/>
          </w:tcPr>
          <w:p>
            <w:r>
              <w:t>Formel über andere Kennzahlen</w:t>
            </w:r>
          </w:p>
        </w:tc>
      </w:tr>
      <w:tr>
        <w:tc>
          <w:tcPr>
            <w:tcW w:type="dxa" w:w="4320"/>
          </w:tcPr>
          <w:p>
            <w:r>
              <w:t>Eingeschränkte Kennzahl (</w:t>
            </w:r>
            <w:r>
              <w:rPr>
                <w:i/>
              </w:rPr>
              <w:t>Restricted Measure</w:t>
            </w:r>
            <w:r>
              <w:t>)</w:t>
            </w:r>
          </w:p>
        </w:tc>
        <w:tc>
          <w:tcPr>
            <w:tcW w:type="dxa" w:w="4320"/>
          </w:tcPr>
          <w:p>
            <w:r>
              <w:t>Kennzahl, auf bestimmte Dimensionswerte eingeschränkt</w:t>
            </w:r>
          </w:p>
        </w:tc>
      </w:tr>
      <w:tr>
        <w:tc>
          <w:tcPr>
            <w:tcW w:type="dxa" w:w="4320"/>
          </w:tcPr>
          <w:p>
            <w:r>
              <w:t>Eindeutige Anzahl (</w:t>
            </w:r>
            <w:r>
              <w:rPr>
                <w:i/>
              </w:rPr>
              <w:t>Count Distinct</w:t>
            </w:r>
            <w:r>
              <w:t>)</w:t>
            </w:r>
          </w:p>
        </w:tc>
        <w:tc>
          <w:tcPr>
            <w:tcW w:type="dxa" w:w="4320"/>
          </w:tcPr>
          <w:p>
            <w:r>
              <w:t>Anzahl unterschiedlicher Werte eines Attributs</w:t>
            </w:r>
          </w:p>
        </w:tc>
      </w:tr>
      <w:tr>
        <w:tc>
          <w:tcPr>
            <w:tcW w:type="dxa" w:w="4320"/>
          </w:tcPr>
          <w:p>
            <w:r>
              <w:t>Festwert-Kennzahl (</w:t>
            </w:r>
            <w:r>
              <w:rPr>
                <w:i/>
              </w:rPr>
              <w:t>Fixed Value</w:t>
            </w:r>
            <w:r>
              <w:t>)</w:t>
            </w:r>
          </w:p>
        </w:tc>
        <w:tc>
          <w:tcPr>
            <w:tcW w:type="dxa" w:w="4320"/>
          </w:tcPr>
          <w:p>
            <w:r>
              <w:t>Konstanter Wert, z. B. für Berechnungen</w:t>
            </w:r>
          </w:p>
        </w:tc>
      </w:tr>
      <w:tr>
        <w:tc>
          <w:tcPr>
            <w:tcW w:type="dxa" w:w="4320"/>
          </w:tcPr>
          <w:p>
            <w:r>
              <w:t>Währungs- bzw. Einheitenumrechnung (</w:t>
            </w:r>
            <w:r>
              <w:rPr>
                <w:i/>
              </w:rPr>
              <w:t>Currency/Unit Conversion Measure</w:t>
            </w:r>
            <w:r>
              <w:t>)</w:t>
            </w:r>
          </w:p>
        </w:tc>
        <w:tc>
          <w:tcPr>
            <w:tcW w:type="dxa" w:w="4320"/>
          </w:tcPr>
          <w:p>
            <w:r>
              <w:t>Umrechnung über Umrechnungstabellen (Voraussetzungen siehe Dokumentation; nicht verifiziert)</w:t>
            </w:r>
          </w:p>
        </w:tc>
      </w:tr>
    </w:tbl>
    <w:p>
      <w:r>
        <w:t>Je Kennzahl lassen sich Aggregationsverhalten, Ausnahmeaggregation (nicht verifiziert), Anzeige-Skalierung und Sichtbarkeit einstellen.</w:t>
      </w:r>
    </w:p>
    <w:p>
      <w:r>
        <w:t>Hinweis: Berechnete Kennzahlen, die von einer bestimmten Dimension abhängen, liefern in der Vorschau nur dann Werte, wenn diese Dimension in der Abfrage enthalten ist.</w:t>
      </w:r>
    </w:p>
    <w:p>
      <w:pPr>
        <w:pStyle w:val="Heading3"/>
      </w:pPr>
      <w:r>
        <w:t>6.10.4 Dimensionen und Attribute</w:t>
      </w:r>
    </w:p>
    <w:p>
      <w:pPr>
        <w:pStyle w:val="ListBullet"/>
      </w:pPr>
      <w:r>
        <w:t>Dimensionen ergeben sich aus den Assoziationen der Faktenquelle (siehe 6.5.4). Sie können auch mehrstufig sein, also Dimensionen von Dimensionen.</w:t>
      </w:r>
    </w:p>
    <w:p>
      <w:pPr>
        <w:pStyle w:val="ListBullet"/>
      </w:pPr>
      <w:r>
        <w:t>Je Dimension wird festgelegt, welche Attribute sichtbar sind. Texte und Hierarchien werden über die Assoziationen der Dimension genutzt.</w:t>
      </w:r>
    </w:p>
    <w:p>
      <w:pPr>
        <w:pStyle w:val="ListBullet"/>
      </w:pPr>
      <w:r>
        <w:t>Attribute der Faktenquelle selbst sind ebenfalls auswählbar.</w:t>
      </w:r>
    </w:p>
    <w:p>
      <w:pPr>
        <w:pStyle w:val="Heading3"/>
      </w:pPr>
      <w:r>
        <w:t>6.10.5 Variablen und Filter</w:t>
      </w:r>
    </w:p>
    <w:tbl>
      <w:tblPr>
        <w:tblStyle w:val="TableGrid"/>
        <w:tblW w:type="auto" w:w="0"/>
        <w:tblLook w:firstColumn="1" w:firstRow="1" w:lastColumn="0" w:lastRow="0" w:noHBand="0" w:noVBand="1" w:val="04A0"/>
      </w:tblPr>
      <w:tblGrid>
        <w:gridCol w:w="4320"/>
        <w:gridCol w:w="4320"/>
      </w:tblGrid>
      <w:tr>
        <w:tc>
          <w:tcPr>
            <w:tcW w:type="dxa" w:w="4320"/>
          </w:tcPr>
          <w:p>
            <w:r>
              <w:rPr>
                <w:b/>
              </w:rPr>
              <w:t>Variablenart</w:t>
            </w:r>
          </w:p>
        </w:tc>
        <w:tc>
          <w:tcPr>
            <w:tcW w:type="dxa" w:w="4320"/>
          </w:tcPr>
          <w:p>
            <w:r>
              <w:rPr>
                <w:b/>
              </w:rPr>
              <w:t>Zweck</w:t>
            </w:r>
          </w:p>
        </w:tc>
      </w:tr>
      <w:tr>
        <w:tc>
          <w:tcPr>
            <w:tcW w:type="dxa" w:w="4320"/>
          </w:tcPr>
          <w:p>
            <w:r>
              <w:t>Standardvariable (</w:t>
            </w:r>
            <w:r>
              <w:rPr>
                <w:i/>
              </w:rPr>
              <w:t>Standard Variable</w:t>
            </w:r>
            <w:r>
              <w:t>)</w:t>
            </w:r>
          </w:p>
        </w:tc>
        <w:tc>
          <w:tcPr>
            <w:tcW w:type="dxa" w:w="4320"/>
          </w:tcPr>
          <w:p>
            <w:r>
              <w:t>Wert wird zur Laufzeit abgefragt, z. B. für Eingabeparameter</w:t>
            </w:r>
          </w:p>
        </w:tc>
      </w:tr>
      <w:tr>
        <w:tc>
          <w:tcPr>
            <w:tcW w:type="dxa" w:w="4320"/>
          </w:tcPr>
          <w:p>
            <w:r>
              <w:t>Filtervariable (</w:t>
            </w:r>
            <w:r>
              <w:rPr>
                <w:i/>
              </w:rPr>
              <w:t>Filter Variable</w:t>
            </w:r>
            <w:r>
              <w:t>)</w:t>
            </w:r>
          </w:p>
        </w:tc>
        <w:tc>
          <w:tcPr>
            <w:tcW w:type="dxa" w:w="4320"/>
          </w:tcPr>
          <w:p>
            <w:r>
              <w:t>Nutzerseitiger Filter auf eine Dimension (Einzelwert, Intervall, Bereich; Pflicht oder optional)</w:t>
            </w:r>
          </w:p>
        </w:tc>
      </w:tr>
      <w:tr>
        <w:tc>
          <w:tcPr>
            <w:tcW w:type="dxa" w:w="4320"/>
          </w:tcPr>
          <w:p>
            <w:r>
              <w:t>Variable für eingeschränkte Kennzahlen (</w:t>
            </w:r>
            <w:r>
              <w:rPr>
                <w:i/>
              </w:rPr>
              <w:t>Restricted Measure Variable</w:t>
            </w:r>
            <w:r>
              <w:t>)</w:t>
            </w:r>
          </w:p>
        </w:tc>
        <w:tc>
          <w:tcPr>
            <w:tcW w:type="dxa" w:w="4320"/>
          </w:tcPr>
          <w:p>
            <w:r>
              <w:t>Steuert die Einschränkung einer eingeschränkten Kennzahl zur Laufzeit</w:t>
            </w:r>
          </w:p>
        </w:tc>
      </w:tr>
      <w:tr>
        <w:tc>
          <w:tcPr>
            <w:tcW w:type="dxa" w:w="4320"/>
          </w:tcPr>
          <w:p>
            <w:r>
              <w:t>Stichtagsvariable (</w:t>
            </w:r>
            <w:r>
              <w:rPr>
                <w:i/>
              </w:rPr>
              <w:t>Reference Date Variable</w:t>
            </w:r>
            <w:r>
              <w:t>)</w:t>
            </w:r>
          </w:p>
        </w:tc>
        <w:tc>
          <w:tcPr>
            <w:tcW w:type="dxa" w:w="4320"/>
          </w:tcPr>
          <w:p>
            <w:r>
              <w:t>Steuert zeitabhängige Dimensionen (nicht verifiziert)</w:t>
            </w:r>
          </w:p>
        </w:tc>
      </w:tr>
    </w:tbl>
    <w:p>
      <w:r>
        <w:t>Eingabeparameter der Quellen werden auf Variablen abgebildet. Zusätzlich kann ein globaler Filter definiert werden, der für alle Abfragen gilt.</w:t>
      </w:r>
    </w:p>
    <w:p>
      <w:pPr>
        <w:pStyle w:val="Heading3"/>
      </w:pPr>
      <w:r>
        <w:t>6.10.6 Datenvorschau des Analysemodells</w:t>
      </w:r>
    </w:p>
    <w:p>
      <w:r>
        <w:t>Die Vorschau zeigt das Modell in einer pivotartigen Tabelle. Möglich sind</w:t>
      </w:r>
    </w:p>
    <w:p>
      <w:pPr>
        <w:pStyle w:val="ListBullet"/>
      </w:pPr>
      <w:r>
        <w:t>unterschiedliche Perspektiven, d. h. Dimensionen in Zeilen bzw. Spalten,</w:t>
      </w:r>
    </w:p>
    <w:p>
      <w:pPr>
        <w:pStyle w:val="ListBullet"/>
      </w:pPr>
      <w:r>
        <w:t>das Setzen von Filtern,</w:t>
      </w:r>
    </w:p>
    <w:p>
      <w:pPr>
        <w:pStyle w:val="ListBullet"/>
      </w:pPr>
      <w:r>
        <w:t>die Belegung von Variablen.</w:t>
      </w:r>
    </w:p>
    <w:p>
      <w:r>
        <w:t>So lässt sich das Ergebnis vor der Bereitstellung bzw. Nutzung prüfen.</w:t>
      </w:r>
    </w:p>
    <w:p>
      <w:pPr>
        <w:pStyle w:val="Heading2"/>
      </w:pPr>
      <w:r>
        <w:t>6.11 Querschnittsfunktionen</w:t>
      </w:r>
    </w:p>
    <w:p>
      <w:pPr>
        <w:pStyle w:val="Heading3"/>
      </w:pPr>
      <w:r>
        <w:t>6.11.1 Datenvorschau (Data Preview / Data Viewer)</w:t>
      </w:r>
    </w:p>
    <w:p>
      <w:r>
        <w:t>In Tabellen-, View- und Flow-Editoren lässt sich für den gewählten Knoten bzw. das Objekt eine Datenvorschau öffnen. Funktionen:</w:t>
      </w:r>
    </w:p>
    <w:p>
      <w:pPr>
        <w:pStyle w:val="ListBullet"/>
      </w:pPr>
      <w:r>
        <w:t>Anzeige einer begrenzten Anzahl Zeilen</w:t>
      </w:r>
    </w:p>
    <w:p>
      <w:pPr>
        <w:pStyle w:val="ListBullet"/>
      </w:pPr>
      <w:r>
        <w:t>Spaltenauswahl, Sortierung, Filter</w:t>
      </w:r>
    </w:p>
    <w:p>
      <w:pPr>
        <w:pStyle w:val="ListBullet"/>
      </w:pPr>
      <w:r>
        <w:t>bei Views die Vorschau einzelner Zwischenknoten</w:t>
      </w:r>
    </w:p>
    <w:p>
      <w:pPr>
        <w:pStyle w:val="ListBullet"/>
      </w:pPr>
      <w:r>
        <w:t>bei Views mit Eingabeparametern die Eingabe der Parameterwerte</w:t>
      </w:r>
    </w:p>
    <w:p>
      <w:r>
        <w:t>Voraussetzung ist in der Regel, dass die Quellen bereitgestellt bzw. erreichbar sind. Bei föderierten Remote-Tabellen wird die Quelle live abgefragt. Ob die Vorschau-Ergebnisse als CSV exportiert werden können, ist nicht verifiziert.</w:t>
      </w:r>
    </w:p>
    <w:p>
      <w:pPr>
        <w:pStyle w:val="Heading3"/>
      </w:pPr>
      <w:r>
        <w:t>6.11.2 Analyse der Auswirkungen und Herkunft (Impact and Lineage Analysis)</w:t>
      </w:r>
    </w:p>
    <w:p>
      <w:r>
        <w:t>Über die Werkzeugleiste bzw. das Kontextmenü eines Objekts öffnet sich ein Diagramm mit</w:t>
      </w:r>
    </w:p>
    <w:p>
      <w:pPr>
        <w:pStyle w:val="ListBullet"/>
      </w:pPr>
      <w:r>
        <w:t xml:space="preserve">den vorgelagerten Objekten (Herkunft, </w:t>
      </w:r>
      <w:r>
        <w:rPr>
          <w:i/>
        </w:rPr>
        <w:t>Lineage</w:t>
      </w:r>
      <w:r>
        <w:t>), also aus welchen Quellen das Objekt gespeist wird, und</w:t>
      </w:r>
    </w:p>
    <w:p>
      <w:pPr>
        <w:pStyle w:val="ListBullet"/>
      </w:pPr>
      <w:r>
        <w:t xml:space="preserve">den nachgelagerten Objekten (Auswirkung, </w:t>
      </w:r>
      <w:r>
        <w:rPr>
          <w:i/>
        </w:rPr>
        <w:t>Impact</w:t>
      </w:r>
      <w:r>
        <w:t>), also welche Objekte das aktuelle Objekt verwenden.</w:t>
      </w:r>
    </w:p>
    <w:p>
      <w:r>
        <w:t>Typische Einsätze:</w:t>
      </w:r>
    </w:p>
    <w:p>
      <w:pPr>
        <w:pStyle w:val="ListBullet"/>
      </w:pPr>
      <w:r>
        <w:t>vor Strukturänderungen und Löschungen,</w:t>
      </w:r>
    </w:p>
    <w:p>
      <w:pPr>
        <w:pStyle w:val="ListBullet"/>
      </w:pPr>
      <w:r>
        <w:t>bei der Fehlersuche nach Entwurfszeitfehlern,</w:t>
      </w:r>
    </w:p>
    <w:p>
      <w:pPr>
        <w:pStyle w:val="ListBullet"/>
      </w:pPr>
      <w:r>
        <w:t>vor dem Transport (siehe Kapitel 11).</w:t>
      </w:r>
    </w:p>
    <w:p>
      <w:r>
        <w:t>Die bereichsübergreifende Herkunftsanalyse im Katalog beschreibt Kapitel 8.</w:t>
      </w:r>
    </w:p>
    <w:p>
      <w:pPr>
        <w:pStyle w:val="Heading3"/>
      </w:pPr>
      <w:r>
        <w:t>6.11.3 Import und Export</w:t>
      </w:r>
    </w:p>
    <w:tbl>
      <w:tblPr>
        <w:tblStyle w:val="TableGrid"/>
        <w:tblW w:type="auto" w:w="0"/>
        <w:tblLook w:firstColumn="1" w:firstRow="1" w:lastColumn="0" w:lastRow="0" w:noHBand="0" w:noVBand="1" w:val="04A0"/>
      </w:tblPr>
      <w:tblGrid>
        <w:gridCol w:w="4320"/>
        <w:gridCol w:w="4320"/>
      </w:tblGrid>
      <w:tr>
        <w:tc>
          <w:tcPr>
            <w:tcW w:type="dxa" w:w="4320"/>
          </w:tcPr>
          <w:p>
            <w:r>
              <w:rPr>
                <w:b/>
              </w:rPr>
              <w:t>Funktion</w:t>
            </w:r>
          </w:p>
        </w:tc>
        <w:tc>
          <w:tcPr>
            <w:tcW w:type="dxa" w:w="4320"/>
          </w:tcPr>
          <w:p>
            <w:r>
              <w:rPr>
                <w:b/>
              </w:rPr>
              <w:t>Beschreibung</w:t>
            </w:r>
          </w:p>
        </w:tc>
      </w:tr>
      <w:tr>
        <w:tc>
          <w:tcPr>
            <w:tcW w:type="dxa" w:w="4320"/>
          </w:tcPr>
          <w:p>
            <w:r>
              <w:t>CSV-Datei importieren (</w:t>
            </w:r>
            <w:r>
              <w:rPr>
                <w:i/>
              </w:rPr>
              <w:t>Import CSV File</w:t>
            </w:r>
            <w:r>
              <w:t>)</w:t>
            </w:r>
          </w:p>
        </w:tc>
        <w:tc>
          <w:tcPr>
            <w:tcW w:type="dxa" w:w="4320"/>
          </w:tcPr>
          <w:p>
            <w:r>
              <w:t>Legt aus einer CSV-Datei eine neue lokale Tabelle an. Ein Assistent erkennt Trennzeichen und Spaltentypen; Spalten lassen sich vor dem Bereitstellen anpassen (Bereinigungs- und Transformationsfunktionen im Importdialog nicht verifiziert).</w:t>
            </w:r>
          </w:p>
        </w:tc>
      </w:tr>
      <w:tr>
        <w:tc>
          <w:tcPr>
            <w:tcW w:type="dxa" w:w="4320"/>
          </w:tcPr>
          <w:p>
            <w:r>
              <w:t>Daten in vorhandene Tabelle hochladen</w:t>
            </w:r>
          </w:p>
        </w:tc>
        <w:tc>
          <w:tcPr>
            <w:tcW w:type="dxa" w:w="4320"/>
          </w:tcPr>
          <w:p>
            <w:r>
              <w:t>CSV-Upload in eine bestehende lokale Tabelle (siehe 6.4.1)</w:t>
            </w:r>
          </w:p>
        </w:tc>
      </w:tr>
      <w:tr>
        <w:tc>
          <w:tcPr>
            <w:tcW w:type="dxa" w:w="4320"/>
          </w:tcPr>
          <w:p>
            <w:r>
              <w:t>Objekte aus CSN/JSON-Datei importieren (</w:t>
            </w:r>
            <w:r>
              <w:rPr>
                <w:i/>
              </w:rPr>
              <w:t>Import Objects from CSN/JSON File</w:t>
            </w:r>
            <w:r>
              <w:t>)</w:t>
            </w:r>
          </w:p>
        </w:tc>
        <w:tc>
          <w:tcPr>
            <w:tcW w:type="dxa" w:w="4320"/>
          </w:tcPr>
          <w:p>
            <w:r>
              <w:t>Von der Startseite oder aus einem ER-Modell. Eine CSN-Datei (</w:t>
            </w:r>
            <w:r>
              <w:rPr>
                <w:i/>
              </w:rPr>
              <w:t>Core Data Services Schema Notation</w:t>
            </w:r>
            <w:r>
              <w:t>) enthält nur die Strukturdefinition von Tabellen, Views und anderen Objekten, keine Daten. Im Importdialog werden die zu erstellenden Objekte ausgewählt; bestehende Objekte können ggf. überschrieben werden (Optionen nicht verifiziert).</w:t>
            </w:r>
          </w:p>
        </w:tc>
      </w:tr>
      <w:tr>
        <w:tc>
          <w:tcPr>
            <w:tcW w:type="dxa" w:w="4320"/>
          </w:tcPr>
          <w:p>
            <w:r>
              <w:t>Export als CSN/JSON</w:t>
            </w:r>
          </w:p>
        </w:tc>
        <w:tc>
          <w:tcPr>
            <w:tcW w:type="dxa" w:w="4320"/>
          </w:tcPr>
          <w:p>
            <w:r>
              <w:t>Ausgewählte Objekte werden als CSN/JSON-Datei exportiert, z. B. für Kopien in andere Bereiche oder Mandanten. Für den geregelten Transport siehe Kapitel 11.</w:t>
            </w:r>
          </w:p>
        </w:tc>
      </w:tr>
      <w:tr>
        <w:tc>
          <w:tcPr>
            <w:tcW w:type="dxa" w:w="4320"/>
          </w:tcPr>
          <w:p>
            <w:r>
              <w:t>Entitäten importieren (</w:t>
            </w:r>
            <w:r>
              <w:rPr>
                <w:i/>
              </w:rPr>
              <w:t>Import Entities</w:t>
            </w:r>
            <w:r>
              <w:t>)</w:t>
            </w:r>
          </w:p>
        </w:tc>
        <w:tc>
          <w:tcPr>
            <w:tcW w:type="dxa" w:w="4320"/>
          </w:tcPr>
          <w:p>
            <w:r>
              <w:t>Assistent, der aus SAP-S/4HANA-Cloud- und SAP-S/4HANA-On-Premise-Verbindungen semantisch angereicherte Objekte lädt und Business-Builder- sowie Data-Builder-Entitäten samt Abhängigkeiten erzeugt</w:t>
            </w:r>
          </w:p>
        </w:tc>
      </w:tr>
      <w:tr>
        <w:tc>
          <w:tcPr>
            <w:tcW w:type="dxa" w:w="4320"/>
          </w:tcPr>
          <w:p>
            <w:r>
              <w:t>Remote-Tabellen importieren (</w:t>
            </w:r>
            <w:r>
              <w:rPr>
                <w:i/>
              </w:rPr>
              <w:t>Import Remote Tables</w:t>
            </w:r>
            <w:r>
              <w:t>)</w:t>
            </w:r>
          </w:p>
        </w:tc>
        <w:tc>
          <w:tcPr>
            <w:tcW w:type="dxa" w:w="4320"/>
          </w:tcPr>
          <w:p>
            <w:r>
              <w:t>Auswahl von Quellobjekten einer Verbindung zur Anlage von Remote-Tabellen</w:t>
            </w:r>
          </w:p>
        </w:tc>
      </w:tr>
    </w:tbl>
    <w:p>
      <w:pPr>
        <w:pStyle w:val="Heading3"/>
      </w:pPr>
      <w:r>
        <w:t>6.11.4 Freigabe für andere Bereiche</w:t>
      </w:r>
    </w:p>
    <w:p>
      <w:r>
        <w:t>Tabellen und Views lassen sich anderen Bereichen freigeben (</w:t>
      </w:r>
      <w:r>
        <w:rPr>
          <w:i/>
        </w:rPr>
        <w:t>Share</w:t>
      </w:r>
      <w:r>
        <w:t>). Dort erscheinen sie im Repository des Quellenbrowsers und können als Quelle genutzt, aber nicht geändert werden. Die Datenzugriffskontrollen der Quelle bleiben dabei wirksam (siehe Kapitel 9).</w:t>
      </w:r>
    </w:p>
    <w:p>
      <w:pPr>
        <w:pStyle w:val="Heading2"/>
      </w:pPr>
      <w:r>
        <w:t>6.12 Typische Abläufe</w:t>
      </w:r>
    </w:p>
    <w:p>
      <w:pPr>
        <w:pStyle w:val="Heading3"/>
      </w:pPr>
      <w:r>
        <w:t>6.12.1 Grafische View erstellen und bereitstellen</w:t>
      </w:r>
    </w:p>
    <w:p>
      <w:pPr>
        <w:pStyle w:val="ListNumber"/>
      </w:pPr>
      <w:r>
        <w:t>In der Seitenleiste den Data Builder öffnen und den Bereich auswählen.</w:t>
      </w:r>
    </w:p>
    <w:p>
      <w:pPr>
        <w:pStyle w:val="ListNumber"/>
      </w:pPr>
      <w:r>
        <w:rPr>
          <w:i/>
        </w:rPr>
        <w:t>New Graphical View</w:t>
      </w:r>
      <w:r>
        <w:t xml:space="preserve"> wählen.</w:t>
      </w:r>
    </w:p>
    <w:p>
      <w:pPr>
        <w:pStyle w:val="ListNumber"/>
      </w:pPr>
      <w:r>
        <w:t>Eine Quelltabelle aus dem Quellenbrowser (Repository oder Quellen) auf die Arbeitsfläche ziehen.</w:t>
      </w:r>
    </w:p>
    <w:p>
      <w:pPr>
        <w:pStyle w:val="ListNumber"/>
      </w:pPr>
      <w:r>
        <w:t>Eine zweite Quelle auf die erste ziehen, um einen Join zu erzeugen, und die Join-Bedingung im Eigenschaftsbereich festlegen.</w:t>
      </w:r>
    </w:p>
    <w:p>
      <w:pPr>
        <w:pStyle w:val="ListNumber"/>
      </w:pPr>
      <w:r>
        <w:t>Bei Bedarf Projektion, Filter, berechnete Spalten oder Aggregation anfügen.</w:t>
      </w:r>
    </w:p>
    <w:p>
      <w:pPr>
        <w:pStyle w:val="ListNumber"/>
      </w:pPr>
      <w:r>
        <w:t xml:space="preserve">Den Ausgabeknoten wählen, Namen vergeben und die semantische Verwendung setzen, z. B. </w:t>
      </w:r>
      <w:r>
        <w:rPr>
          <w:i/>
        </w:rPr>
        <w:t>Fact</w:t>
      </w:r>
      <w:r>
        <w:t>. Kennzahlen und Attribute festlegen.</w:t>
      </w:r>
    </w:p>
    <w:p>
      <w:pPr>
        <w:pStyle w:val="ListNumber"/>
      </w:pPr>
      <w:r>
        <w:t>Assoziationen zu Dimensionen anlegen und bei Bedarf eine Datenzugriffskontrolle zuweisen.</w:t>
      </w:r>
    </w:p>
    <w:p>
      <w:pPr>
        <w:pStyle w:val="ListNumber"/>
      </w:pPr>
      <w:r>
        <w:t>Die Datenvorschau prüfen.</w:t>
      </w:r>
    </w:p>
    <w:p>
      <w:pPr>
        <w:pStyle w:val="ListNumber"/>
      </w:pPr>
      <w:r>
        <w:t>Speichern und bereitstellen; den Status in der Objektliste kontrollieren.</w:t>
      </w:r>
    </w:p>
    <w:p>
      <w:pPr>
        <w:pStyle w:val="Heading3"/>
      </w:pPr>
      <w:r>
        <w:t>6.12.2 Lokale Tabelle per CSV anlegen</w:t>
      </w:r>
    </w:p>
    <w:p>
      <w:pPr>
        <w:pStyle w:val="ListNumber"/>
      </w:pPr>
      <w:r>
        <w:t xml:space="preserve">Auf der Startseite </w:t>
      </w:r>
      <w:r>
        <w:rPr>
          <w:i/>
        </w:rPr>
        <w:t>Import</w:t>
      </w:r>
      <w:r>
        <w:t xml:space="preserve"> &gt; </w:t>
      </w:r>
      <w:r>
        <w:rPr>
          <w:i/>
        </w:rPr>
        <w:t>Import CSV File</w:t>
      </w:r>
      <w:r>
        <w:t xml:space="preserve"> wählen.</w:t>
      </w:r>
    </w:p>
    <w:p>
      <w:pPr>
        <w:pStyle w:val="ListNumber"/>
      </w:pPr>
      <w:r>
        <w:t>Die Datei auswählen; Trennzeichen und Kopfzeile prüfen.</w:t>
      </w:r>
    </w:p>
    <w:p>
      <w:pPr>
        <w:pStyle w:val="ListNumber"/>
      </w:pPr>
      <w:r>
        <w:t>Spaltennamen und Datentypen anpassen.</w:t>
      </w:r>
    </w:p>
    <w:p>
      <w:pPr>
        <w:pStyle w:val="ListNumber"/>
      </w:pPr>
      <w:r>
        <w:t>Die Tabelle bereitstellen und die Daten laden lassen.</w:t>
      </w:r>
    </w:p>
    <w:p>
      <w:pPr>
        <w:pStyle w:val="Heading3"/>
      </w:pPr>
      <w:r>
        <w:t>6.12.3 Replikationsfluss mit Delta einrichten</w:t>
      </w:r>
    </w:p>
    <w:p>
      <w:pPr>
        <w:pStyle w:val="ListNumber"/>
      </w:pPr>
      <w:r>
        <w:rPr>
          <w:i/>
        </w:rPr>
        <w:t>New Replication Flow</w:t>
      </w:r>
      <w:r>
        <w:t xml:space="preserve"> wählen.</w:t>
      </w:r>
    </w:p>
    <w:p>
      <w:pPr>
        <w:pStyle w:val="ListNumber"/>
      </w:pPr>
      <w:r>
        <w:t>Quellverbindung und Quellcontainer auswählen, dann die Quellobjekte hinzufügen.</w:t>
      </w:r>
    </w:p>
    <w:p>
      <w:pPr>
        <w:pStyle w:val="ListNumber"/>
      </w:pPr>
      <w:r>
        <w:t xml:space="preserve">Die Zielverbindung wählen, z. B. SAP Datasphere. ⚠ Bei Nicht-SAP-Zielen ist </w:t>
      </w:r>
      <w:r>
        <w:rPr>
          <w:i/>
        </w:rPr>
        <w:t>Premium Outbound Integration</w:t>
      </w:r>
      <w:r>
        <w:t xml:space="preserve"> erforderlich.</w:t>
      </w:r>
    </w:p>
    <w:p>
      <w:pPr>
        <w:pStyle w:val="ListNumber"/>
      </w:pPr>
      <w:r>
        <w:t xml:space="preserve">Je Objekt die Projektion (Filter, Zuordnung) und die Ladeart </w:t>
      </w:r>
      <w:r>
        <w:rPr>
          <w:i/>
        </w:rPr>
        <w:t>Initial and Delta</w:t>
      </w:r>
      <w:r>
        <w:t xml:space="preserve"> einstellen, ggf. </w:t>
      </w:r>
      <w:r>
        <w:rPr>
          <w:i/>
        </w:rPr>
        <w:t>Truncate</w:t>
      </w:r>
      <w:r>
        <w:t>.</w:t>
      </w:r>
    </w:p>
    <w:p>
      <w:pPr>
        <w:pStyle w:val="ListNumber"/>
      </w:pPr>
      <w:r>
        <w:t xml:space="preserve">Speichern, bereitstellen und </w:t>
      </w:r>
      <w:r>
        <w:rPr>
          <w:i/>
        </w:rPr>
        <w:t>Run</w:t>
      </w:r>
      <w:r>
        <w:t xml:space="preserve"> ausführen.</w:t>
      </w:r>
    </w:p>
    <w:p>
      <w:pPr>
        <w:pStyle w:val="ListNumber"/>
      </w:pPr>
      <w:r>
        <w:t>Den Lauf im Data Integration Monitor überwachen (siehe Kapitel 10).</w:t>
      </w:r>
    </w:p>
    <w:p>
      <w:pPr>
        <w:pStyle w:val="Heading3"/>
      </w:pPr>
      <w:r>
        <w:t>6.12.4 Delta-Weiterverarbeitung per Transformationsfluss</w:t>
      </w:r>
    </w:p>
    <w:p>
      <w:pPr>
        <w:pStyle w:val="ListNumber"/>
      </w:pPr>
      <w:r>
        <w:t>Für die Quelltabelle Delta-Erfassung aktivieren (siehe 6.4.2).</w:t>
      </w:r>
    </w:p>
    <w:p>
      <w:pPr>
        <w:pStyle w:val="ListNumber"/>
      </w:pPr>
      <w:r>
        <w:rPr>
          <w:i/>
        </w:rPr>
        <w:t>New Transformation Flow</w:t>
      </w:r>
      <w:r>
        <w:t xml:space="preserve"> wählen und die View-Transformation grafisch oder als SQL modellieren.</w:t>
      </w:r>
    </w:p>
    <w:p>
      <w:pPr>
        <w:pStyle w:val="ListNumber"/>
      </w:pPr>
      <w:r>
        <w:t xml:space="preserve">Eine Zieltabelle zuordnen und die Ladeart </w:t>
      </w:r>
      <w:r>
        <w:rPr>
          <w:i/>
        </w:rPr>
        <w:t>Initial and Delta</w:t>
      </w:r>
      <w:r>
        <w:t xml:space="preserve"> setzen.</w:t>
      </w:r>
    </w:p>
    <w:p>
      <w:pPr>
        <w:pStyle w:val="ListNumber"/>
      </w:pPr>
      <w:r>
        <w:t>Bereitstellen, ausführen und anschließend in eine Aufgabenkette einbinden.</w:t>
      </w:r>
    </w:p>
    <w:p>
      <w:pPr>
        <w:pStyle w:val="Heading3"/>
      </w:pPr>
      <w:r>
        <w:t>6.12.5 Analysemodell erstellen</w:t>
      </w:r>
    </w:p>
    <w:p>
      <w:pPr>
        <w:pStyle w:val="ListNumber"/>
      </w:pPr>
      <w:r>
        <w:rPr>
          <w:i/>
        </w:rPr>
        <w:t>New Analytic Model</w:t>
      </w:r>
      <w:r>
        <w:t xml:space="preserve"> wählen und eine Faktenquelle mit semantischer Verwendung </w:t>
      </w:r>
      <w:r>
        <w:rPr>
          <w:i/>
        </w:rPr>
        <w:t>Fact</w:t>
      </w:r>
      <w:r>
        <w:t xml:space="preserve"> auswählen.</w:t>
      </w:r>
    </w:p>
    <w:p>
      <w:pPr>
        <w:pStyle w:val="ListNumber"/>
      </w:pPr>
      <w:r>
        <w:t>Kennzahlen und Attribute auswählen und assoziierte Dimensionen hinzufügen.</w:t>
      </w:r>
    </w:p>
    <w:p>
      <w:pPr>
        <w:pStyle w:val="ListNumber"/>
      </w:pPr>
      <w:r>
        <w:t>Berechnete oder eingeschränkte Kennzahlen anlegen.</w:t>
      </w:r>
    </w:p>
    <w:p>
      <w:pPr>
        <w:pStyle w:val="ListNumber"/>
      </w:pPr>
      <w:r>
        <w:t>Variablen über den Eigenschaftsbereich der Arbeitsfläche hinzufügen (</w:t>
      </w:r>
      <w:r>
        <w:rPr>
          <w:i/>
        </w:rPr>
        <w:t>Add Variable</w:t>
      </w:r>
      <w:r>
        <w:t>).</w:t>
      </w:r>
    </w:p>
    <w:p>
      <w:pPr>
        <w:pStyle w:val="ListNumber"/>
      </w:pPr>
      <w:r>
        <w:t>Das Ergebnis in der Datenvorschau mit Filtern und Variablenwerten prüfen.</w:t>
      </w:r>
    </w:p>
    <w:p>
      <w:pPr>
        <w:pStyle w:val="ListNumber"/>
      </w:pPr>
      <w:r>
        <w:t>Speichern und bereitstellen.</w:t>
      </w:r>
    </w:p>
    <w:p>
      <w:pPr>
        <w:pStyle w:val="Heading3"/>
      </w:pPr>
      <w:r>
        <w:t>6.12.6 Aufgabenkette einplanen</w:t>
      </w:r>
    </w:p>
    <w:p>
      <w:pPr>
        <w:pStyle w:val="ListNumber"/>
      </w:pPr>
      <w:r>
        <w:rPr>
          <w:i/>
        </w:rPr>
        <w:t>New Task Chain</w:t>
      </w:r>
      <w:r>
        <w:t xml:space="preserve"> wählen.</w:t>
      </w:r>
    </w:p>
    <w:p>
      <w:pPr>
        <w:pStyle w:val="ListNumber"/>
      </w:pPr>
      <w:r>
        <w:t xml:space="preserve">Die Objekte in der gewünschten Reihenfolge auf die Arbeitsfläche ziehen; parallele Zweige über </w:t>
      </w:r>
      <w:r>
        <w:rPr>
          <w:i/>
        </w:rPr>
        <w:t>ALL</w:t>
      </w:r>
      <w:r>
        <w:t>/</w:t>
      </w:r>
      <w:r>
        <w:rPr>
          <w:i/>
        </w:rPr>
        <w:t>ANY</w:t>
      </w:r>
      <w:r>
        <w:t xml:space="preserve"> zusammenführen.</w:t>
      </w:r>
    </w:p>
    <w:p>
      <w:pPr>
        <w:pStyle w:val="ListNumber"/>
      </w:pPr>
      <w:r>
        <w:t>E-Mail-Benachrichtigung konfigurieren.</w:t>
      </w:r>
    </w:p>
    <w:p>
      <w:pPr>
        <w:pStyle w:val="ListNumber"/>
      </w:pPr>
      <w:r>
        <w:t xml:space="preserve">Speichern, bereitstellen und über </w:t>
      </w:r>
      <w:r>
        <w:rPr>
          <w:i/>
        </w:rPr>
        <w:t>Schedule</w:t>
      </w:r>
      <w:r>
        <w:t xml:space="preserve"> einplanen.</w:t>
      </w:r>
    </w:p>
    <w:p>
      <w:pPr>
        <w:pStyle w:val="Heading2"/>
      </w:pPr>
      <w:r>
        <w:t>6.13 Abhängigkeiten, Grenzen und Hinweise</w:t>
      </w:r>
    </w:p>
    <w:p>
      <w:pPr>
        <w:pStyle w:val="ListBullet"/>
      </w:pPr>
      <w:r>
        <w:rPr>
          <w:b/>
        </w:rPr>
        <w:t>Bereichsbindung:</w:t>
      </w:r>
      <w:r>
        <w:t xml:space="preserve"> Alle Objekte liegen in einem Bereich. Bereichsübergreifende Nutzung ist nur über Freigaben möglich. Speicher- und Rechenressourcen des Bereichs (Kapitel 4) begrenzen Persistenz und Replikation.</w:t>
      </w:r>
    </w:p>
    <w:p>
      <w:pPr>
        <w:pStyle w:val="ListBullet"/>
      </w:pPr>
      <w:r>
        <w:rPr>
          <w:b/>
        </w:rPr>
        <w:t>Verbindungsabhängigkeit:</w:t>
      </w:r>
      <w:r>
        <w:t xml:space="preserve"> Remote-Tabellen, Datenflüsse und Replikationsflüsse setzen passend konfigurierte Verbindungen voraus. Welche Funktionen eine Verbindung unterstützt (föderiert, Replikation, Datenfluss, Replikationsfluss), legt der Verbindungstyp fest (Kapitel 5).</w:t>
      </w:r>
    </w:p>
    <w:p>
      <w:pPr>
        <w:pStyle w:val="ListBullet"/>
      </w:pPr>
      <w:r>
        <w:rPr>
          <w:b/>
        </w:rPr>
        <w:t>Bereitstellungsreihenfolge:</w:t>
      </w:r>
      <w:r>
        <w:t xml:space="preserve"> Abhängige Objekte lassen sich erst bereitstellen, wenn ihre Quellen bereitgestellt sind. Bei Strukturänderungen an Quellen können nachgelagerte Objekte Entwurfszeitfehler erhalten.</w:t>
      </w:r>
    </w:p>
    <w:p>
      <w:pPr>
        <w:pStyle w:val="ListBullet"/>
      </w:pPr>
      <w:r>
        <w:rPr>
          <w:b/>
        </w:rPr>
        <w:t>Technische Namen</w:t>
      </w:r>
      <w:r>
        <w:t xml:space="preserve"> sind nach dem ersten Speichern bzw. Bereitstellen nicht mehr änderbar.</w:t>
      </w:r>
    </w:p>
    <w:p>
      <w:pPr>
        <w:pStyle w:val="ListBullet"/>
      </w:pPr>
      <w:r>
        <w:rPr>
          <w:b/>
        </w:rPr>
        <w:t>Delta-Erfassung:</w:t>
      </w:r>
      <w:r>
        <w:t xml:space="preserve"> Die Delta-Tabelle ist nicht direkt in SQL-Views abfragbar. Spätere Änderungen an der Einstellung sind eingeschränkt.</w:t>
      </w:r>
    </w:p>
    <w:p>
      <w:pPr>
        <w:pStyle w:val="ListBullet"/>
      </w:pPr>
      <w:r>
        <w:rPr>
          <w:b/>
        </w:rPr>
        <w:t>Python:</w:t>
      </w:r>
      <w:r>
        <w:t xml:space="preserve"> Skript- und Python-Operatoren unterstützen nur die dokumentierten Bibliotheken bzw. Funktionen, ohne E/A.</w:t>
      </w:r>
    </w:p>
    <w:p>
      <w:pPr>
        <w:pStyle w:val="ListBullet"/>
      </w:pPr>
      <w:r>
        <w:rPr>
          <w:b/>
        </w:rPr>
        <w:t>Lizenz- und mandantenabhängige Funktionen</w:t>
      </w:r>
      <w:r>
        <w:t xml:space="preserve"> (⚠ abhängig von Lizenz/Freischaltung):</w:t>
      </w:r>
    </w:p>
    <w:p>
      <w:pPr>
        <w:pStyle w:val="ListBullet"/>
      </w:pPr>
      <w:r>
        <w:t>Premium Outbound Integration (Replikation in Nicht-SAP-Ziele),</w:t>
      </w:r>
    </w:p>
    <w:p>
      <w:pPr>
        <w:pStyle w:val="ListBullet"/>
      </w:pPr>
      <w:r>
        <w:t>Dateibereiche mit lokalen Tabellen (Datei) und Python-Operator in Transformationsflüssen,</w:t>
      </w:r>
    </w:p>
    <w:p>
      <w:pPr>
        <w:pStyle w:val="ListBullet"/>
      </w:pPr>
      <w:r>
        <w:t>Echtzeitreplikation je nach Quelle,</w:t>
      </w:r>
    </w:p>
    <w:p>
      <w:pPr>
        <w:pStyle w:val="ListBullet"/>
      </w:pPr>
      <w:r>
        <w:t>Funktionen im Rahmen von SAP Business Data Cloud.</w:t>
      </w:r>
    </w:p>
    <w:p>
      <w:pPr>
        <w:pStyle w:val="ListBullet"/>
      </w:pPr>
      <w:r>
        <w:rPr>
          <w:b/>
        </w:rPr>
        <w:t>UI-Änderungen:</w:t>
      </w:r>
      <w:r>
        <w:t xml:space="preserve"> SAP liefert Neuerungen laufend aus. Kacheln, Statusbezeichnungen und Optionsnamen können abweichen. Vor produktiver Dokumentation ist der Stand am Mandanten zu prüfen.</w:t>
      </w:r>
    </w:p>
    <w:p>
      <w:pPr>
        <w:pStyle w:val="Heading2"/>
      </w:pPr>
      <w:r>
        <w:t>6.14 Übersicht: Funktion – Zweck – benötigtes Privileg</w:t>
      </w:r>
    </w:p>
    <w:p>
      <w:r>
        <w:t>Privilegienzuordnung gemäß Standardrollen; die Detailstufen (CRUD) sind nicht verifiziert.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Benötigtes Privileg (Rolle)</w:t>
            </w:r>
          </w:p>
        </w:tc>
      </w:tr>
      <w:tr>
        <w:tc>
          <w:tcPr>
            <w:tcW w:type="dxa" w:w="2880"/>
          </w:tcPr>
          <w:p>
            <w:r>
              <w:t>Data Builder öffnen, Objekte anlegen/ändern/löschen</w:t>
            </w:r>
          </w:p>
        </w:tc>
        <w:tc>
          <w:tcPr>
            <w:tcW w:type="dxa" w:w="2880"/>
          </w:tcPr>
          <w:p>
            <w:r>
              <w:t>Modellierung im Bereich</w:t>
            </w:r>
          </w:p>
        </w:tc>
        <w:tc>
          <w:tcPr>
            <w:tcW w:type="dxa" w:w="2880"/>
          </w:tcPr>
          <w:p>
            <w:r>
              <w:rPr>
                <w:i/>
              </w:rPr>
              <w:t>Data Warehouse Data Builder</w:t>
            </w:r>
            <w:r>
              <w:t xml:space="preserve"> (z. B. </w:t>
            </w:r>
            <w:r>
              <w:rPr>
                <w:i/>
              </w:rPr>
              <w:t>DW Modeler</w:t>
            </w:r>
            <w:r>
              <w:t>) + Bereichsmitgliedschaft</w:t>
            </w:r>
          </w:p>
        </w:tc>
      </w:tr>
      <w:tr>
        <w:tc>
          <w:tcPr>
            <w:tcW w:type="dxa" w:w="2880"/>
          </w:tcPr>
          <w:p>
            <w:r>
              <w:t>Objekte bereitstellen</w:t>
            </w:r>
          </w:p>
        </w:tc>
        <w:tc>
          <w:tcPr>
            <w:tcW w:type="dxa" w:w="2880"/>
          </w:tcPr>
          <w:p>
            <w:r>
              <w:t>Laufzeitobjekte erzeugen</w:t>
            </w:r>
          </w:p>
        </w:tc>
        <w:tc>
          <w:tcPr>
            <w:tcW w:type="dxa" w:w="2880"/>
          </w:tcPr>
          <w:p>
            <w:r>
              <w:rPr>
                <w:i/>
              </w:rPr>
              <w:t>Data Warehouse Data Builder</w:t>
            </w:r>
          </w:p>
        </w:tc>
      </w:tr>
      <w:tr>
        <w:tc>
          <w:tcPr>
            <w:tcW w:type="dxa" w:w="2880"/>
          </w:tcPr>
          <w:p>
            <w:r>
              <w:t>Remote-Tabellen importieren</w:t>
            </w:r>
          </w:p>
        </w:tc>
        <w:tc>
          <w:tcPr>
            <w:tcW w:type="dxa" w:w="2880"/>
          </w:tcPr>
          <w:p>
            <w:r>
              <w:t>Quellobjekte einbinden</w:t>
            </w:r>
          </w:p>
        </w:tc>
        <w:tc>
          <w:tcPr>
            <w:tcW w:type="dxa" w:w="2880"/>
          </w:tcPr>
          <w:p>
            <w:r>
              <w:rPr>
                <w:i/>
              </w:rPr>
              <w:t>Data Warehouse Data Builder</w:t>
            </w:r>
            <w:r>
              <w:t>; Verbindung im Bereich</w:t>
            </w:r>
          </w:p>
        </w:tc>
      </w:tr>
      <w:tr>
        <w:tc>
          <w:tcPr>
            <w:tcW w:type="dxa" w:w="2880"/>
          </w:tcPr>
          <w:p>
            <w:r>
              <w:t>Datenfluss, Transformations-, Replikationsfluss ausführen/einplanen</w:t>
            </w:r>
          </w:p>
        </w:tc>
        <w:tc>
          <w:tcPr>
            <w:tcW w:type="dxa" w:w="2880"/>
          </w:tcPr>
          <w:p>
            <w:r>
              <w:t>Daten laden</w:t>
            </w:r>
          </w:p>
        </w:tc>
        <w:tc>
          <w:tcPr>
            <w:tcW w:type="dxa" w:w="2880"/>
          </w:tcPr>
          <w:p>
            <w:r>
              <w:rPr>
                <w:i/>
              </w:rPr>
              <w:t>Data Integration</w:t>
            </w:r>
            <w:r>
              <w:t xml:space="preserve"> (zusätzlich zu Data Builder)</w:t>
            </w:r>
          </w:p>
        </w:tc>
      </w:tr>
      <w:tr>
        <w:tc>
          <w:tcPr>
            <w:tcW w:type="dxa" w:w="2880"/>
          </w:tcPr>
          <w:p>
            <w:r>
              <w:t>Aufgabenkette ausführen/einplanen</w:t>
            </w:r>
          </w:p>
        </w:tc>
        <w:tc>
          <w:tcPr>
            <w:tcW w:type="dxa" w:w="2880"/>
          </w:tcPr>
          <w:p>
            <w:r>
              <w:t>Orchestrierung</w:t>
            </w:r>
          </w:p>
        </w:tc>
        <w:tc>
          <w:tcPr>
            <w:tcW w:type="dxa" w:w="2880"/>
          </w:tcPr>
          <w:p>
            <w:r>
              <w:rPr>
                <w:i/>
              </w:rPr>
              <w:t>Data Integration</w:t>
            </w:r>
          </w:p>
        </w:tc>
      </w:tr>
      <w:tr>
        <w:tc>
          <w:tcPr>
            <w:tcW w:type="dxa" w:w="2880"/>
          </w:tcPr>
          <w:p>
            <w:r>
              <w:t>View-Persistenz</w:t>
            </w:r>
          </w:p>
        </w:tc>
        <w:tc>
          <w:tcPr>
            <w:tcW w:type="dxa" w:w="2880"/>
          </w:tcPr>
          <w:p>
            <w:r>
              <w:t>Laufzeitoptimierung</w:t>
            </w:r>
          </w:p>
        </w:tc>
        <w:tc>
          <w:tcPr>
            <w:tcW w:type="dxa" w:w="2880"/>
          </w:tcPr>
          <w:p>
            <w:r>
              <w:rPr>
                <w:i/>
              </w:rPr>
              <w:t>Data Integration</w:t>
            </w:r>
          </w:p>
        </w:tc>
      </w:tr>
      <w:tr>
        <w:tc>
          <w:tcPr>
            <w:tcW w:type="dxa" w:w="2880"/>
          </w:tcPr>
          <w:p>
            <w:r>
              <w:t>Datenzugriffskontrolle zuweisen</w:t>
            </w:r>
          </w:p>
        </w:tc>
        <w:tc>
          <w:tcPr>
            <w:tcW w:type="dxa" w:w="2880"/>
          </w:tcPr>
          <w:p>
            <w:r>
              <w:t>Zeilenbasierte Sicherheit</w:t>
            </w:r>
          </w:p>
        </w:tc>
        <w:tc>
          <w:tcPr>
            <w:tcW w:type="dxa" w:w="2880"/>
          </w:tcPr>
          <w:p>
            <w:r>
              <w:rPr>
                <w:i/>
              </w:rPr>
              <w:t>Data Warehouse Data Builder</w:t>
            </w:r>
            <w:r>
              <w:t xml:space="preserve">; Anlage der DAC: </w:t>
            </w:r>
            <w:r>
              <w:rPr>
                <w:i/>
              </w:rPr>
              <w:t>Data Warehouse Data Access Control</w:t>
            </w:r>
            <w:r>
              <w:t xml:space="preserve"> (Kapitel 9)</w:t>
            </w:r>
          </w:p>
        </w:tc>
      </w:tr>
      <w:tr>
        <w:tc>
          <w:tcPr>
            <w:tcW w:type="dxa" w:w="2880"/>
          </w:tcPr>
          <w:p>
            <w:r>
              <w:t>Analysemodell erstellen</w:t>
            </w:r>
          </w:p>
        </w:tc>
        <w:tc>
          <w:tcPr>
            <w:tcW w:type="dxa" w:w="2880"/>
          </w:tcPr>
          <w:p>
            <w:r>
              <w:t>Analytische Nutzung</w:t>
            </w:r>
          </w:p>
        </w:tc>
        <w:tc>
          <w:tcPr>
            <w:tcW w:type="dxa" w:w="2880"/>
          </w:tcPr>
          <w:p>
            <w:r>
              <w:rPr>
                <w:i/>
              </w:rPr>
              <w:t>Data Warehouse Data Builder</w:t>
            </w:r>
          </w:p>
        </w:tc>
      </w:tr>
      <w:tr>
        <w:tc>
          <w:tcPr>
            <w:tcW w:type="dxa" w:w="2880"/>
          </w:tcPr>
          <w:p>
            <w:r>
              <w:t>Intelligentes Nachschlagen</w:t>
            </w:r>
          </w:p>
        </w:tc>
        <w:tc>
          <w:tcPr>
            <w:tcW w:type="dxa" w:w="2880"/>
          </w:tcPr>
          <w:p>
            <w:r>
              <w:t>Datenabgleich ohne Schlüssel</w:t>
            </w:r>
          </w:p>
        </w:tc>
        <w:tc>
          <w:tcPr>
            <w:tcW w:type="dxa" w:w="2880"/>
          </w:tcPr>
          <w:p>
            <w:r>
              <w:rPr>
                <w:i/>
              </w:rPr>
              <w:t>Data Warehouse Data Builder</w:t>
            </w:r>
            <w:r>
              <w:t xml:space="preserve">; Ausführung: </w:t>
            </w:r>
            <w:r>
              <w:rPr>
                <w:i/>
              </w:rPr>
              <w:t>Data Integration</w:t>
            </w:r>
            <w:r>
              <w:t xml:space="preserve"> (nicht verifiziert)</w:t>
            </w:r>
          </w:p>
        </w:tc>
      </w:tr>
      <w:tr>
        <w:tc>
          <w:tcPr>
            <w:tcW w:type="dxa" w:w="2880"/>
          </w:tcPr>
          <w:p>
            <w:r>
              <w:t>CSV/CSN-Import und -Export</w:t>
            </w:r>
          </w:p>
        </w:tc>
        <w:tc>
          <w:tcPr>
            <w:tcW w:type="dxa" w:w="2880"/>
          </w:tcPr>
          <w:p>
            <w:r>
              <w:t>Datenübernahme bzw. Objektkopie</w:t>
            </w:r>
          </w:p>
        </w:tc>
        <w:tc>
          <w:tcPr>
            <w:tcW w:type="dxa" w:w="2880"/>
          </w:tcPr>
          <w:p>
            <w:r>
              <w:rPr>
                <w:i/>
              </w:rPr>
              <w:t>Data Warehouse Data Builder</w:t>
            </w:r>
          </w:p>
        </w:tc>
      </w:tr>
      <w:tr>
        <w:tc>
          <w:tcPr>
            <w:tcW w:type="dxa" w:w="2880"/>
          </w:tcPr>
          <w:p>
            <w:r>
              <w:t>Freigabe an andere Bereiche</w:t>
            </w:r>
          </w:p>
        </w:tc>
        <w:tc>
          <w:tcPr>
            <w:tcW w:type="dxa" w:w="2880"/>
          </w:tcPr>
          <w:p>
            <w:r>
              <w:t>Wiederverwendung</w:t>
            </w:r>
          </w:p>
        </w:tc>
        <w:tc>
          <w:tcPr>
            <w:tcW w:type="dxa" w:w="2880"/>
          </w:tcPr>
          <w:p>
            <w:r>
              <w:rPr>
                <w:i/>
              </w:rPr>
              <w:t>Data Warehouse Data Builder</w:t>
            </w:r>
          </w:p>
        </w:tc>
      </w:tr>
      <w:tr>
        <w:tc>
          <w:tcPr>
            <w:tcW w:type="dxa" w:w="2880"/>
          </w:tcPr>
          <w:p>
            <w:r>
              <w:t>Replikation in Nicht-SAP-Ziele</w:t>
            </w:r>
          </w:p>
        </w:tc>
        <w:tc>
          <w:tcPr>
            <w:tcW w:type="dxa" w:w="2880"/>
          </w:tcPr>
          <w:p>
            <w:r>
              <w:t>Outbound-Integration</w:t>
            </w:r>
          </w:p>
        </w:tc>
        <w:tc>
          <w:tcPr>
            <w:tcW w:type="dxa" w:w="2880"/>
          </w:tcPr>
          <w:p>
            <w:r>
              <w:t>wie Replikationsfluss; ⚠ Premium Outbound Integration erforderlich</w:t>
            </w:r>
          </w:p>
        </w:tc>
      </w:tr>
    </w:tbl>
    <w:p>
      <w:pPr>
        <w:pStyle w:val="Heading1"/>
      </w:pPr>
      <w:r>
        <w:t>7. Business Builder</w:t>
      </w:r>
    </w:p>
    <w:p>
      <w:pPr>
        <w:pStyle w:val="Heading2"/>
      </w:pPr>
      <w:r>
        <w:t>7.1 Zweck und Einordnung</w:t>
      </w:r>
    </w:p>
    <w:p>
      <w:r>
        <w:t>Der Business Builder (</w:t>
      </w:r>
      <w:r>
        <w:rPr>
          <w:i/>
        </w:rPr>
        <w:t>Business Builder</w:t>
      </w:r>
      <w:r>
        <w:t>) ist die fachliche Modellierungsebene von SAP Datasphere. Benutzer mit Modelliererrolle (</w:t>
      </w:r>
      <w:r>
        <w:rPr>
          <w:i/>
        </w:rPr>
        <w:t>DW Modeler</w:t>
      </w:r>
      <w:r>
        <w:t>) verwenden seine Editoren, um Objekte des Data Builders (siehe Kapitel 6) zu kombinieren, zu verfeinern und mit Semantik anzureichern. Daraus entstehen schlanke, eng zugeschnittene Perspektiven (</w:t>
      </w:r>
      <w:r>
        <w:rPr>
          <w:i/>
        </w:rPr>
        <w:t>Perspectives</w:t>
      </w:r>
      <w:r>
        <w:t>), die SAP Analytics Cloud und Microsoft Excel nutzen können.</w:t>
      </w:r>
    </w:p>
    <w:p>
      <w:r>
        <w:t>Die Objekte des Business Builders bauen auf den Data-Builder-Objekten der Datenschicht auf und verbergen deren technische Details. So beantwortet die Ebene die Frage, wie Fachanwender Daten verstehen, miteinander verknüpfen und kombinieren können. Die vorgesehene Objektkette lautet:</w:t>
      </w:r>
    </w:p>
    <w:p>
      <w:pPr>
        <w:pStyle w:val="ListNumber"/>
      </w:pPr>
      <w:r>
        <w:t>Geschäftsentität (</w:t>
      </w:r>
      <w:r>
        <w:rPr>
          <w:i/>
        </w:rPr>
        <w:t>Business Entity</w:t>
      </w:r>
      <w:r>
        <w:t>) als Dimension oder Fakt, auf Basis einer Data-Builder-Tabelle oder -View,</w:t>
      </w:r>
    </w:p>
    <w:p>
      <w:pPr>
        <w:pStyle w:val="ListNumber"/>
      </w:pPr>
      <w:r>
        <w:t>optional ein Faktenmodell (</w:t>
      </w:r>
      <w:r>
        <w:rPr>
          <w:i/>
        </w:rPr>
        <w:t>Fact Model</w:t>
      </w:r>
      <w:r>
        <w:t>) als wiederverwendbare Zwischenschicht,</w:t>
      </w:r>
    </w:p>
    <w:p>
      <w:pPr>
        <w:pStyle w:val="ListNumber"/>
      </w:pPr>
      <w:r>
        <w:t>Verbrauchsmodell (</w:t>
      </w:r>
      <w:r>
        <w:rPr>
          <w:i/>
        </w:rPr>
        <w:t>Consumption Model</w:t>
      </w:r>
      <w:r>
        <w:t>) mit einer oder mehreren Perspektiven als Objekt für das Reporting,</w:t>
      </w:r>
    </w:p>
    <w:p>
      <w:pPr>
        <w:pStyle w:val="ListNumber"/>
      </w:pPr>
      <w:r>
        <w:t>optional Berechtigungsszenarien (</w:t>
      </w:r>
      <w:r>
        <w:rPr>
          <w:i/>
        </w:rPr>
        <w:t>Authorization Scenarios</w:t>
      </w:r>
      <w:r>
        <w:t>) zur Einschränkung der Daten je Benutzerkontext.</w:t>
      </w:r>
    </w:p>
    <w:p>
      <w:r>
        <w:t>Die SAP-Dokumentation zeigt das an einem Beispiel: Ein Vertriebscontrolling legt die Geschäftsentitäten Zeit, Absatzquote, Produkt und Vertriebspipeline an und verbindet sie mit Data-Builder-Objekten. Darauf aufbauend entsteht ein Faktenmodell „Pipeline-Abdeckung“, das in weiteren Analysen wiederverwendet werden kann.</w:t>
      </w:r>
    </w:p>
    <w:p>
      <w:r>
        <w:rPr>
          <w:b/>
        </w:rPr>
        <w:t>Status gegenüber dem Analytic Model:</w:t>
      </w:r>
      <w:r>
        <w:t xml:space="preserve"> Siehe Abschnitt 7.7. Bevor Sie neu modellieren, sollten Sie diesen Abschnitt lesen.</w:t>
      </w:r>
    </w:p>
    <w:p>
      <w:pPr>
        <w:pStyle w:val="Heading2"/>
      </w:pPr>
      <w:r>
        <w:t>7.2 Aufruf und Navigation</w:t>
      </w:r>
    </w:p>
    <w:p>
      <w:pPr>
        <w:pStyle w:val="ListBullet"/>
      </w:pPr>
      <w:r>
        <w:rPr>
          <w:b/>
        </w:rPr>
        <w:t>Seitenleiste:</w:t>
      </w:r>
      <w:r>
        <w:t xml:space="preserve"> Der Business Builder wird über den gleichnamigen Eintrag in der Seitenleiste geöffnet. Danach wählen Sie gegebenenfalls einen Bereich (</w:t>
      </w:r>
      <w:r>
        <w:rPr>
          <w:i/>
        </w:rPr>
        <w:t>Space</w:t>
      </w:r>
      <w:r>
        <w:t>) aus. Seitenleiste und Bereichsauswahl sind in Kapitel 2 beschrieben, die Bereiche selbst in Kapitel 4.</w:t>
      </w:r>
    </w:p>
    <w:p>
      <w:pPr>
        <w:pStyle w:val="ListBullet"/>
      </w:pPr>
      <w:r>
        <w:rPr>
          <w:b/>
        </w:rPr>
        <w:t>Rolle:</w:t>
      </w:r>
      <w:r>
        <w:t xml:space="preserve"> Laut Dokumentation sind die Editoren für Benutzer mit der Rolle </w:t>
      </w:r>
      <w:r>
        <w:rPr>
          <w:i/>
        </w:rPr>
        <w:t>DW Modeler</w:t>
      </w:r>
      <w:r>
        <w:t xml:space="preserve"> bzw. einer anderen Modelliererrolle vorgesehen. Rollen werden wie in Kapitel 3 beschrieben vergeben.</w:t>
      </w:r>
    </w:p>
    <w:p>
      <w:pPr>
        <w:pStyle w:val="ListBullet"/>
      </w:pPr>
      <w:r>
        <w:rPr>
          <w:b/>
        </w:rPr>
        <w:t>Privilegien:</w:t>
      </w:r>
      <w:r>
        <w:t xml:space="preserve"> Die Dokumentation nennt mindestens folgende Privilegien:</w:t>
      </w:r>
    </w:p>
    <w:p>
      <w:pPr>
        <w:pStyle w:val="ListBullet"/>
      </w:pPr>
      <w:r>
        <w:rPr>
          <w:i/>
        </w:rPr>
        <w:t>Data Warehouse General</w:t>
      </w:r>
      <w:r>
        <w:t xml:space="preserve"> (-R------) für den Zugang zu SAP Datasphere,</w:t>
      </w:r>
    </w:p>
    <w:p>
      <w:pPr>
        <w:pStyle w:val="ListBullet"/>
      </w:pPr>
      <w:r>
        <w:rPr>
          <w:i/>
        </w:rPr>
        <w:t>Data Warehouse Business Builder</w:t>
      </w:r>
      <w:r>
        <w:t xml:space="preserve"> (CRUD----) zum Anlegen, Bearbeiten und Löschen von Business-Builder-Objekten,</w:t>
      </w:r>
    </w:p>
    <w:p>
      <w:pPr>
        <w:pStyle w:val="ListBullet"/>
      </w:pPr>
      <w:r>
        <w:rPr>
          <w:i/>
        </w:rPr>
        <w:t>Data Warehouse Consumption Model</w:t>
      </w:r>
      <w:r>
        <w:t xml:space="preserve"> (CRUD----) zum Anlegen, Bearbeiten und Löschen von Verbrauchsmodellen.</w:t>
      </w:r>
    </w:p>
    <w:p>
      <w:pPr>
        <w:pStyle w:val="ListBullet"/>
      </w:pPr>
      <w:r>
        <w:rPr>
          <w:b/>
        </w:rPr>
        <w:t>Bereichsmitgliedschaft:</w:t>
      </w:r>
      <w:r>
        <w:t xml:space="preserve"> Der Benutzer muss Mitglied des Bereichs sein. Das wird in Kapitel 4 behandelt.</w:t>
      </w:r>
    </w:p>
    <w:p>
      <w:pPr>
        <w:pStyle w:val="Heading2"/>
      </w:pPr>
      <w:r>
        <w:t>7.3 Aufbau der Oberfläche</w:t>
      </w:r>
    </w:p>
    <w:p>
      <w:pPr>
        <w:pStyle w:val="Heading3"/>
      </w:pPr>
      <w:r>
        <w:t>7.3.1 Startseite des Business Builders</w:t>
      </w:r>
    </w:p>
    <w:p>
      <w:r>
        <w:t>Die Startseite (</w:t>
      </w:r>
      <w:r>
        <w:rPr>
          <w:i/>
        </w:rPr>
        <w:t>Business Builder Start Page</w:t>
      </w:r>
      <w:r>
        <w:t>) listet alle Business-Builder-Objekte des gewählten Bereichs auf. Laut Dokumentation stehen dort folgende Funktionen zur Verfügung:</w:t>
      </w:r>
    </w:p>
    <w:tbl>
      <w:tblPr>
        <w:tblStyle w:val="TableGrid"/>
        <w:tblW w:type="auto" w:w="0"/>
        <w:tblLook w:firstColumn="1" w:firstRow="1" w:lastColumn="0" w:lastRow="0" w:noHBand="0" w:noVBand="1" w:val="04A0"/>
      </w:tblPr>
      <w:tblGrid>
        <w:gridCol w:w="4320"/>
        <w:gridCol w:w="4320"/>
      </w:tblGrid>
      <w:tr>
        <w:tc>
          <w:tcPr>
            <w:tcW w:type="dxa" w:w="4320"/>
          </w:tcPr>
          <w:p>
            <w:r>
              <w:rPr>
                <w:b/>
              </w:rPr>
              <w:t>Funktion</w:t>
            </w:r>
          </w:p>
        </w:tc>
        <w:tc>
          <w:tcPr>
            <w:tcW w:type="dxa" w:w="4320"/>
          </w:tcPr>
          <w:p>
            <w:r>
              <w:rPr>
                <w:b/>
              </w:rPr>
              <w:t>Beschreibung laut Dokumentation</w:t>
            </w:r>
          </w:p>
        </w:tc>
      </w:tr>
      <w:tr>
        <w:tc>
          <w:tcPr>
            <w:tcW w:type="dxa" w:w="4320"/>
          </w:tcPr>
          <w:p>
            <w:r>
              <w:t>Filtern und Sortieren</w:t>
            </w:r>
          </w:p>
        </w:tc>
        <w:tc>
          <w:tcPr>
            <w:tcW w:type="dxa" w:w="4320"/>
          </w:tcPr>
          <w:p>
            <w:r>
              <w:t>über das Kontextmenü der Objektliste</w:t>
            </w:r>
          </w:p>
        </w:tc>
      </w:tr>
      <w:tr>
        <w:tc>
          <w:tcPr>
            <w:tcW w:type="dxa" w:w="4320"/>
          </w:tcPr>
          <w:p>
            <w:r>
              <w:t>Neues Objekt</w:t>
            </w:r>
          </w:p>
        </w:tc>
        <w:tc>
          <w:tcPr>
            <w:tcW w:type="dxa" w:w="4320"/>
          </w:tcPr>
          <w:p>
            <w:r>
              <w:t>direkt über das Symbol (</w:t>
            </w:r>
            <w:r>
              <w:rPr>
                <w:i/>
              </w:rPr>
              <w:t>Add</w:t>
            </w:r>
            <w:r>
              <w:t>)</w:t>
            </w:r>
          </w:p>
        </w:tc>
      </w:tr>
      <w:tr>
        <w:tc>
          <w:tcPr>
            <w:tcW w:type="dxa" w:w="4320"/>
          </w:tcPr>
          <w:p>
            <w:r>
              <w:t>Ordner</w:t>
            </w:r>
          </w:p>
        </w:tc>
        <w:tc>
          <w:tcPr>
            <w:tcW w:type="dxa" w:w="4320"/>
          </w:tcPr>
          <w:p>
            <w:r>
              <w:t>eigene Ordner zur Gliederung anlegen; Objekte markieren und über (</w:t>
            </w:r>
            <w:r>
              <w:rPr>
                <w:i/>
              </w:rPr>
              <w:t>Folder</w:t>
            </w:r>
            <w:r>
              <w:t xml:space="preserve">) → </w:t>
            </w:r>
            <w:r>
              <w:rPr>
                <w:i/>
              </w:rPr>
              <w:t>Move</w:t>
            </w:r>
            <w:r>
              <w:t xml:space="preserve"> in einen Zielordner verschieben</w:t>
            </w:r>
          </w:p>
        </w:tc>
      </w:tr>
      <w:tr>
        <w:tc>
          <w:tcPr>
            <w:tcW w:type="dxa" w:w="4320"/>
          </w:tcPr>
          <w:p>
            <w:r>
              <w:t>Modell kopieren</w:t>
            </w:r>
          </w:p>
        </w:tc>
        <w:tc>
          <w:tcPr>
            <w:tcW w:type="dxa" w:w="4320"/>
          </w:tcPr>
          <w:p>
            <w:r>
              <w:t>Faktenmodelle und Verbrauchsmodelle markieren und über (</w:t>
            </w:r>
            <w:r>
              <w:rPr>
                <w:i/>
              </w:rPr>
              <w:t>Copy model</w:t>
            </w:r>
            <w:r>
              <w:t>) duplizieren</w:t>
            </w:r>
          </w:p>
        </w:tc>
      </w:tr>
      <w:tr>
        <w:tc>
          <w:tcPr>
            <w:tcW w:type="dxa" w:w="4320"/>
          </w:tcPr>
          <w:p>
            <w:r>
              <w:t>Löschen</w:t>
            </w:r>
          </w:p>
        </w:tc>
        <w:tc>
          <w:tcPr>
            <w:tcW w:type="dxa" w:w="4320"/>
          </w:tcPr>
          <w:p>
            <w:r>
              <w:t>ein oder mehrere markierte Objekte über (</w:t>
            </w:r>
            <w:r>
              <w:rPr>
                <w:i/>
              </w:rPr>
              <w:t>Delete</w:t>
            </w:r>
            <w:r>
              <w:t>) löschen</w:t>
            </w:r>
          </w:p>
        </w:tc>
      </w:tr>
    </w:tbl>
    <w:p>
      <w:r>
        <w:t xml:space="preserve">Für Geschäftsentitäten nennt die Dokumentation die Einstiege </w:t>
      </w:r>
      <w:r>
        <w:rPr>
          <w:i/>
        </w:rPr>
        <w:t>New Dimension</w:t>
      </w:r>
      <w:r>
        <w:t xml:space="preserve"> und </w:t>
      </w:r>
      <w:r>
        <w:rPr>
          <w:i/>
        </w:rPr>
        <w:t>New Fact</w:t>
      </w:r>
      <w:r>
        <w:t xml:space="preserve">. Auf der Startseite gibt es außerdem Einstiege für Faktenmodelle, Verbrauchsmodelle und Berechtigungsszenarien. Deren genaue Beschriftung ist </w:t>
      </w:r>
      <w:r>
        <w:rPr>
          <w:b/>
        </w:rPr>
        <w:t>nicht verifiziert</w:t>
      </w:r>
      <w:r>
        <w:t>. SAP ändert die Oberfläche quartalsweise, deshalb sollten Sie die Kachel- und Schaltflächentexte im eigenen Mandanten prüfen.</w:t>
      </w:r>
    </w:p>
    <w:p>
      <w:pPr>
        <w:pStyle w:val="Heading3"/>
      </w:pPr>
      <w:r>
        <w:t>7.3.2 Aufbau der Editoren</w:t>
      </w:r>
    </w:p>
    <w:p>
      <w:r>
        <w:t>Jeder Objekttyp hat einen eigenen Editor mit Registerkarten. Folgende Registerkarten sind belegt:</w:t>
      </w:r>
    </w:p>
    <w:p>
      <w:pPr>
        <w:pStyle w:val="ListBullet"/>
      </w:pPr>
      <w:r>
        <w:t xml:space="preserve">im Verbrauchsmodell die Registerkarte </w:t>
      </w:r>
      <w:r>
        <w:rPr>
          <w:i/>
        </w:rPr>
        <w:t>Perspectives</w:t>
      </w:r>
      <w:r>
        <w:t>,</w:t>
      </w:r>
    </w:p>
    <w:p>
      <w:pPr>
        <w:pStyle w:val="ListBullet"/>
      </w:pPr>
      <w:r>
        <w:t xml:space="preserve">in Geschäftsentitäten die Registerkarte </w:t>
      </w:r>
      <w:r>
        <w:rPr>
          <w:i/>
        </w:rPr>
        <w:t>Authorization Scenario</w:t>
      </w:r>
      <w:r>
        <w:t>.</w:t>
      </w:r>
    </w:p>
    <w:p>
      <w:r>
        <w:t>Für Filter gibt es zwei Editoren: einen erweiterten Editor (</w:t>
      </w:r>
      <w:r>
        <w:rPr>
          <w:i/>
        </w:rPr>
        <w:t>Advanced editor</w:t>
      </w:r>
      <w:r>
        <w:t>), in dem Sie Ausdrücke aus Elementen, Werten und Operatoren selbst zusammensetzen, und einen einfachen Editor (</w:t>
      </w:r>
      <w:r>
        <w:rPr>
          <w:i/>
        </w:rPr>
        <w:t>Simple editor</w:t>
      </w:r>
      <w:r>
        <w:t xml:space="preserve">), der Sie als Assistent durch die Schritte führt. Weitere Registerkarten und die Anordnung des Eigenschaftsbereichs sind </w:t>
      </w:r>
      <w:r>
        <w:rPr>
          <w:b/>
        </w:rPr>
        <w:t>nicht verifiziert</w:t>
      </w:r>
      <w:r>
        <w:t>.</w:t>
      </w:r>
    </w:p>
    <w:p>
      <w:pPr>
        <w:pStyle w:val="Heading2"/>
      </w:pPr>
      <w:r>
        <w:t>7.4 Funktionen</w:t>
      </w:r>
    </w:p>
    <w:p>
      <w:pPr>
        <w:pStyle w:val="Heading3"/>
      </w:pPr>
      <w:r>
        <w:t>7.4.1 Geschäftsentitäten: Dimension und Fakt</w:t>
      </w:r>
    </w:p>
    <w:p>
      <w:r>
        <w:rPr>
          <w:b/>
        </w:rPr>
        <w:t>Was:</w:t>
      </w:r>
      <w:r>
        <w:t xml:space="preserve"> Eine Geschäftsentität ist die fachliche Darstellung eines Data-Builder-Objekts. Sie wird entweder als </w:t>
      </w:r>
      <w:r>
        <w:rPr>
          <w:b/>
        </w:rPr>
        <w:t>Dimension</w:t>
      </w:r>
      <w:r>
        <w:t xml:space="preserve"> oder als </w:t>
      </w:r>
      <w:r>
        <w:rPr>
          <w:b/>
        </w:rPr>
        <w:t>Fakt</w:t>
      </w:r>
      <w:r>
        <w:t xml:space="preserve"> modelliert:</w:t>
      </w:r>
    </w:p>
    <w:p>
      <w:pPr>
        <w:pStyle w:val="ListBullet"/>
      </w:pPr>
      <w:r>
        <w:t xml:space="preserve">Dimensionen enthalten in der Regel Stammdaten und </w:t>
      </w:r>
      <w:r>
        <w:rPr>
          <w:b/>
        </w:rPr>
        <w:t>müssen einen Schlüssel haben</w:t>
      </w:r>
      <w:r>
        <w:t>.</w:t>
      </w:r>
    </w:p>
    <w:p>
      <w:pPr>
        <w:pStyle w:val="ListBullet"/>
      </w:pPr>
      <w:r>
        <w:t xml:space="preserve">Fakten enthalten in der Regel Bewegungsdaten und </w:t>
      </w:r>
      <w:r>
        <w:rPr>
          <w:b/>
        </w:rPr>
        <w:t>müssen mindestens eine Kennzahl (*Measure*) haben</w:t>
      </w:r>
      <w:r>
        <w:t>.</w:t>
      </w:r>
    </w:p>
    <w:p>
      <w:r>
        <w:rPr>
          <w:b/>
        </w:rPr>
        <w:t>Wofür:</w:t>
      </w:r>
      <w:r>
        <w:t xml:space="preserve"> Die Geschäftsentität entkoppelt das Fachmodell von der technischen Datenschicht. Eine Entität kann in mehreren Verbrauchsmodellen verwendet werden. Je nach Berichtskontext fügen Sie dort Kennzahlen und Attribute hinzu oder entfernen sie.</w:t>
      </w:r>
    </w:p>
    <w:p>
      <w:r>
        <w:rPr>
          <w:b/>
        </w:rPr>
        <w:t>Wichtigste Optionen:</w:t>
      </w:r>
    </w:p>
    <w:p>
      <w:pPr>
        <w:pStyle w:val="ListBullet"/>
      </w:pPr>
      <w:r>
        <w:rPr>
          <w:b/>
        </w:rPr>
        <w:t>Quelle:</w:t>
      </w:r>
      <w:r>
        <w:t xml:space="preserve"> Tabellen oder Views aus dem Data Builder. Beim Anlegen wählen Sie aus, welche Eigenschaften aus der Quelle übernommen werden.</w:t>
      </w:r>
    </w:p>
    <w:p>
      <w:pPr>
        <w:pStyle w:val="ListBullet"/>
      </w:pPr>
      <w:r>
        <w:rPr>
          <w:b/>
        </w:rPr>
        <w:t>Vereinfachen:</w:t>
      </w:r>
      <w:r>
        <w:t xml:space="preserve"> Nicht benötigte Kennzahlen und Attribute können Sie entfernen, um die Entität auf einen bestimmten Berichtsbedarf zuzuschneiden.</w:t>
      </w:r>
    </w:p>
    <w:p>
      <w:pPr>
        <w:pStyle w:val="ListBullet"/>
      </w:pPr>
      <w:r>
        <w:rPr>
          <w:b/>
        </w:rPr>
        <w:t>Status:</w:t>
      </w:r>
      <w:r>
        <w:t xml:space="preserve"> Wenn die Definition fertig ist, setzen Sie den Status der Version auf </w:t>
      </w:r>
      <w:r>
        <w:rPr>
          <w:i/>
        </w:rPr>
        <w:t>Ready to Use</w:t>
      </w:r>
      <w:r>
        <w:t xml:space="preserve"> (siehe 7.4.7).</w:t>
      </w:r>
    </w:p>
    <w:p>
      <w:pPr>
        <w:pStyle w:val="Heading3"/>
      </w:pPr>
      <w:r>
        <w:t>7.4.2 Attribute und Kennzahlen</w:t>
      </w:r>
    </w:p>
    <w:p>
      <w:r>
        <w:t>Attribute (</w:t>
      </w:r>
      <w:r>
        <w:rPr>
          <w:i/>
        </w:rPr>
        <w:t>Attributes</w:t>
      </w:r>
      <w:r>
        <w:t>) beschreiben Merkmale. Kennzahlen (</w:t>
      </w:r>
      <w:r>
        <w:rPr>
          <w:i/>
        </w:rPr>
        <w:t>Measures</w:t>
      </w:r>
      <w:r>
        <w:t xml:space="preserve">) sind die aggregierbaren Werte. Die aktuelle Dokumentation verwendet in den belegten Auszügen den Begriff </w:t>
      </w:r>
      <w:r>
        <w:rPr>
          <w:i/>
        </w:rPr>
        <w:t>Measures</w:t>
      </w:r>
      <w:r>
        <w:t xml:space="preserve">. Ob die Oberfläche an einzelnen Stellen noch </w:t>
      </w:r>
      <w:r>
        <w:rPr>
          <w:i/>
        </w:rPr>
        <w:t>Key Figures</w:t>
      </w:r>
      <w:r>
        <w:t xml:space="preserve"> anzeigt, ist </w:t>
      </w:r>
      <w:r>
        <w:rPr>
          <w:b/>
        </w:rPr>
        <w:t>nicht verifiziert</w:t>
      </w:r>
      <w:r>
        <w:t>.</w:t>
      </w:r>
    </w:p>
    <w:p>
      <w:r>
        <w:t xml:space="preserve">In Faktenmodellen können Attribute entweder auf Attribute der eingebundenen Fakt- oder Dimensionsquellen verweisen oder aus anderen Attributen des Faktenmodells </w:t>
      </w:r>
      <w:r>
        <w:rPr>
          <w:b/>
        </w:rPr>
        <w:t>berechnet</w:t>
      </w:r>
      <w:r>
        <w:t xml:space="preserve"> werden. Für berechnete und eingeschränkte Kennzahlen im Verbrauchsmodell fehlt eine abgesicherte Beschreibung der Optionen. Sie ist </w:t>
      </w:r>
      <w:r>
        <w:rPr>
          <w:b/>
        </w:rPr>
        <w:t>nicht verifiziert</w:t>
      </w:r>
      <w:r>
        <w:t>.</w:t>
      </w:r>
    </w:p>
    <w:p>
      <w:pPr>
        <w:pStyle w:val="Heading3"/>
      </w:pPr>
      <w:r>
        <w:t>7.4.3 Assoziationen</w:t>
      </w:r>
    </w:p>
    <w:p>
      <w:r>
        <w:t>Eine Assoziation (</w:t>
      </w:r>
      <w:r>
        <w:rPr>
          <w:i/>
        </w:rPr>
        <w:t>Association</w:t>
      </w:r>
      <w:r>
        <w:t xml:space="preserve">) beschreibt eine Beziehung zwischen Geschäftsentitäten. Assoziierte Geschäftsentitäten stehen beim Anlegen eines Verbrauchsmodells </w:t>
      </w:r>
      <w:r>
        <w:rPr>
          <w:b/>
        </w:rPr>
        <w:t>als Dimensionen zur Verfügung</w:t>
      </w:r>
      <w:r>
        <w:t>.</w:t>
      </w:r>
    </w:p>
    <w:p>
      <w:r>
        <w:t>Laut SAP können alle möglichen Assoziationsziele schon in der Datenschicht (Data Builder, siehe Kapitel 6) vordefiniert werden. Fachanwender haben dann beim Aufbau ihres anwendungsfallspezifischen Verbrauchsmodells verschiedene Modellierungsoptionen zur Auswahl.</w:t>
      </w:r>
    </w:p>
    <w:p>
      <w:pPr>
        <w:pStyle w:val="Heading3"/>
      </w:pPr>
      <w:r>
        <w:t>7.4.4 Faktenmodelle</w:t>
      </w:r>
    </w:p>
    <w:p>
      <w:r>
        <w:rPr>
          <w:b/>
        </w:rPr>
        <w:t>Was:</w:t>
      </w:r>
      <w:r>
        <w:t xml:space="preserve"> Ein Faktenmodell ist eine optionale Zwischenschicht. Es fasst Geschäftsentitäten zusammen und dient als Quelle für </w:t>
      </w:r>
      <w:r>
        <w:rPr>
          <w:b/>
        </w:rPr>
        <w:t>mehrere</w:t>
      </w:r>
      <w:r>
        <w:t xml:space="preserve"> Verbrauchsmodelle.</w:t>
      </w:r>
    </w:p>
    <w:p>
      <w:r>
        <w:rPr>
          <w:b/>
        </w:rPr>
        <w:t>Wofür:</w:t>
      </w:r>
      <w:r>
        <w:t xml:space="preserve"> Es macht Kombinationen wiederverwendbar, die für mehrere Anwendungsfälle im selben fachlichen Kontext gelten.</w:t>
      </w:r>
    </w:p>
    <w:p>
      <w:r>
        <w:rPr>
          <w:b/>
        </w:rPr>
        <w:t>Wichtigste Optionen:</w:t>
      </w:r>
    </w:p>
    <w:p>
      <w:pPr>
        <w:pStyle w:val="ListBullet"/>
      </w:pPr>
      <w:r>
        <w:rPr>
          <w:b/>
        </w:rPr>
        <w:t>Erste Faktquelle:</w:t>
      </w:r>
      <w:r>
        <w:t xml:space="preserve"> Laut Dokumentation sind Analytical Datasets, Dimensionen und Faktenmodelle möglich. Für die Quelle wird ein Alias vergeben. Faktenmodelle lassen sich also verschachteln.</w:t>
      </w:r>
    </w:p>
    <w:p>
      <w:pPr>
        <w:pStyle w:val="ListBullet"/>
      </w:pPr>
      <w:r>
        <w:rPr>
          <w:b/>
        </w:rPr>
        <w:t>Kennzahlen und Attribute:</w:t>
      </w:r>
      <w:r>
        <w:t xml:space="preserve"> Sie können einbezogen oder entfernt werden, damit das Faktenmodell mehrere Anwendungsfälle im selben Geschäftskontext abdeckt.</w:t>
      </w:r>
    </w:p>
    <w:p>
      <w:pPr>
        <w:pStyle w:val="ListBullet"/>
      </w:pPr>
      <w:r>
        <w:rPr>
          <w:b/>
        </w:rPr>
        <w:t>Berechnete Attribute:</w:t>
      </w:r>
      <w:r>
        <w:t xml:space="preserve"> siehe 7.4.2.</w:t>
      </w:r>
    </w:p>
    <w:p>
      <w:r>
        <w:t xml:space="preserve">Hinweis: Die semantische Verwendung </w:t>
      </w:r>
      <w:r>
        <w:rPr>
          <w:i/>
        </w:rPr>
        <w:t>Analytical Dataset</w:t>
      </w:r>
      <w:r>
        <w:t xml:space="preserve"> ist laut SAP veraltet (</w:t>
      </w:r>
      <w:r>
        <w:rPr>
          <w:i/>
        </w:rPr>
        <w:t>deprecated</w:t>
      </w:r>
      <w:r>
        <w:t xml:space="preserve">). SAP empfiehlt, sie auf </w:t>
      </w:r>
      <w:r>
        <w:rPr>
          <w:i/>
        </w:rPr>
        <w:t>Fact</w:t>
      </w:r>
      <w:r>
        <w:t xml:space="preserve"> umzustellen (siehe Kapitel 6 und 7.7).</w:t>
      </w:r>
    </w:p>
    <w:p>
      <w:pPr>
        <w:pStyle w:val="Heading3"/>
      </w:pPr>
      <w:r>
        <w:t>7.4.5 Verbrauchsmodelle und Perspektiven</w:t>
      </w:r>
    </w:p>
    <w:p>
      <w:r>
        <w:rPr>
          <w:b/>
        </w:rPr>
        <w:t>Verbrauchsmodell:</w:t>
      </w:r>
      <w:r>
        <w:t xml:space="preserve"> Es kombiniert Fakt- und Dimensionsquellen, also Geschäftsentitäten und Faktenmodelle. So ermöglicht es ein einheitliches Reporting über die Kennzahlen und Attribute aller eingebundenen Quellen.</w:t>
      </w:r>
    </w:p>
    <w:p>
      <w:r>
        <w:rPr>
          <w:b/>
        </w:rPr>
        <w:t>Perspektive:</w:t>
      </w:r>
      <w:r>
        <w:t xml:space="preserve"> Das eigentliche Objekt für das Reporting ist die Perspektive. Sie wird im Editor des Verbrauchsmodells definiert. Es gibt zwei Wege:</w:t>
      </w:r>
    </w:p>
    <w:p>
      <w:pPr>
        <w:pStyle w:val="ListBullet"/>
      </w:pPr>
      <w:r>
        <w:t xml:space="preserve">in der Registerkarte </w:t>
      </w:r>
      <w:r>
        <w:rPr>
          <w:i/>
        </w:rPr>
        <w:t>Perspectives</w:t>
      </w:r>
      <w:r>
        <w:t xml:space="preserve"> des Verbrauchsmodells oder</w:t>
      </w:r>
    </w:p>
    <w:p>
      <w:pPr>
        <w:pStyle w:val="ListBullet"/>
      </w:pPr>
      <w:r>
        <w:t>über die Datenvorschau (</w:t>
      </w:r>
      <w:r>
        <w:rPr>
          <w:i/>
        </w:rPr>
        <w:t>Data Preview</w:t>
      </w:r>
      <w:r>
        <w:t>), deren Ergebnis als Perspektive gespeichert wird.</w:t>
      </w:r>
    </w:p>
    <w:p>
      <w:r>
        <w:t xml:space="preserve">Mit Perspektiven werden Stories in SAP Analytics Cloud erstellt. Über eine Live-Verbindung kann SAP Analytics Cloud Daten nutzen, die als </w:t>
      </w:r>
      <w:r>
        <w:rPr>
          <w:b/>
        </w:rPr>
        <w:t>Analytic Models und Perspektiven</w:t>
      </w:r>
      <w:r>
        <w:t xml:space="preserve"> bereitgestellt werden (Details siehe Kapitel 12). Laut Dokumentation ist auch Microsoft Excel ein Zielwerkzeug.</w:t>
      </w:r>
    </w:p>
    <w:p>
      <w:r>
        <w:rPr>
          <w:b/>
        </w:rPr>
        <w:t>Filter:</w:t>
      </w:r>
      <w:r>
        <w:t xml:space="preserve"> Sie werden mit dem erweiterten oder dem einfachen Editor definiert (siehe 7.3.2). An welchen Stellen genau (Verbrauchsmodell, Perspektive) Filter gesetzt werden können, ist </w:t>
      </w:r>
      <w:r>
        <w:rPr>
          <w:b/>
        </w:rPr>
        <w:t>nicht verifiziert</w:t>
      </w:r>
      <w:r>
        <w:t>.</w:t>
      </w:r>
    </w:p>
    <w:p>
      <w:pPr>
        <w:pStyle w:val="Heading3"/>
      </w:pPr>
      <w:r>
        <w:t>7.4.6 Berechtigungsszenarien</w:t>
      </w:r>
    </w:p>
    <w:p>
      <w:r>
        <w:rPr>
          <w:b/>
        </w:rPr>
        <w:t>Was:</w:t>
      </w:r>
      <w:r>
        <w:t xml:space="preserve"> Mit Berechtigungsszenarien legen Modellierer fest, welche Daten im Kontext eines Benutzers relevant sind. Ein Beispiel ist eine Führungskraft, die die Daten ihrer Mitarbeiter sehen soll.</w:t>
      </w:r>
    </w:p>
    <w:p>
      <w:r>
        <w:rPr>
          <w:b/>
        </w:rPr>
        <w:t>Funktionsweise:</w:t>
      </w:r>
      <w:r>
        <w:t xml:space="preserve"> Szenarien filtern die Daten von Geschäftsentitäten und deren Teilmengen. Grundlage sind </w:t>
      </w:r>
      <w:r>
        <w:rPr>
          <w:b/>
        </w:rPr>
        <w:t>bestehende Datenzugriffssteuerungen</w:t>
      </w:r>
      <w:r>
        <w:t xml:space="preserve"> (</w:t>
      </w:r>
      <w:r>
        <w:rPr>
          <w:i/>
        </w:rPr>
        <w:t>Data Access Controls</w:t>
      </w:r>
      <w:r>
        <w:t xml:space="preserve">) aus dem Data Builder (siehe Kapitel 6 und Kapitel 9). Ein Szenario wird über Geschäftsentitäten bereitgestellt und kann in Verbrauchsmodellen für bestimmte Anwendungsfälle genutzt werden. Im Business Builder lassen sich Szenarien </w:t>
      </w:r>
      <w:r>
        <w:rPr>
          <w:b/>
        </w:rPr>
        <w:t>anlegen, zuordnen und verwenden</w:t>
      </w:r>
      <w:r>
        <w:t>.</w:t>
      </w:r>
    </w:p>
    <w:p>
      <w:r>
        <w:rPr>
          <w:b/>
        </w:rPr>
        <w:t>Zuordnung:</w:t>
      </w:r>
      <w:r>
        <w:t xml:space="preserve"> In der Registerkarte </w:t>
      </w:r>
      <w:r>
        <w:rPr>
          <w:i/>
        </w:rPr>
        <w:t>Authorization Scenario</w:t>
      </w:r>
      <w:r>
        <w:t xml:space="preserve"> der Geschäftsentität klicken Sie auf </w:t>
      </w:r>
      <w:r>
        <w:rPr>
          <w:i/>
        </w:rPr>
        <w:t>Add</w:t>
      </w:r>
      <w:r>
        <w:t xml:space="preserve"> und wählen das Szenario aus. Sie können ein oder mehrere Szenarien hinzufügen und die für den Anwendungsfall passenden verwenden.</w:t>
      </w:r>
    </w:p>
    <w:p>
      <w:pPr>
        <w:pStyle w:val="Heading3"/>
      </w:pPr>
      <w:r>
        <w:t>7.4.7 Versionierung, Status und Aktivierung</w:t>
      </w:r>
    </w:p>
    <w:p>
      <w:r>
        <w:rPr>
          <w:b/>
        </w:rPr>
        <w:t>Versionen:</w:t>
      </w:r>
      <w:r>
        <w:t xml:space="preserve"> Mit Versionen rollen Sie Änderungen an einem Objekt aus, ohne die abhängigen Faktenmodelle, Verbrauchsmodelle oder Perspektiven sofort zu beeinträchtigen oder zu beschädigen. Dazu leiten Sie von einem Objekt Versionen ab.</w:t>
      </w:r>
    </w:p>
    <w:p>
      <w:r>
        <w:rPr>
          <w:b/>
        </w:rPr>
        <w:t>Status:</w:t>
      </w:r>
      <w:r>
        <w:t xml:space="preserve"> Jede Version hat einen eigenen Lebenszyklus, der durch einen Status abgebildet wird. Status und Versionsbeschreibung zeigen zusammen an, ob eine Version zur Nutzung empfohlen ist. Sie signalisieren den Nutzern auch, wann sie auf eine andere Version wechseln sollen. Belegt ist der Status </w:t>
      </w:r>
      <w:r>
        <w:rPr>
          <w:i/>
        </w:rPr>
        <w:t>Ready to Use</w:t>
      </w:r>
      <w:r>
        <w:t xml:space="preserve">. Weitere Statuswerte und deren genaue Bezeichnungen sind </w:t>
      </w:r>
      <w:r>
        <w:rPr>
          <w:b/>
        </w:rPr>
        <w:t>nicht verifiziert</w:t>
      </w:r>
      <w:r>
        <w:t>.</w:t>
      </w:r>
    </w:p>
    <w:p>
      <w:r>
        <w:rPr>
          <w:b/>
        </w:rPr>
        <w:t>Speichern und Bereitstellen:</w:t>
      </w:r>
      <w:r>
        <w:t xml:space="preserve"> Für den Data Builder unterscheidet SAP zwischen Speichern (Designzeit im Repository) und Bereitstellen (</w:t>
      </w:r>
      <w:r>
        <w:rPr>
          <w:i/>
        </w:rPr>
        <w:t>Deploy</w:t>
      </w:r>
      <w:r>
        <w:t xml:space="preserve">, Laufzeit in der Datenbank). Ob und wie es für Business-Builder-Objekte eine eigene Deploy-Aktion gibt, etwa für Perspektiven, oder ob die Freigabe allein über den Versionsstatus läuft, ist </w:t>
      </w:r>
      <w:r>
        <w:rPr>
          <w:b/>
        </w:rPr>
        <w:t>nicht verifiziert</w:t>
      </w:r>
      <w:r>
        <w:t>. Prüfen Sie das im eigenen Mandanten. Transporte zwischen Mandanten werden in Kapitel 11 beschrieben.</w:t>
      </w:r>
    </w:p>
    <w:p>
      <w:pPr>
        <w:pStyle w:val="Heading2"/>
      </w:pPr>
      <w:r>
        <w:t>7.5 Typische Abläufe</w:t>
      </w:r>
    </w:p>
    <w:p>
      <w:pPr>
        <w:pStyle w:val="Heading3"/>
      </w:pPr>
      <w:r>
        <w:t>7.5.1 Geschäftsentität anlegen</w:t>
      </w:r>
    </w:p>
    <w:p>
      <w:pPr>
        <w:pStyle w:val="ListNumber"/>
      </w:pPr>
      <w:r>
        <w:t>Öffnen Sie in der Seitenleiste den Business Builder und wählen Sie gegebenenfalls einen Bereich aus.</w:t>
      </w:r>
    </w:p>
    <w:p>
      <w:pPr>
        <w:pStyle w:val="ListNumber"/>
      </w:pPr>
      <w:r>
        <w:t xml:space="preserve">Wählen Sie </w:t>
      </w:r>
      <w:r>
        <w:rPr>
          <w:i/>
        </w:rPr>
        <w:t>New Dimension</w:t>
      </w:r>
      <w:r>
        <w:t xml:space="preserve"> oder </w:t>
      </w:r>
      <w:r>
        <w:rPr>
          <w:i/>
        </w:rPr>
        <w:t>New Fact</w:t>
      </w:r>
      <w:r>
        <w:t>.</w:t>
      </w:r>
    </w:p>
    <w:p>
      <w:pPr>
        <w:pStyle w:val="ListNumber"/>
      </w:pPr>
      <w:r>
        <w:t>Wählen Sie eine Quelle, also eine Tabelle oder View aus dem Data Builder.</w:t>
      </w:r>
    </w:p>
    <w:p>
      <w:pPr>
        <w:pStyle w:val="ListNumber"/>
      </w:pPr>
      <w:r>
        <w:t>Wählen Sie die Eigenschaften aus, die aus der Quelle übernommen werden sollen.</w:t>
      </w:r>
    </w:p>
    <w:p>
      <w:pPr>
        <w:pStyle w:val="ListNumber"/>
      </w:pPr>
      <w:r>
        <w:t>Entfernen Sie nicht benötigte Attribute und Kennzahlen. Prüfen Sie, dass eine Dimension einen Schlüssel und ein Fakt mindestens eine Kennzahl hat.</w:t>
      </w:r>
    </w:p>
    <w:p>
      <w:pPr>
        <w:pStyle w:val="ListNumber"/>
      </w:pPr>
      <w:r>
        <w:t>Definieren Sie bei Bedarf Assoziationen zu anderen Geschäftsentitäten.</w:t>
      </w:r>
    </w:p>
    <w:p>
      <w:pPr>
        <w:pStyle w:val="ListNumber"/>
      </w:pPr>
      <w:r>
        <w:t xml:space="preserve">Ordnen Sie bei Bedarf in der Registerkarte </w:t>
      </w:r>
      <w:r>
        <w:rPr>
          <w:i/>
        </w:rPr>
        <w:t>Authorization Scenario</w:t>
      </w:r>
      <w:r>
        <w:t xml:space="preserve"> über </w:t>
      </w:r>
      <w:r>
        <w:rPr>
          <w:i/>
        </w:rPr>
        <w:t>Add</w:t>
      </w:r>
      <w:r>
        <w:t xml:space="preserve"> ein Berechtigungsszenario zu.</w:t>
      </w:r>
    </w:p>
    <w:p>
      <w:pPr>
        <w:pStyle w:val="ListNumber"/>
      </w:pPr>
      <w:r>
        <w:t xml:space="preserve">Speichern Sie die Entität und setzen Sie den Versionsstatus auf </w:t>
      </w:r>
      <w:r>
        <w:rPr>
          <w:i/>
        </w:rPr>
        <w:t>Ready to Use</w:t>
      </w:r>
      <w:r>
        <w:t>.</w:t>
      </w:r>
    </w:p>
    <w:p>
      <w:pPr>
        <w:pStyle w:val="Heading3"/>
      </w:pPr>
      <w:r>
        <w:t>7.5.2 Faktenmodell anlegen</w:t>
      </w:r>
    </w:p>
    <w:p>
      <w:pPr>
        <w:pStyle w:val="ListNumber"/>
      </w:pPr>
      <w:r>
        <w:t>Starten Sie auf der Startseite ein neues Faktenmodell.</w:t>
      </w:r>
    </w:p>
    <w:p>
      <w:pPr>
        <w:pStyle w:val="ListNumber"/>
      </w:pPr>
      <w:r>
        <w:t>Wählen Sie die erste Faktquelle (Dimension, Faktenmodell oder ein veraltetes Analytical Dataset) und vergeben Sie einen Alias.</w:t>
      </w:r>
    </w:p>
    <w:p>
      <w:pPr>
        <w:pStyle w:val="ListNumber"/>
      </w:pPr>
      <w:r>
        <w:t xml:space="preserve">Bestätigen Sie mit </w:t>
      </w:r>
      <w:r>
        <w:rPr>
          <w:i/>
        </w:rPr>
        <w:t>Create</w:t>
      </w:r>
      <w:r>
        <w:t>.</w:t>
      </w:r>
    </w:p>
    <w:p>
      <w:pPr>
        <w:pStyle w:val="ListNumber"/>
      </w:pPr>
      <w:r>
        <w:t>Binden Sie weitere Quellen ein und nehmen Sie Kennzahlen und Attribute auf oder entfernen Sie sie. Legen Sie gegebenenfalls berechnete Attribute an.</w:t>
      </w:r>
    </w:p>
    <w:p>
      <w:pPr>
        <w:pStyle w:val="ListNumber"/>
      </w:pPr>
      <w:r>
        <w:t>Speichern Sie das Faktenmodell. Ab diesem Zeitpunkt ist es laut Dokumentation verwendbar.</w:t>
      </w:r>
    </w:p>
    <w:p>
      <w:pPr>
        <w:pStyle w:val="Heading3"/>
      </w:pPr>
      <w:r>
        <w:t>7.5.3 Verbrauchsmodell und Perspektive anlegen</w:t>
      </w:r>
    </w:p>
    <w:p>
      <w:pPr>
        <w:pStyle w:val="ListNumber"/>
      </w:pPr>
      <w:r>
        <w:t xml:space="preserve">Starten Sie auf der Startseite ein neues Verbrauchsmodell. Dafür ist das Privileg </w:t>
      </w:r>
      <w:r>
        <w:rPr>
          <w:i/>
        </w:rPr>
        <w:t>Data Warehouse Consumption Model</w:t>
      </w:r>
      <w:r>
        <w:t xml:space="preserve"> nötig.</w:t>
      </w:r>
    </w:p>
    <w:p>
      <w:pPr>
        <w:pStyle w:val="ListNumber"/>
      </w:pPr>
      <w:r>
        <w:t>Wählen Sie eine Faktquelle (Geschäftsentität vom Typ Fakt oder Faktenmodell). Assoziierte Geschäftsentitäten stehen als Dimensionen zur Verfügung.</w:t>
      </w:r>
    </w:p>
    <w:p>
      <w:pPr>
        <w:pStyle w:val="ListNumber"/>
      </w:pPr>
      <w:r>
        <w:t>Wählen Sie die Kennzahlen und Attribute für den Berichtszweck aus.</w:t>
      </w:r>
    </w:p>
    <w:p>
      <w:pPr>
        <w:pStyle w:val="ListNumber"/>
      </w:pPr>
      <w:r>
        <w:t xml:space="preserve">Legen Sie in der Registerkarte </w:t>
      </w:r>
      <w:r>
        <w:rPr>
          <w:i/>
        </w:rPr>
        <w:t>Perspectives</w:t>
      </w:r>
      <w:r>
        <w:t xml:space="preserve"> eine Perspektive an. Alternativ öffnen Sie die Datenvorschau und speichern das Ergebnis als Perspektive.</w:t>
      </w:r>
    </w:p>
    <w:p>
      <w:pPr>
        <w:pStyle w:val="ListNumber"/>
      </w:pPr>
      <w:r>
        <w:t>Erstellen Sie in SAP Analytics Cloud über eine Live-Verbindung eine Story auf der Perspektive (siehe Kapitel 12).</w:t>
      </w:r>
    </w:p>
    <w:p>
      <w:pPr>
        <w:pStyle w:val="Heading3"/>
      </w:pPr>
      <w:r>
        <w:t>7.5.4 Neue Version ausrollen</w:t>
      </w:r>
    </w:p>
    <w:p>
      <w:pPr>
        <w:pStyle w:val="ListNumber"/>
      </w:pPr>
      <w:r>
        <w:t>Leiten Sie vom bestehenden Objekt eine neue Version ab.</w:t>
      </w:r>
    </w:p>
    <w:p>
      <w:pPr>
        <w:pStyle w:val="ListNumber"/>
      </w:pPr>
      <w:r>
        <w:t>Bearbeiten Sie die neue Version. Abhängige Modelle verwenden in dieser Zeit weiter die bisherige Version.</w:t>
      </w:r>
    </w:p>
    <w:p>
      <w:pPr>
        <w:pStyle w:val="ListNumber"/>
      </w:pPr>
      <w:r>
        <w:t xml:space="preserve">Pflegen Sie die Versionsbeschreibung und setzen Sie den Status auf </w:t>
      </w:r>
      <w:r>
        <w:rPr>
          <w:i/>
        </w:rPr>
        <w:t>Ready to Use</w:t>
      </w:r>
      <w:r>
        <w:t>.</w:t>
      </w:r>
    </w:p>
    <w:p>
      <w:pPr>
        <w:pStyle w:val="ListNumber"/>
      </w:pPr>
      <w:r>
        <w:t xml:space="preserve">Stellen Sie abhängige Objekte auf die neue Version um. Der genaue Dialog dafür ist </w:t>
      </w:r>
      <w:r>
        <w:rPr>
          <w:b/>
        </w:rPr>
        <w:t>nicht verifiziert</w:t>
      </w:r>
      <w:r>
        <w:t>.</w:t>
      </w:r>
    </w:p>
    <w:p>
      <w:pPr>
        <w:pStyle w:val="Heading2"/>
      </w:pPr>
      <w:r>
        <w:t>7.6 Abhängigkeiten, Grenzen und Hinweise</w:t>
      </w:r>
    </w:p>
    <w:p>
      <w:pPr>
        <w:pStyle w:val="ListBullet"/>
      </w:pPr>
      <w:r>
        <w:rPr>
          <w:b/>
        </w:rPr>
        <w:t>Abhängig vom Data Builder:</w:t>
      </w:r>
      <w:r>
        <w:t xml:space="preserve"> Jede Geschäftsentität beruht auf einer Tabelle oder View aus dem Data Builder (Kapitel 6). Änderungen in der Datenschicht wirken sich auf die Objekte des Business Builders aus. Mit Versionen lassen sich solche Änderungen kontrolliert ausrollen.</w:t>
      </w:r>
    </w:p>
    <w:p>
      <w:pPr>
        <w:pStyle w:val="ListBullet"/>
      </w:pPr>
      <w:r>
        <w:rPr>
          <w:b/>
        </w:rPr>
        <w:t>Datenzugriff:</w:t>
      </w:r>
      <w:r>
        <w:t xml:space="preserve"> Berechtigungsszenarien setzen vorhandene Datenzugriffssteuerungen voraus. Konzept und Pflege der Datenzugriffssteuerungen werden in Kapitel 9 beschrieben.</w:t>
      </w:r>
    </w:p>
    <w:p>
      <w:pPr>
        <w:pStyle w:val="ListBullet"/>
      </w:pPr>
      <w:r>
        <w:rPr>
          <w:b/>
        </w:rPr>
        <w:t>Veraltete Quellen:</w:t>
      </w:r>
      <w:r>
        <w:t xml:space="preserve"> Die Verwendung </w:t>
      </w:r>
      <w:r>
        <w:rPr>
          <w:i/>
        </w:rPr>
        <w:t>Analytical Dataset</w:t>
      </w:r>
      <w:r>
        <w:t xml:space="preserve"> ist veraltet. Bestehende Objekte lassen sich vorerst weiter nutzen, SAP empfiehlt aber die Umstellung auf </w:t>
      </w:r>
      <w:r>
        <w:rPr>
          <w:i/>
        </w:rPr>
        <w:t>Fact</w:t>
      </w:r>
      <w:r>
        <w:t>.</w:t>
      </w:r>
    </w:p>
    <w:p>
      <w:pPr>
        <w:pStyle w:val="ListBullet"/>
      </w:pPr>
      <w:r>
        <w:rPr>
          <w:b/>
        </w:rPr>
        <w:t>Werkzeuge für den Verbrauch:</w:t>
      </w:r>
      <w:r>
        <w:t xml:space="preserve"> Die Dokumentation nennt SAP Analytics Cloud und Microsoft Excel. Welche weiteren Clients Perspektiven nutzen können, ist </w:t>
      </w:r>
      <w:r>
        <w:rPr>
          <w:b/>
        </w:rPr>
        <w:t>nicht verifiziert</w:t>
      </w:r>
      <w:r>
        <w:t>.</w:t>
      </w:r>
    </w:p>
    <w:p>
      <w:pPr>
        <w:pStyle w:val="ListBullet"/>
      </w:pPr>
      <w:r>
        <w:rPr>
          <w:b/>
        </w:rPr>
        <w:t>Oberfläche:</w:t>
      </w:r>
      <w:r>
        <w:t xml:space="preserve"> Symbol- und Schaltflächentexte können sich durch die quartalsweisen SAP-Releases ändern.</w:t>
      </w:r>
    </w:p>
    <w:p>
      <w:pPr>
        <w:pStyle w:val="Heading2"/>
      </w:pPr>
      <w:r>
        <w:t>7.7 Abgrenzung zum Analytic Model und Empfehlung von SAP</w:t>
      </w:r>
    </w:p>
    <w:p>
      <w:r>
        <w:t xml:space="preserve">Die offizielle Übersicht „Acquiring, Preparing, and Modeling Data“ nennt zwei Wege für analytische Modelle: das </w:t>
      </w:r>
      <w:r>
        <w:rPr>
          <w:b/>
        </w:rPr>
        <w:t>Analytic Model</w:t>
      </w:r>
      <w:r>
        <w:t xml:space="preserve"> (</w:t>
      </w:r>
      <w:r>
        <w:rPr>
          <w:i/>
        </w:rPr>
        <w:t>Analytic Model</w:t>
      </w:r>
      <w:r>
        <w:t xml:space="preserve">, Data Builder, siehe Kapitel 6) und die weitere Kombination im </w:t>
      </w:r>
      <w:r>
        <w:rPr>
          <w:b/>
        </w:rPr>
        <w:t>Business Builder</w:t>
      </w:r>
      <w:r>
        <w:t>. Für die Live-Verbindung aus SAP Analytics Cloud nennt die Dokumentation sowohl Analytic Models als auch Perspektiven als nutzbare Objekte.</w:t>
      </w:r>
    </w:p>
    <w:p>
      <w:r>
        <w:t xml:space="preserve">Eine </w:t>
      </w:r>
      <w:r>
        <w:rPr>
          <w:b/>
        </w:rPr>
        <w:t>ausdrückliche offizielle Aussage</w:t>
      </w:r>
      <w:r>
        <w:t xml:space="preserve">, dass SAP für Neuentwicklungen das Analytic Model statt des Business Builders empfiehlt oder den Business Builder abkündigt, lag bei der Recherche </w:t>
      </w:r>
      <w:r>
        <w:rPr>
          <w:b/>
        </w:rPr>
        <w:t>nicht vor</w:t>
      </w:r>
      <w:r>
        <w:t xml:space="preserve">. Die Aussage, Faktenmodell, Verbrauchsmodell und Perspektive würden durch das Analytic Model abgelöst, stammt aus einem Beitrag in der SAP Community von 2023. Sie ist damit </w:t>
      </w:r>
      <w:r>
        <w:rPr>
          <w:b/>
        </w:rPr>
        <w:t>nicht verifiziert im Sinne der Hausregel 2</w:t>
      </w:r>
      <w:r>
        <w:t>.</w:t>
      </w:r>
    </w:p>
    <w:p>
      <w:r>
        <w:t xml:space="preserve">Belegt ist nur, dass das Analytical Dataset als Quelle veraltet ist und durch </w:t>
      </w:r>
      <w:r>
        <w:rPr>
          <w:i/>
        </w:rPr>
        <w:t>Fact</w:t>
      </w:r>
      <w:r>
        <w:t xml:space="preserve"> ersetzt werden soll. Für neue Projekte sollten Sie den aktuellen Status in den Release Notes und auf der Seite „Modeling Data in the Business Builder“ prüfen.</w:t>
      </w:r>
    </w:p>
    <w:p>
      <w:pPr>
        <w:pStyle w:val="Heading2"/>
      </w:pPr>
      <w:r>
        <w:t>7.8 Übersicht: Funktion – Zweck – benötigtes 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Benötigtes Privileg (laut Doku)</w:t>
            </w:r>
          </w:p>
        </w:tc>
      </w:tr>
      <w:tr>
        <w:tc>
          <w:tcPr>
            <w:tcW w:type="dxa" w:w="2880"/>
          </w:tcPr>
          <w:p>
            <w:r>
              <w:t>Business Builder aufrufen</w:t>
            </w:r>
          </w:p>
        </w:tc>
        <w:tc>
          <w:tcPr>
            <w:tcW w:type="dxa" w:w="2880"/>
          </w:tcPr>
          <w:p>
            <w:r>
              <w:t>Zugang zur Anwendung</w:t>
            </w:r>
          </w:p>
        </w:tc>
        <w:tc>
          <w:tcPr>
            <w:tcW w:type="dxa" w:w="2880"/>
          </w:tcPr>
          <w:p>
            <w:r>
              <w:rPr>
                <w:i/>
              </w:rPr>
              <w:t>Data Warehouse General</w:t>
            </w:r>
            <w:r>
              <w:t xml:space="preserve"> (-R------)</w:t>
            </w:r>
          </w:p>
        </w:tc>
      </w:tr>
      <w:tr>
        <w:tc>
          <w:tcPr>
            <w:tcW w:type="dxa" w:w="2880"/>
          </w:tcPr>
          <w:p>
            <w:r>
              <w:t>Geschäftsentität (Dimension/Fakt) anlegen, ändern, löschen</w:t>
            </w:r>
          </w:p>
        </w:tc>
        <w:tc>
          <w:tcPr>
            <w:tcW w:type="dxa" w:w="2880"/>
          </w:tcPr>
          <w:p>
            <w:r>
              <w:t>Data-Builder-Objekte fachlich abbilden</w:t>
            </w:r>
          </w:p>
        </w:tc>
        <w:tc>
          <w:tcPr>
            <w:tcW w:type="dxa" w:w="2880"/>
          </w:tcPr>
          <w:p>
            <w:r>
              <w:rPr>
                <w:i/>
              </w:rPr>
              <w:t>Data Warehouse Business Builder</w:t>
            </w:r>
            <w:r>
              <w:t xml:space="preserve"> (CRUD----)</w:t>
            </w:r>
          </w:p>
        </w:tc>
      </w:tr>
      <w:tr>
        <w:tc>
          <w:tcPr>
            <w:tcW w:type="dxa" w:w="2880"/>
          </w:tcPr>
          <w:p>
            <w:r>
              <w:t>Assoziationen definieren</w:t>
            </w:r>
          </w:p>
        </w:tc>
        <w:tc>
          <w:tcPr>
            <w:tcW w:type="dxa" w:w="2880"/>
          </w:tcPr>
          <w:p>
            <w:r>
              <w:t>Entitäten verknüpfen, Dimensionen bereitstellen</w:t>
            </w:r>
          </w:p>
        </w:tc>
        <w:tc>
          <w:tcPr>
            <w:tcW w:type="dxa" w:w="2880"/>
          </w:tcPr>
          <w:p>
            <w:r>
              <w:rPr>
                <w:i/>
              </w:rPr>
              <w:t>Data Warehouse Business Builder</w:t>
            </w:r>
            <w:r>
              <w:t xml:space="preserve"> (CRUD----)</w:t>
            </w:r>
          </w:p>
        </w:tc>
      </w:tr>
      <w:tr>
        <w:tc>
          <w:tcPr>
            <w:tcW w:type="dxa" w:w="2880"/>
          </w:tcPr>
          <w:p>
            <w:r>
              <w:t>Faktenmodell anlegen</w:t>
            </w:r>
          </w:p>
        </w:tc>
        <w:tc>
          <w:tcPr>
            <w:tcW w:type="dxa" w:w="2880"/>
          </w:tcPr>
          <w:p>
            <w:r>
              <w:t>wiederverwendbare Zwischenschicht</w:t>
            </w:r>
          </w:p>
        </w:tc>
        <w:tc>
          <w:tcPr>
            <w:tcW w:type="dxa" w:w="2880"/>
          </w:tcPr>
          <w:p>
            <w:r>
              <w:rPr>
                <w:i/>
              </w:rPr>
              <w:t>Data Warehouse Business Builder</w:t>
            </w:r>
            <w:r>
              <w:t xml:space="preserve"> (CRUD----)</w:t>
            </w:r>
          </w:p>
        </w:tc>
      </w:tr>
      <w:tr>
        <w:tc>
          <w:tcPr>
            <w:tcW w:type="dxa" w:w="2880"/>
          </w:tcPr>
          <w:p>
            <w:r>
              <w:t>Verbrauchsmodell und Perspektive anlegen</w:t>
            </w:r>
          </w:p>
        </w:tc>
        <w:tc>
          <w:tcPr>
            <w:tcW w:type="dxa" w:w="2880"/>
          </w:tcPr>
          <w:p>
            <w:r>
              <w:t>Reporting-Objekt für SAC/Excel</w:t>
            </w:r>
          </w:p>
        </w:tc>
        <w:tc>
          <w:tcPr>
            <w:tcW w:type="dxa" w:w="2880"/>
          </w:tcPr>
          <w:p>
            <w:r>
              <w:rPr>
                <w:i/>
              </w:rPr>
              <w:t>Data Warehouse Consumption Model</w:t>
            </w:r>
            <w:r>
              <w:t xml:space="preserve"> (CRUD----)</w:t>
            </w:r>
          </w:p>
        </w:tc>
      </w:tr>
      <w:tr>
        <w:tc>
          <w:tcPr>
            <w:tcW w:type="dxa" w:w="2880"/>
          </w:tcPr>
          <w:p>
            <w:r>
              <w:t>Berechtigungsszenario anlegen und zuordnen</w:t>
            </w:r>
          </w:p>
        </w:tc>
        <w:tc>
          <w:tcPr>
            <w:tcW w:type="dxa" w:w="2880"/>
          </w:tcPr>
          <w:p>
            <w:r>
              <w:t>Daten je Benutzerkontext einschränken</w:t>
            </w:r>
          </w:p>
        </w:tc>
        <w:tc>
          <w:tcPr>
            <w:tcW w:type="dxa" w:w="2880"/>
          </w:tcPr>
          <w:p>
            <w:r>
              <w:rPr>
                <w:i/>
              </w:rPr>
              <w:t>Data Warehouse Business Builder</w:t>
            </w:r>
            <w:r>
              <w:t xml:space="preserve"> (CRUD----); zusätzliche Privilegien </w:t>
            </w:r>
            <w:r>
              <w:rPr>
                <w:b/>
              </w:rPr>
              <w:t>nicht verifiziert</w:t>
            </w:r>
          </w:p>
        </w:tc>
      </w:tr>
      <w:tr>
        <w:tc>
          <w:tcPr>
            <w:tcW w:type="dxa" w:w="2880"/>
          </w:tcPr>
          <w:p>
            <w:r>
              <w:t>Versionen ableiten, Status setzen</w:t>
            </w:r>
          </w:p>
        </w:tc>
        <w:tc>
          <w:tcPr>
            <w:tcW w:type="dxa" w:w="2880"/>
          </w:tcPr>
          <w:p>
            <w:r>
              <w:t>Änderungen kontrolliert ausrollen</w:t>
            </w:r>
          </w:p>
        </w:tc>
        <w:tc>
          <w:tcPr>
            <w:tcW w:type="dxa" w:w="2880"/>
          </w:tcPr>
          <w:p>
            <w:r>
              <w:rPr>
                <w:i/>
              </w:rPr>
              <w:t>Data Warehouse Business Builder</w:t>
            </w:r>
            <w:r>
              <w:t xml:space="preserve"> (CRUD----) – </w:t>
            </w:r>
            <w:r>
              <w:rPr>
                <w:b/>
              </w:rPr>
              <w:t>nicht verifiziert</w:t>
            </w:r>
          </w:p>
        </w:tc>
      </w:tr>
    </w:tbl>
    <w:p>
      <w:pPr>
        <w:pStyle w:val="Heading1"/>
      </w:pPr>
      <w:r>
        <w:t>8. Catalog, Data Marketplace und Data Products</w:t>
      </w:r>
    </w:p>
    <w:p>
      <w:pPr>
        <w:pStyle w:val="Heading2"/>
      </w:pPr>
      <w:r>
        <w:t>8.1 Zweck und Einordnung</w:t>
      </w:r>
    </w:p>
    <w:p>
      <w:r>
        <w:t>SAP Datasphere enthält mehrere Werkzeuge, mit denen Daten auffindbar gemacht, beschrieben, geteilt und genutzt werden:</w:t>
      </w:r>
    </w:p>
    <w:p>
      <w:pPr>
        <w:pStyle w:val="ListBullet"/>
      </w:pPr>
      <w:r>
        <w:rPr>
          <w:b/>
        </w:rPr>
        <w:t>Katalog (*Catalog*):</w:t>
      </w:r>
      <w:r>
        <w:t xml:space="preserve"> zentraler Ort für Data Governance. Hier werden Objekte aus angebundenen Quellsystemen gefunden, mit fachlichen Metadaten angereichert, klassifiziert und als Katalog-Assets veröffentlicht.</w:t>
      </w:r>
    </w:p>
    <w:p>
      <w:pPr>
        <w:pStyle w:val="ListBullet"/>
      </w:pPr>
      <w:r>
        <w:rPr>
          <w:b/>
        </w:rPr>
        <w:t>Data Marketplace / *Catalog &amp; Marketplace*:</w:t>
      </w:r>
      <w:r>
        <w:t xml:space="preserve"> Hier werden Datenprodukte (</w:t>
      </w:r>
      <w:r>
        <w:rPr>
          <w:i/>
        </w:rPr>
        <w:t>Data Products</w:t>
      </w:r>
      <w:r>
        <w:t>) von internen oder externen Datenanbietern (</w:t>
      </w:r>
      <w:r>
        <w:rPr>
          <w:i/>
        </w:rPr>
        <w:t>Data Provider</w:t>
      </w:r>
      <w:r>
        <w:t>) gefunden und genutzt. ⚠ abhängig von Lizenz/Freischaltung.</w:t>
      </w:r>
    </w:p>
    <w:p>
      <w:pPr>
        <w:pStyle w:val="ListBullet"/>
      </w:pPr>
      <w:r>
        <w:rPr>
          <w:b/>
        </w:rPr>
        <w:t>Data Sharing Cockpit (*Data Sharing Cockpit*):</w:t>
      </w:r>
      <w:r>
        <w:t xml:space="preserve"> das Werkzeug für die Anbieterseite des Marketplace.</w:t>
      </w:r>
    </w:p>
    <w:p>
      <w:pPr>
        <w:pStyle w:val="ListBullet"/>
      </w:pPr>
      <w:r>
        <w:rPr>
          <w:b/>
        </w:rPr>
        <w:t>Data Products in SAP Business Data Cloud:</w:t>
      </w:r>
      <w:r>
        <w:t xml:space="preserve"> standardisierte, vorkonfigurierte Datensätze aus SAP-Anwendungen. Sie werden zusammen mit intelligenten Anwendungen (</w:t>
      </w:r>
      <w:r>
        <w:rPr>
          <w:i/>
        </w:rPr>
        <w:t>Intelligent Applications</w:t>
      </w:r>
      <w:r>
        <w:t>) bereitgestellt. ⚠ abhängig von Lizenz/Freischaltung (SAP Business Data Cloud).</w:t>
      </w:r>
    </w:p>
    <w:p>
      <w:pPr>
        <w:pStyle w:val="ListBullet"/>
      </w:pPr>
      <w:r>
        <w:rPr>
          <w:b/>
        </w:rPr>
        <w:t>Content Network (*Content Network*):</w:t>
      </w:r>
      <w:r>
        <w:t xml:space="preserve"> Hierüber werden Business Content und Beispielinhalte von SAP und Partnern importiert.</w:t>
      </w:r>
    </w:p>
    <w:p>
      <w:r>
        <w:t>Die Modellierung der Objekte, die im Katalog erscheinen, wird in Kapitel 6 (Data Builder) und Kapitel 7 (Business Builder) beschrieben. Berechtigungen und Datenzugriffssteuerung behandelt Kapitel 9, Transporte Kapitel 11.</w:t>
      </w:r>
    </w:p>
    <w:p>
      <w:pPr>
        <w:pStyle w:val="Heading2"/>
      </w:pPr>
      <w:r>
        <w:t>8.2 Katalog (Catalog)</w:t>
      </w:r>
    </w:p>
    <w:p>
      <w:pPr>
        <w:pStyle w:val="Heading3"/>
      </w:pPr>
      <w:r>
        <w:t>8.2.1 Aufruf, Rollen und Berechtigungen</w:t>
      </w:r>
    </w:p>
    <w:p>
      <w:r>
        <w:t>Den Katalog öffnen Sie über die Seitenleiste (Navigationsprinzip siehe Kapitel 2). Es gibt zwei Nutzerrollen:</w:t>
      </w:r>
    </w:p>
    <w:p>
      <w:pPr>
        <w:pStyle w:val="ListBullet"/>
      </w:pPr>
      <w:r>
        <w:rPr>
          <w:b/>
        </w:rPr>
        <w:t>Katalogadministrator (*Catalog Administrator*):</w:t>
      </w:r>
      <w:r>
        <w:t xml:space="preserve"> bindet Quellsysteme an den Katalog an und überwacht sie. Außerdem reichert er die extrahierten Objekte an, klassifiziert sie und veröffentlicht sie als Katalog-Assets.</w:t>
      </w:r>
    </w:p>
    <w:p>
      <w:pPr>
        <w:pStyle w:val="ListBullet"/>
      </w:pPr>
      <w:r>
        <w:rPr>
          <w:b/>
        </w:rPr>
        <w:t>Katalogbenutzer (*Catalog User*):</w:t>
      </w:r>
      <w:r>
        <w:t xml:space="preserve"> sucht und nutzt die veröffentlichten Inhalte. Die genaue Bezeichnung der Standardrolle und ihre Privilegien sind nicht verifiziert (siehe Kapitel 3 und 9).</w:t>
      </w:r>
    </w:p>
    <w:p>
      <w:r>
        <w:t>Nach SAP Learning legt der Katalogadministrator die Governance über hierarchische Tags und Geschäftsglossare fest. Er legt außerdem KPIs an und veröffentlicht Assets und Glossarbegriffe (nicht verifiziert, Quelle: SAP Learning).</w:t>
      </w:r>
    </w:p>
    <w:p>
      <w:pPr>
        <w:pStyle w:val="Heading3"/>
      </w:pPr>
      <w:r>
        <w:t>8.2.2 Aufbau der Oberfläche</w:t>
      </w:r>
    </w:p>
    <w:p>
      <w:r>
        <w:t xml:space="preserve">Die zentrale Arbeitsfläche ist die </w:t>
      </w:r>
      <w:r>
        <w:rPr>
          <w:b/>
        </w:rPr>
        <w:t>Katalog-Suchseite</w:t>
      </w:r>
      <w:r>
        <w:t xml:space="preserve"> (</w:t>
      </w:r>
      <w:r>
        <w:rPr>
          <w:i/>
        </w:rPr>
        <w:t>catalog search page</w:t>
      </w:r>
      <w:r>
        <w:t>). Sie enthält:</w:t>
      </w:r>
    </w:p>
    <w:p>
      <w:pPr>
        <w:pStyle w:val="ListBullet"/>
      </w:pPr>
      <w:r>
        <w:rPr>
          <w:b/>
        </w:rPr>
        <w:t>Suche und Filter</w:t>
      </w:r>
      <w:r>
        <w:t>, mit denen Sie Datenprodukte, Assets, Glossarbegriffe und KPIs finden;</w:t>
      </w:r>
    </w:p>
    <w:p>
      <w:pPr>
        <w:pStyle w:val="ListBullet"/>
      </w:pPr>
      <w:r>
        <w:rPr>
          <w:b/>
        </w:rPr>
        <w:t>Werkzeuge zum Anlegen und Verwalten</w:t>
      </w:r>
      <w:r>
        <w:t xml:space="preserve"> von Glossaren, Glossarbegriffen, Tags und KPIs;</w:t>
      </w:r>
    </w:p>
    <w:p>
      <w:pPr>
        <w:pStyle w:val="ListBullet"/>
      </w:pPr>
      <w:r>
        <w:t xml:space="preserve">die </w:t>
      </w:r>
      <w:r>
        <w:rPr>
          <w:b/>
        </w:rPr>
        <w:t>Veröffentlichungsfunktion</w:t>
      </w:r>
      <w:r>
        <w:t>, mit der Assets, Glossarbegriffe und KPIs im Katalog freigegeben werden.</w:t>
      </w:r>
    </w:p>
    <w:p>
      <w:r>
        <w:t xml:space="preserve">Wählen Sie ein Asset aus, öffnet sich die </w:t>
      </w:r>
      <w:r>
        <w:rPr>
          <w:b/>
        </w:rPr>
        <w:t>Asset-Detailseite</w:t>
      </w:r>
      <w:r>
        <w:t>. Sie zeigt laut SAP-Produkt-Tour (nicht verifiziert) unter anderem die aus dem Quellsystem extrahierten Metadaten, die zugeordneten Glossarbegriffe, hierarchische Tags und KPIs. Wie die Registerkarten heißen und angeordnet sind, ist nicht verifiziert. SAP ändert die Oberfläche regelmäßig.</w:t>
      </w:r>
    </w:p>
    <w:p>
      <w:pPr>
        <w:pStyle w:val="Heading3"/>
      </w:pPr>
      <w:r>
        <w:t>8.2.3 Funktionen</w:t>
      </w:r>
    </w:p>
    <w:p>
      <w:r>
        <w:rPr>
          <w:b/>
        </w:rPr>
        <w:t>Assets.</w:t>
      </w:r>
      <w:r>
        <w:t xml:space="preserve"> Ein Asset ist ein Objekt aus einem angebundenen Quellsystem, dessen Metadaten im Katalog liegen. Der Katalogadministrator reichert Assets mit fachlichen Informationen an, klassifiziert sie mit Tags, verknüpft sie mit Glossarbegriffen und KPIs und veröffentlicht sie. Erst danach sind sie für Katalogbenutzer sichtbar. Ob und wie Assets nach der Veröffentlichung weiterbearbeitet werden können, ist nicht verifiziert.</w:t>
      </w:r>
    </w:p>
    <w:p>
      <w:r>
        <w:rPr>
          <w:b/>
        </w:rPr>
        <w:t>Glossare und Glossarbegriffe (*Glossaries*, *Glossary Terms*).</w:t>
      </w:r>
      <w:r>
        <w:t xml:space="preserve"> Ein Geschäftsglossar enthält fachliche Begriffe (</w:t>
      </w:r>
      <w:r>
        <w:rPr>
          <w:i/>
        </w:rPr>
        <w:t>Business Terms</w:t>
      </w:r>
      <w:r>
        <w:t>) mit Definitionen. Glossarbegriffe werden mit Assets verknüpft und lassen sich gesondert veröffentlichen. Über sie entsteht ein einheitliches Fachvokabular über Systemgrenzen hinweg.</w:t>
      </w:r>
    </w:p>
    <w:p>
      <w:r>
        <w:rPr>
          <w:b/>
        </w:rPr>
        <w:t>KPIs.</w:t>
      </w:r>
      <w:r>
        <w:t xml:space="preserve"> Kennzahlendefinitionen werden auf der Katalog-Suchseite angelegt, gepflegt und veröffentlicht. Sie können mit Assets verknüpft werden. Welche Felder eine KPI-Definition hat (z. B. Berechnungslogik, Schwellenwerte), ist nicht verifiziert.</w:t>
      </w:r>
    </w:p>
    <w:p>
      <w:r>
        <w:rPr>
          <w:b/>
        </w:rPr>
        <w:t>Tags und Tag-Hierarchien (*Tags*, *Hierarchies*).</w:t>
      </w:r>
      <w:r>
        <w:t xml:space="preserve"> Tags werden in Hierarchien organisiert und klassifizieren Assets. In einer SAP-Business-Data-Cloud-Umgebung gilt laut SAP eine Empfehlung: Soll eine Tag-Hierarchie in allen Katalogansichten verfügbar sein, legen Sie sie im SAP Business Data Cloud Cockpit an. Soll sie nur in einer bestimmten Formation (</w:t>
      </w:r>
      <w:r>
        <w:rPr>
          <w:i/>
        </w:rPr>
        <w:t>Formation</w:t>
      </w:r>
      <w:r>
        <w:t>) gelten, legen Sie sie im SAP-Datasphere-System dieser Formation an. ⚠ abhängig von Lizenz/Freischaltung (SAP Business Data Cloud).</w:t>
      </w:r>
    </w:p>
    <w:p>
      <w:r>
        <w:rPr>
          <w:b/>
        </w:rPr>
        <w:t>Metadatenextraktion aus Quellsystemen.</w:t>
      </w:r>
      <w:r>
        <w:t xml:space="preserve"> Der Katalogadministrator bindet Quellsysteme an und überwacht sie. Er sorgt dafür, dass der Katalog aktuell bleibt, und behebt Fehler bei der Extraktion. Belegte Szenarien:</w:t>
      </w:r>
    </w:p>
    <w:tbl>
      <w:tblPr>
        <w:tblStyle w:val="TableGrid"/>
        <w:tblW w:type="auto" w:w="0"/>
        <w:tblLook w:firstColumn="1" w:firstRow="1" w:lastColumn="0" w:lastRow="0" w:noHBand="0" w:noVBand="1" w:val="04A0"/>
      </w:tblPr>
      <w:tblGrid>
        <w:gridCol w:w="4320"/>
        <w:gridCol w:w="4320"/>
      </w:tblGrid>
      <w:tr>
        <w:tc>
          <w:tcPr>
            <w:tcW w:type="dxa" w:w="4320"/>
          </w:tcPr>
          <w:p>
            <w:r>
              <w:rPr>
                <w:b/>
              </w:rPr>
              <w:t>Quellsystem</w:t>
            </w:r>
          </w:p>
        </w:tc>
        <w:tc>
          <w:tcPr>
            <w:tcW w:type="dxa" w:w="4320"/>
          </w:tcPr>
          <w:p>
            <w:r>
              <w:rPr>
                <w:b/>
              </w:rPr>
              <w:t>Anbindung laut Dokumentation</w:t>
            </w:r>
          </w:p>
        </w:tc>
      </w:tr>
      <w:tr>
        <w:tc>
          <w:tcPr>
            <w:tcW w:type="dxa" w:w="4320"/>
          </w:tcPr>
          <w:p>
            <w:r>
              <w:t>SAP Datasphere (eigenes/weiteres System)</w:t>
            </w:r>
          </w:p>
        </w:tc>
        <w:tc>
          <w:tcPr>
            <w:tcW w:type="dxa" w:w="4320"/>
          </w:tcPr>
          <w:p>
            <w:r>
              <w:t>in einer SAP-Business-Data-Cloud-Formation automatisch; bei eigenständigem Betrieb (</w:t>
            </w:r>
            <w:r>
              <w:rPr>
                <w:i/>
              </w:rPr>
              <w:t>standalone</w:t>
            </w:r>
            <w:r>
              <w:t>) manuell</w:t>
            </w:r>
          </w:p>
        </w:tc>
      </w:tr>
      <w:tr>
        <w:tc>
          <w:tcPr>
            <w:tcW w:type="dxa" w:w="4320"/>
          </w:tcPr>
          <w:p>
            <w:r>
              <w:t>SAP Analytics Cloud</w:t>
            </w:r>
          </w:p>
        </w:tc>
        <w:tc>
          <w:tcPr>
            <w:tcW w:type="dxa" w:w="4320"/>
          </w:tcPr>
          <w:p>
            <w:r>
              <w:t>Metadatenextraktion in den Katalog; ein technischer Benutzer (</w:t>
            </w:r>
            <w:r>
              <w:rPr>
                <w:i/>
              </w:rPr>
              <w:t>service user</w:t>
            </w:r>
            <w:r>
              <w:t>) kann konfiguriert werden (seit Release 2023.24, nicht verifiziert, Quelle: SAP Community)</w:t>
            </w:r>
          </w:p>
        </w:tc>
      </w:tr>
      <w:tr>
        <w:tc>
          <w:tcPr>
            <w:tcW w:type="dxa" w:w="4320"/>
          </w:tcPr>
          <w:p>
            <w:r>
              <w:t>SAP BW bridge</w:t>
            </w:r>
          </w:p>
        </w:tc>
        <w:tc>
          <w:tcPr>
            <w:tcW w:type="dxa" w:w="4320"/>
          </w:tcPr>
          <w:p>
            <w:r>
              <w:t>konfigurierbare Metadatenextraktion; BW-bridge-Objekte werden als Assets bereitgestellt</w:t>
            </w:r>
          </w:p>
        </w:tc>
      </w:tr>
      <w:tr>
        <w:tc>
          <w:tcPr>
            <w:tcW w:type="dxa" w:w="4320"/>
          </w:tcPr>
          <w:p>
            <w:r>
              <w:t>SAP BW/4HANA</w:t>
            </w:r>
          </w:p>
        </w:tc>
        <w:tc>
          <w:tcPr>
            <w:tcW w:type="dxa" w:w="4320"/>
          </w:tcPr>
          <w:p>
            <w:r>
              <w:t>über eine Live-Verbindung und einen darauf aufbauenden Remote-System-Eintrag für den Katalog (nicht verifiziert, Quelle: SAP Community)</w:t>
            </w:r>
          </w:p>
        </w:tc>
      </w:tr>
    </w:tbl>
    <w:p>
      <w:r>
        <w:rPr>
          <w:b/>
        </w:rPr>
        <w:t>Generierung von Katalog-Inhalten</w:t>
      </w:r>
      <w:r>
        <w:t xml:space="preserve"> ⚠ abhängig von Lizenz/Freischaltung. SAP bietet eine Funktion an, die fachliche Metadaten automatisch erzeugt: Geschäftsbeschreibungen, Business Terms und KPIs. Die Bedienung in der Oberfläche ist nicht verifiziert.</w:t>
      </w:r>
    </w:p>
    <w:p>
      <w:pPr>
        <w:pStyle w:val="Heading3"/>
      </w:pPr>
      <w:r>
        <w:t>8.2.4 Typischer Ablauf: Quellsystem anbinden und Asset veröffentlichen</w:t>
      </w:r>
    </w:p>
    <w:p>
      <w:pPr>
        <w:pStyle w:val="ListNumber"/>
      </w:pPr>
      <w:r>
        <w:t>Als Katalogadministrator das Quellsystem an den Katalog anbinden. In einer Business-Data-Cloud-Formation geschieht das bei SAP-Datasphere-Systemen automatisch.</w:t>
      </w:r>
    </w:p>
    <w:p>
      <w:pPr>
        <w:pStyle w:val="ListNumber"/>
      </w:pPr>
      <w:r>
        <w:t>Die Metadatenextraktion ausführen lassen und im Bereich zur Verwaltung und Überwachung der Quellsysteme prüfen.</w:t>
      </w:r>
    </w:p>
    <w:p>
      <w:pPr>
        <w:pStyle w:val="ListNumber"/>
      </w:pPr>
      <w:r>
        <w:t>Auf der Katalog-Suchseite das extrahierte Objekt über Suche oder Filter finden.</w:t>
      </w:r>
    </w:p>
    <w:p>
      <w:pPr>
        <w:pStyle w:val="ListNumber"/>
      </w:pPr>
      <w:r>
        <w:t>Das Asset anreichern: Beschreibung pflegen, Tags aus der Tag-Hierarchie zuordnen, Glossarbegriffe und KPIs verknüpfen.</w:t>
      </w:r>
    </w:p>
    <w:p>
      <w:pPr>
        <w:pStyle w:val="ListNumber"/>
      </w:pPr>
      <w:r>
        <w:t>Das Asset (und gegebenenfalls neue Glossarbegriffe oder KPIs) veröffentlichen.</w:t>
      </w:r>
    </w:p>
    <w:p>
      <w:pPr>
        <w:pStyle w:val="ListNumber"/>
      </w:pPr>
      <w:r>
        <w:t>Katalogbenutzer finden das Asset nun über Suche und Filter und öffnen die Detailseite.</w:t>
      </w:r>
    </w:p>
    <w:p>
      <w:pPr>
        <w:pStyle w:val="Heading3"/>
      </w:pPr>
      <w:r>
        <w:t>8.2.5 Hinweise und Grenzen</w:t>
      </w:r>
    </w:p>
    <w:p>
      <w:pPr>
        <w:pStyle w:val="ListBullet"/>
      </w:pPr>
      <w:r>
        <w:t xml:space="preserve">Im Katalog liegen </w:t>
      </w:r>
      <w:r>
        <w:rPr>
          <w:b/>
        </w:rPr>
        <w:t>Metadaten</w:t>
      </w:r>
      <w:r>
        <w:t>, keine Daten. Wer auf die Daten zugreifen darf, regeln die Bereichs- und Sicherheitsmechanismen (Kapitel 4 und 9).</w:t>
      </w:r>
    </w:p>
    <w:p>
      <w:pPr>
        <w:pStyle w:val="ListBullet"/>
      </w:pPr>
      <w:r>
        <w:t xml:space="preserve">In SAP Business Data Cloud gibt es mehrere </w:t>
      </w:r>
      <w:r>
        <w:rPr>
          <w:b/>
        </w:rPr>
        <w:t>Katalogansichten</w:t>
      </w:r>
      <w:r>
        <w:t xml:space="preserve"> (BDC-Cockpit-Ebene, Formationsebene). Welche Ansicht für Ihre Umgebung gilt, erklärt der SAP-KBA 3764043 (Inhalt nicht im Detail verifiziert).</w:t>
      </w:r>
    </w:p>
    <w:p>
      <w:pPr>
        <w:pStyle w:val="Heading2"/>
      </w:pPr>
      <w:r>
        <w:t>8.3 Data Marketplace (Catalog &amp; Marketplace) ⚠ abhängig von Lizenz/Freischaltung</w:t>
      </w:r>
    </w:p>
    <w:p>
      <w:pPr>
        <w:pStyle w:val="Heading3"/>
      </w:pPr>
      <w:r>
        <w:t>8.3.1 Zweck und Verfügbarkeit</w:t>
      </w:r>
    </w:p>
    <w:p>
      <w:r>
        <w:t>Der Data Marketplace ist die Nutzerseite des Datenaustauschs. Hier suchen Datenkonsumenten Datenprodukte von Datenanbietern und installieren sie in einem Bereich (</w:t>
      </w:r>
      <w:r>
        <w:rPr>
          <w:i/>
        </w:rPr>
        <w:t>Space</w:t>
      </w:r>
      <w:r>
        <w:t xml:space="preserve">). SAP beschreibt </w:t>
      </w:r>
      <w:r>
        <w:rPr>
          <w:i/>
        </w:rPr>
        <w:t>Catalog &amp; Marketplace</w:t>
      </w:r>
      <w:r>
        <w:t xml:space="preserve"> als konsumentenorientiertes Gegenstück zum anbieterseitigen Data Sharing Cockpit. Beide sind vollständig in SAP Datasphere integriert.</w:t>
      </w:r>
    </w:p>
    <w:p>
      <w:r>
        <w:rPr>
          <w:b/>
        </w:rPr>
        <w:t>Einschränkung:</w:t>
      </w:r>
      <w:r>
        <w:t xml:space="preserve"> Laut SAP-Dokumentation gibt es </w:t>
      </w:r>
      <w:r>
        <w:rPr>
          <w:i/>
        </w:rPr>
        <w:t>Catalog &amp; Marketplace</w:t>
      </w:r>
      <w:r>
        <w:t xml:space="preserve"> und das Data Sharing Cockpit nur in Mandanten, die </w:t>
      </w:r>
      <w:r>
        <w:rPr>
          <w:b/>
        </w:rPr>
        <w:t>seit dem 25. Januar 2021</w:t>
      </w:r>
      <w:r>
        <w:t xml:space="preserve"> bereitgestellt wurden (siehe SAP-Hinweis 3148585).</w:t>
      </w:r>
    </w:p>
    <w:p>
      <w:r>
        <w:t xml:space="preserve">Marketplace-Datenprodukte erscheinen im Katalog in der Sammlung </w:t>
      </w:r>
      <w:r>
        <w:rPr>
          <w:b/>
        </w:rPr>
        <w:t>„Data Products (Marketplace)“</w:t>
      </w:r>
      <w:r>
        <w:t>.</w:t>
      </w:r>
    </w:p>
    <w:p>
      <w:pPr>
        <w:pStyle w:val="Heading3"/>
      </w:pPr>
      <w:r>
        <w:t>8.3.2 Begriffe</w:t>
      </w:r>
    </w:p>
    <w:tbl>
      <w:tblPr>
        <w:tblStyle w:val="TableGrid"/>
        <w:tblW w:type="auto" w:w="0"/>
        <w:tblLook w:firstColumn="1" w:firstRow="1" w:lastColumn="0" w:lastRow="0" w:noHBand="0" w:noVBand="1" w:val="04A0"/>
      </w:tblPr>
      <w:tblGrid>
        <w:gridCol w:w="4320"/>
        <w:gridCol w:w="4320"/>
      </w:tblGrid>
      <w:tr>
        <w:tc>
          <w:tcPr>
            <w:tcW w:type="dxa" w:w="4320"/>
          </w:tcPr>
          <w:p>
            <w:r>
              <w:rPr>
                <w:b/>
              </w:rPr>
              <w:t>Begriff</w:t>
            </w:r>
          </w:p>
        </w:tc>
        <w:tc>
          <w:tcPr>
            <w:tcW w:type="dxa" w:w="4320"/>
          </w:tcPr>
          <w:p>
            <w:r>
              <w:rPr>
                <w:b/>
              </w:rPr>
              <w:t>Bedeutung</w:t>
            </w:r>
          </w:p>
        </w:tc>
      </w:tr>
      <w:tr>
        <w:tc>
          <w:tcPr>
            <w:tcW w:type="dxa" w:w="4320"/>
          </w:tcPr>
          <w:p>
            <w:r>
              <w:t>Datenanbieter (</w:t>
            </w:r>
            <w:r>
              <w:rPr>
                <w:i/>
              </w:rPr>
              <w:t>Data Provider</w:t>
            </w:r>
            <w:r>
              <w:t>)</w:t>
            </w:r>
          </w:p>
        </w:tc>
        <w:tc>
          <w:tcPr>
            <w:tcW w:type="dxa" w:w="4320"/>
          </w:tcPr>
          <w:p>
            <w:r>
              <w:t>Organisation oder Person, die Datenprodukte über ein Anbieterprofil veröffentlicht</w:t>
            </w:r>
          </w:p>
        </w:tc>
      </w:tr>
      <w:tr>
        <w:tc>
          <w:tcPr>
            <w:tcW w:type="dxa" w:w="4320"/>
          </w:tcPr>
          <w:p>
            <w:r>
              <w:t>Datenprodukt (</w:t>
            </w:r>
            <w:r>
              <w:rPr>
                <w:i/>
              </w:rPr>
              <w:t>Data Product</w:t>
            </w:r>
            <w:r>
              <w:t>)</w:t>
            </w:r>
          </w:p>
        </w:tc>
        <w:tc>
          <w:tcPr>
            <w:tcW w:type="dxa" w:w="4320"/>
          </w:tcPr>
          <w:p>
            <w:r>
              <w:t>ein veröffentlichtes Paket aus Datenobjekten mit Beschreibung und Vertragsbedingungen</w:t>
            </w:r>
          </w:p>
        </w:tc>
      </w:tr>
      <w:tr>
        <w:tc>
          <w:tcPr>
            <w:tcW w:type="dxa" w:w="4320"/>
          </w:tcPr>
          <w:p>
            <w:r>
              <w:t xml:space="preserve">Vertragsart </w:t>
            </w:r>
            <w:r>
              <w:rPr>
                <w:i/>
              </w:rPr>
              <w:t>License Key</w:t>
            </w:r>
          </w:p>
        </w:tc>
        <w:tc>
          <w:tcPr>
            <w:tcW w:type="dxa" w:w="4320"/>
          </w:tcPr>
          <w:p>
            <w:r>
              <w:t>Der Zugriff setzt einen Lizenzschlüssel (Aktivierungsschlüssel) voraus</w:t>
            </w:r>
          </w:p>
        </w:tc>
      </w:tr>
      <w:tr>
        <w:tc>
          <w:tcPr>
            <w:tcW w:type="dxa" w:w="4320"/>
          </w:tcPr>
          <w:p>
            <w:r>
              <w:t xml:space="preserve">Lieferart </w:t>
            </w:r>
            <w:r>
              <w:rPr>
                <w:i/>
              </w:rPr>
              <w:t>Direct</w:t>
            </w:r>
          </w:p>
        </w:tc>
        <w:tc>
          <w:tcPr>
            <w:tcW w:type="dxa" w:w="4320"/>
          </w:tcPr>
          <w:p>
            <w:r>
              <w:t>eine Lieferart (</w:t>
            </w:r>
            <w:r>
              <w:rPr>
                <w:i/>
              </w:rPr>
              <w:t>data shipment type</w:t>
            </w:r>
            <w:r>
              <w:t xml:space="preserve">). Lizenzen steuern den Zugriff auf Datenprodukte mit Vertragsart </w:t>
            </w:r>
            <w:r>
              <w:rPr>
                <w:i/>
              </w:rPr>
              <w:t>License Key</w:t>
            </w:r>
            <w:r>
              <w:t xml:space="preserve"> und Lieferart </w:t>
            </w:r>
            <w:r>
              <w:rPr>
                <w:i/>
              </w:rPr>
              <w:t>Direct</w:t>
            </w:r>
          </w:p>
        </w:tc>
      </w:tr>
      <w:tr>
        <w:tc>
          <w:tcPr>
            <w:tcW w:type="dxa" w:w="4320"/>
          </w:tcPr>
          <w:p>
            <w:r>
              <w:t>Kontext (</w:t>
            </w:r>
            <w:r>
              <w:rPr>
                <w:i/>
              </w:rPr>
              <w:t>Context</w:t>
            </w:r>
            <w:r>
              <w:t>)</w:t>
            </w:r>
          </w:p>
        </w:tc>
        <w:tc>
          <w:tcPr>
            <w:tcW w:type="dxa" w:w="4320"/>
          </w:tcPr>
          <w:p>
            <w:r>
              <w:t>eine Gruppierung, der Konsumenten beitreten oder die sie verlassen können. Die genaue Semantik ist nicht verifiziert</w:t>
            </w:r>
          </w:p>
        </w:tc>
      </w:tr>
    </w:tbl>
    <w:p>
      <w:pPr>
        <w:pStyle w:val="Heading3"/>
      </w:pPr>
      <w:r>
        <w:t>8.3.3 Funktionen auf Konsumentenseite</w:t>
      </w:r>
    </w:p>
    <w:p>
      <w:pPr>
        <w:pStyle w:val="ListBullet"/>
      </w:pPr>
      <w:r>
        <w:rPr>
          <w:b/>
        </w:rPr>
        <w:t>Datenprodukte suchen und ansehen</w:t>
      </w:r>
      <w:r>
        <w:t xml:space="preserve"> im Katalog bzw. Marketplace, mit Suche und Filtern (siehe 8.2.3).</w:t>
      </w:r>
    </w:p>
    <w:p>
      <w:pPr>
        <w:pStyle w:val="ListBullet"/>
      </w:pPr>
      <w:r>
        <w:rPr>
          <w:b/>
        </w:rPr>
        <w:t>Datenprodukt installieren:</w:t>
      </w:r>
      <w:r>
        <w:t xml:space="preserve"> Das Datenprodukt wird in einen Ziel-Space installiert. Braucht es einen Lizenzschlüssel, wählen Sie </w:t>
      </w:r>
      <w:r>
        <w:rPr>
          <w:b/>
        </w:rPr>
        <w:t>„Install with License Key“</w:t>
      </w:r>
      <w:r>
        <w:t>. Ist das Datenprodukt schon installiert, trägt der Installationsdialog den Lizenzschlüssel automatisch ein und listet die Spaces auf, in denen es bereits installiert ist.</w:t>
      </w:r>
    </w:p>
    <w:p>
      <w:pPr>
        <w:pStyle w:val="ListBullet"/>
      </w:pPr>
      <w:r>
        <w:rPr>
          <w:b/>
        </w:rPr>
        <w:t>Seite „Marketplace Data Products“:</w:t>
      </w:r>
      <w:r>
        <w:t xml:space="preserve"> Hier behalten Sie den Überblick über alle installierten Datenprodukte und verwalten sie. Außerdem können Sie hier </w:t>
      </w:r>
      <w:r>
        <w:rPr>
          <w:b/>
        </w:rPr>
        <w:t>Lizenzen aktivieren, ohne Datenprodukte zu installieren</w:t>
      </w:r>
      <w:r>
        <w:t xml:space="preserve">, und </w:t>
      </w:r>
      <w:r>
        <w:rPr>
          <w:b/>
        </w:rPr>
        <w:t>Kontexten beitreten oder sie verlassen</w:t>
      </w:r>
      <w:r>
        <w:t>.</w:t>
      </w:r>
    </w:p>
    <w:p>
      <w:pPr>
        <w:pStyle w:val="Heading3"/>
      </w:pPr>
      <w:r>
        <w:t>8.3.4 Typischer Ablauf: Datenprodukt mit Lizenzschlüssel installieren</w:t>
      </w:r>
    </w:p>
    <w:p>
      <w:pPr>
        <w:pStyle w:val="ListNumber"/>
      </w:pPr>
      <w:r>
        <w:t>Im Marketplace das gewünschte Datenprodukt suchen und öffnen.</w:t>
      </w:r>
    </w:p>
    <w:p>
      <w:pPr>
        <w:pStyle w:val="ListNumber"/>
      </w:pPr>
      <w:r>
        <w:t>Vertragsart und Lieferbedingungen prüfen.</w:t>
      </w:r>
    </w:p>
    <w:p>
      <w:pPr>
        <w:pStyle w:val="ListNumber"/>
      </w:pPr>
      <w:r>
        <w:t xml:space="preserve">Bei der Vertragsart </w:t>
      </w:r>
      <w:r>
        <w:rPr>
          <w:i/>
        </w:rPr>
        <w:t>License Key</w:t>
      </w:r>
      <w:r>
        <w:t xml:space="preserve"> den Dialog „Install with License Key“ öffnen und den Aktivierungsschlüssel des Anbieters eingeben.</w:t>
      </w:r>
    </w:p>
    <w:p>
      <w:pPr>
        <w:pStyle w:val="ListNumber"/>
      </w:pPr>
      <w:r>
        <w:t>Den Ziel-Space auswählen und die Installation starten.</w:t>
      </w:r>
    </w:p>
    <w:p>
      <w:pPr>
        <w:pStyle w:val="ListNumber"/>
      </w:pPr>
      <w:r>
        <w:t>Auf der Seite „Marketplace Data Products“ prüfen, ob das Datenprodukt installiert ist. Hier können Sie es später auch verwalten.</w:t>
      </w:r>
    </w:p>
    <w:p>
      <w:pPr>
        <w:pStyle w:val="ListNumber"/>
      </w:pPr>
      <w:r>
        <w:t>Die installierten Objekte im Ziel-Space weiterverarbeiten (Modellierung siehe Kapitel 6).</w:t>
      </w:r>
    </w:p>
    <w:p>
      <w:pPr>
        <w:pStyle w:val="Heading2"/>
      </w:pPr>
      <w:r>
        <w:t>8.4 Data Sharing Cockpit (Data Sharing Cockpit) ⚠ abhängig von Lizenz/Freischaltung</w:t>
      </w:r>
    </w:p>
    <w:p>
      <w:pPr>
        <w:pStyle w:val="Heading3"/>
      </w:pPr>
      <w:r>
        <w:t>8.4.1 Zweck und Aufruf</w:t>
      </w:r>
    </w:p>
    <w:p>
      <w:r>
        <w:t xml:space="preserve">Das Data Sharing Cockpit ist das Werkzeug für Datenanbieter. Ursprünglich wurde es entwickelt, damit Kunden und Partner ihre SAP-Datasphere-Artefakte über einen Marketplace internen und externen Konsumenten anbieten können (nicht verifiziert, Quelle: SAP Learning). Laut SAP-Dokumentation können </w:t>
      </w:r>
      <w:r>
        <w:rPr>
          <w:b/>
        </w:rPr>
        <w:t>Benutzer mit einer Modelliererrolle</w:t>
      </w:r>
      <w:r>
        <w:t xml:space="preserve"> ein Anbieterprofil anlegen und Datenprodukte in </w:t>
      </w:r>
      <w:r>
        <w:rPr>
          <w:i/>
        </w:rPr>
        <w:t>Catalog &amp; Marketplace</w:t>
      </w:r>
      <w:r>
        <w:t xml:space="preserve"> veröffentlichen. Wo der Einstieg in der Seitenleiste liegt, ist nicht verifiziert.</w:t>
      </w:r>
    </w:p>
    <w:p>
      <w:pPr>
        <w:pStyle w:val="Heading3"/>
      </w:pPr>
      <w:r>
        <w:t>8.4.2 Funktionen</w:t>
      </w:r>
    </w:p>
    <w:p>
      <w:pPr>
        <w:pStyle w:val="ListBullet"/>
      </w:pPr>
      <w:r>
        <w:rPr>
          <w:b/>
        </w:rPr>
        <w:t>Anbieterprofil (*Data Provider Profile*)</w:t>
      </w:r>
      <w:r>
        <w:t xml:space="preserve"> anlegen und pflegen.</w:t>
      </w:r>
    </w:p>
    <w:p>
      <w:pPr>
        <w:pStyle w:val="ListBullet"/>
      </w:pPr>
      <w:r>
        <w:rPr>
          <w:b/>
        </w:rPr>
        <w:t>Datenprodukte anlegen und veröffentlichen.</w:t>
      </w:r>
      <w:r>
        <w:t xml:space="preserve"> Dabei legen Sie Inhalt, Beschreibung, Vertragsart und Lieferart fest. Die einzelnen Eingabefelder sind nicht verifiziert.</w:t>
      </w:r>
    </w:p>
    <w:p>
      <w:pPr>
        <w:pStyle w:val="ListBullet"/>
      </w:pPr>
      <w:r>
        <w:rPr>
          <w:b/>
        </w:rPr>
        <w:t>Lizenzverwaltung (App *License Management*):</w:t>
      </w:r>
      <w:r>
        <w:t xml:space="preserve"> Hier steuern Sie den Zugriff der Konsumenten auf Ihre Datenprodukte. Sie verwalten Lizenzen und erzeugen Aktivierungsschlüssel. Das gilt für Datenprodukte mit Vertragsart </w:t>
      </w:r>
      <w:r>
        <w:rPr>
          <w:i/>
        </w:rPr>
        <w:t>License Key</w:t>
      </w:r>
      <w:r>
        <w:t xml:space="preserve"> und Lieferart </w:t>
      </w:r>
      <w:r>
        <w:rPr>
          <w:i/>
        </w:rPr>
        <w:t>Direct</w:t>
      </w:r>
      <w:r>
        <w:t>. Laut SAP-Videotutorial kann der Zugriff auch per SQL gesteuert werden (nicht verifiziert).</w:t>
      </w:r>
    </w:p>
    <w:p>
      <w:pPr>
        <w:pStyle w:val="ListBullet"/>
      </w:pPr>
      <w:r>
        <w:rPr>
          <w:b/>
        </w:rPr>
        <w:t>REST-APIs:</w:t>
      </w:r>
      <w:r>
        <w:t xml:space="preserve"> Anbieter können alternativ über die REST-APIs des Data Sharing Cockpit mit </w:t>
      </w:r>
      <w:r>
        <w:rPr>
          <w:i/>
        </w:rPr>
        <w:t>Catalog &amp; Marketplace</w:t>
      </w:r>
      <w:r>
        <w:t xml:space="preserve"> arbeiten. Die Dokumentation dazu steht im SAP Business Accelerator Hub.</w:t>
      </w:r>
    </w:p>
    <w:p>
      <w:pPr>
        <w:pStyle w:val="Heading3"/>
      </w:pPr>
      <w:r>
        <w:t>8.4.3 Typischer Ablauf: Datenprodukt anbieten</w:t>
      </w:r>
    </w:p>
    <w:p>
      <w:pPr>
        <w:pStyle w:val="ListNumber"/>
      </w:pPr>
      <w:r>
        <w:t>Mit einer Modelliererrolle das Data Sharing Cockpit öffnen.</w:t>
      </w:r>
    </w:p>
    <w:p>
      <w:pPr>
        <w:pStyle w:val="ListNumber"/>
      </w:pPr>
      <w:r>
        <w:t>Ein Anbieterprofil anlegen, falls noch keins existiert.</w:t>
      </w:r>
    </w:p>
    <w:p>
      <w:pPr>
        <w:pStyle w:val="ListNumber"/>
      </w:pPr>
      <w:r>
        <w:t>Ein Datenprodukt anlegen, die Quellobjekte zuordnen und Vertrags- und Lieferart festlegen.</w:t>
      </w:r>
    </w:p>
    <w:p>
      <w:pPr>
        <w:pStyle w:val="ListNumber"/>
      </w:pPr>
      <w:r>
        <w:t>Das Datenprodukt veröffentlichen. Es erscheint in der Sammlung „Data Products (Marketplace)“.</w:t>
      </w:r>
    </w:p>
    <w:p>
      <w:pPr>
        <w:pStyle w:val="ListNumber"/>
      </w:pPr>
      <w:r>
        <w:t xml:space="preserve">Bei der Vertragsart </w:t>
      </w:r>
      <w:r>
        <w:rPr>
          <w:i/>
        </w:rPr>
        <w:t>License Key</w:t>
      </w:r>
      <w:r>
        <w:t xml:space="preserve"> in der Lizenzverwaltung eine Lizenz anlegen, einen Aktivierungsschlüssel erzeugen und ihn dem Konsumenten übermitteln.</w:t>
      </w:r>
    </w:p>
    <w:p>
      <w:pPr>
        <w:pStyle w:val="Heading2"/>
      </w:pPr>
      <w:r>
        <w:t>8.5 Data Products und Intelligent Applications in SAP Business Data Cloud ⚠ abhängig von Lizenz/Freischaltung</w:t>
      </w:r>
    </w:p>
    <w:p>
      <w:pPr>
        <w:pStyle w:val="Heading3"/>
      </w:pPr>
      <w:r>
        <w:t>8.5.1 Einordnung</w:t>
      </w:r>
    </w:p>
    <w:p>
      <w:r>
        <w:t xml:space="preserve">Wird SAP Datasphere als Teil von SAP Business Data Cloud betrieben, kommen </w:t>
      </w:r>
      <w:r>
        <w:rPr>
          <w:b/>
        </w:rPr>
        <w:t>SAP-verwaltete Datenprodukte</w:t>
      </w:r>
      <w:r>
        <w:t xml:space="preserve"> hinzu. Das sind standardisierte, vorkonfigurierte Datensätze aus SAP-Anwendungen. Sie dienen als Grundlage für Modellierungsprojekte und bringen SAP-Anwendungsdaten ohne eigene Integrationsarbeit in Werkzeuge wie SAP Datasphere, SAP Databricks oder SAP HANA Cloud. SAP Business Data Cloud ermöglicht außerdem, intelligente Inhalte (</w:t>
      </w:r>
      <w:r>
        <w:rPr>
          <w:i/>
        </w:rPr>
        <w:t>intelligent content</w:t>
      </w:r>
      <w:r>
        <w:t>) und Datenprodukte in SAP Datasphere zu installieren.</w:t>
      </w:r>
    </w:p>
    <w:p>
      <w:r>
        <w:rPr>
          <w:b/>
        </w:rPr>
        <w:t>Abgrenzung:</w:t>
      </w:r>
      <w:r>
        <w:t xml:space="preserve"> Diese SAP-verwalteten Datenprodukte unterscheiden sich von den Marketplace-Datenprodukten aus Abschnitt 8.3. Letztere werden über das Data Sharing Cockpit erstellt.</w:t>
      </w:r>
    </w:p>
    <w:p>
      <w:pPr>
        <w:pStyle w:val="Heading3"/>
      </w:pPr>
      <w:r>
        <w:t>8.5.2 Ablauf (Überblick)</w:t>
      </w:r>
    </w:p>
    <w:p>
      <w:pPr>
        <w:pStyle w:val="ListNumber"/>
      </w:pPr>
      <w:r>
        <w:rPr>
          <w:b/>
        </w:rPr>
        <w:t>Aktivieren:</w:t>
      </w:r>
      <w:r>
        <w:t xml:space="preserve"> Das Datenprodukt wird im SAP Business Data Cloud Cockpit aktiviert. Das ist keine Funktion der SAP-Datasphere-Oberfläche. Die Prüfung der Voraussetzungen und die einzelnen Schritte sind hier nicht verifiziert.</w:t>
      </w:r>
    </w:p>
    <w:p>
      <w:pPr>
        <w:pStyle w:val="ListNumber"/>
      </w:pPr>
      <w:r>
        <w:rPr>
          <w:b/>
        </w:rPr>
        <w:t>In den Foundation Services installieren:</w:t>
      </w:r>
      <w:r>
        <w:t xml:space="preserve"> Danach kann das Datenprodukt mit SAP-Anwendungen und unterstützten externen Datenplattformen geteilt werden. Den Benutzerzugriff vergeben die Systemadministratoren der Zielsysteme (nicht verifiziert, Quelle: SAP Learning).</w:t>
      </w:r>
    </w:p>
    <w:p>
      <w:pPr>
        <w:pStyle w:val="ListNumber"/>
      </w:pPr>
      <w:r>
        <w:rPr>
          <w:b/>
        </w:rPr>
        <w:t>In SAP Datasphere nutzen:</w:t>
      </w:r>
      <w:r>
        <w:t xml:space="preserve"> Das freigegebene Datenprodukt im Katalog suchen, installieren und einem Ziel-Space zuordnen (nicht verifiziert, Quelle: Zusammenfassung von help.sap.com im Suchergebnis).</w:t>
      </w:r>
    </w:p>
    <w:p>
      <w:pPr>
        <w:pStyle w:val="ListNumber"/>
      </w:pPr>
      <w:r>
        <w:rPr>
          <w:b/>
        </w:rPr>
        <w:t>Weiterverarbeiten:</w:t>
      </w:r>
      <w:r>
        <w:t xml:space="preserve"> Auf Basis der installierten Objekte eigene Modelle bauen (Kapitel 6) und Daten konsumieren (Kapitel 12).</w:t>
      </w:r>
    </w:p>
    <w:p>
      <w:r>
        <w:rPr>
          <w:b/>
        </w:rPr>
        <w:t>Intelligent Applications</w:t>
      </w:r>
      <w:r>
        <w:t xml:space="preserve"> sind vorkonfigurierte Anwendungspakete in SAP Business Data Cloud. Sie werden über das SAP Business Data Cloud Cockpit installiert und können Inhalte in SAP Datasphere bereitstellen. Die genauen Installationsschritte und die Objekte, die dabei in SAP Datasphere entstehen, sind nicht verifiziert.</w:t>
      </w:r>
    </w:p>
    <w:p>
      <w:pPr>
        <w:pStyle w:val="Heading2"/>
      </w:pPr>
      <w:r>
        <w:t>8.6 Content Network und Business-Content-Pakete</w:t>
      </w:r>
    </w:p>
    <w:p>
      <w:pPr>
        <w:pStyle w:val="Heading3"/>
      </w:pPr>
      <w:r>
        <w:t>8.6.1 Zweck und Aufruf</w:t>
      </w:r>
    </w:p>
    <w:p>
      <w:r>
        <w:t xml:space="preserve">Über das </w:t>
      </w:r>
      <w:r>
        <w:rPr>
          <w:b/>
        </w:rPr>
        <w:t>Content Network</w:t>
      </w:r>
      <w:r>
        <w:t xml:space="preserve"> stellen SAP und Partner </w:t>
      </w:r>
      <w:r>
        <w:rPr>
          <w:b/>
        </w:rPr>
        <w:t>Business Content</w:t>
      </w:r>
      <w:r>
        <w:t xml:space="preserve"> und </w:t>
      </w:r>
      <w:r>
        <w:rPr>
          <w:b/>
        </w:rPr>
        <w:t>Beispielinhalte</w:t>
      </w:r>
      <w:r>
        <w:t xml:space="preserve"> (</w:t>
      </w:r>
      <w:r>
        <w:rPr>
          <w:i/>
        </w:rPr>
        <w:t>sample content</w:t>
      </w:r>
      <w:r>
        <w:t xml:space="preserve">) bereit. Business Content ist ein kostenloser Einstieg in Szenarien für Datenintegration und Modellierung für verschiedene Branchen und Fachbereiche (nicht verifiziert, Quelle: Zusammenfassung von help.sap.com im Suchergebnis). Importiert wird über die App </w:t>
      </w:r>
      <w:r>
        <w:rPr>
          <w:b/>
        </w:rPr>
        <w:t>Semantic Onboarding</w:t>
      </w:r>
      <w:r>
        <w:t xml:space="preserve"> (</w:t>
      </w:r>
      <w:r>
        <w:rPr>
          <w:i/>
        </w:rPr>
        <w:t>Semantic Onboarding</w:t>
      </w:r>
      <w:r>
        <w:t>).</w:t>
      </w:r>
    </w:p>
    <w:p>
      <w:r>
        <w:rPr>
          <w:b/>
        </w:rPr>
        <w:t>Berechtigung:</w:t>
      </w:r>
      <w:r>
        <w:t xml:space="preserve"> Laut SAP-Dokumentation können Benutzer mit der Rolle </w:t>
      </w:r>
      <w:r>
        <w:rPr>
          <w:i/>
        </w:rPr>
        <w:t>DW Space Administrator</w:t>
      </w:r>
      <w:r>
        <w:t xml:space="preserve"> (oder gleichwertigen Privilegien) bzw. mit einer Administrator- oder Space-Administratorrolle Inhalte aus dem Content Network importieren.</w:t>
      </w:r>
    </w:p>
    <w:p>
      <w:pPr>
        <w:pStyle w:val="Heading3"/>
      </w:pPr>
      <w:r>
        <w:t>8.6.2 Typischer Ablauf: Business-Content-Paket importieren</w:t>
      </w:r>
    </w:p>
    <w:p>
      <w:pPr>
        <w:pStyle w:val="ListNumber"/>
      </w:pPr>
      <w:r>
        <w:t>Die App Semantic Onboarding öffnen und den Bereich für das Content Network wählen.</w:t>
      </w:r>
    </w:p>
    <w:p>
      <w:pPr>
        <w:pStyle w:val="ListNumber"/>
      </w:pPr>
      <w:r>
        <w:t>Das Paket von SAP oder einem Partner suchen und die Paketbeschreibung lesen, z. B. zu Voraussetzungen und Ziel-Spaces.</w:t>
      </w:r>
    </w:p>
    <w:p>
      <w:pPr>
        <w:pStyle w:val="ListNumber"/>
      </w:pPr>
      <w:r>
        <w:t>Den Import mit den gewünschten Optionen starten. Die genauen Importoptionen, etwa zum Überschreiben vorhandener Objekte oder zur Bereitstellung (</w:t>
      </w:r>
      <w:r>
        <w:rPr>
          <w:i/>
        </w:rPr>
        <w:t>Deploy</w:t>
      </w:r>
      <w:r>
        <w:t>), sind nicht verifiziert.</w:t>
      </w:r>
    </w:p>
    <w:p>
      <w:pPr>
        <w:pStyle w:val="ListNumber"/>
      </w:pPr>
      <w:r>
        <w:t>Nach dem Import die angelegten Spaces und Objekte prüfen und die Verbindungen ergänzen, falls nötig (Kapitel 5).</w:t>
      </w:r>
    </w:p>
    <w:p>
      <w:r>
        <w:t>Eine Übersicht der Hinweise und Leitfäden zu Semantic Onboarding und „Import Entities“ bietet der SAP-KBA 3608311. Der Import eigener Transportpakete gehört zum Lifecycle-Management (Kapitel 11).</w:t>
      </w:r>
    </w:p>
    <w:p>
      <w:pPr>
        <w:pStyle w:val="Heading2"/>
      </w:pPr>
      <w:r>
        <w:t>8.7 Übersicht: Funktion – Zweck – benötigte Rolle/Privileg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 Rolle / Privileg</w:t>
            </w:r>
          </w:p>
        </w:tc>
      </w:tr>
      <w:tr>
        <w:tc>
          <w:tcPr>
            <w:tcW w:type="dxa" w:w="2880"/>
          </w:tcPr>
          <w:p>
            <w:r>
              <w:t>Quellsysteme an den Katalog anbinden und überwachen</w:t>
            </w:r>
          </w:p>
        </w:tc>
        <w:tc>
          <w:tcPr>
            <w:tcW w:type="dxa" w:w="2880"/>
          </w:tcPr>
          <w:p>
            <w:r>
              <w:t>Metadaten extrahieren, Katalog aktuell halten</w:t>
            </w:r>
          </w:p>
        </w:tc>
        <w:tc>
          <w:tcPr>
            <w:tcW w:type="dxa" w:w="2880"/>
          </w:tcPr>
          <w:p>
            <w:r>
              <w:t>Katalogadministrator</w:t>
            </w:r>
          </w:p>
        </w:tc>
      </w:tr>
      <w:tr>
        <w:tc>
          <w:tcPr>
            <w:tcW w:type="dxa" w:w="2880"/>
          </w:tcPr>
          <w:p>
            <w:r>
              <w:t>Glossare, Glossarbegriffe, KPIs, Tags pflegen</w:t>
            </w:r>
          </w:p>
        </w:tc>
        <w:tc>
          <w:tcPr>
            <w:tcW w:type="dxa" w:w="2880"/>
          </w:tcPr>
          <w:p>
            <w:r>
              <w:t>fachliche Anreicherung und Klassifikation</w:t>
            </w:r>
          </w:p>
        </w:tc>
        <w:tc>
          <w:tcPr>
            <w:tcW w:type="dxa" w:w="2880"/>
          </w:tcPr>
          <w:p>
            <w:r>
              <w:t>Katalogadministrator</w:t>
            </w:r>
          </w:p>
        </w:tc>
      </w:tr>
      <w:tr>
        <w:tc>
          <w:tcPr>
            <w:tcW w:type="dxa" w:w="2880"/>
          </w:tcPr>
          <w:p>
            <w:r>
              <w:t>Assets, Begriffe und KPIs veröffentlichen</w:t>
            </w:r>
          </w:p>
        </w:tc>
        <w:tc>
          <w:tcPr>
            <w:tcW w:type="dxa" w:w="2880"/>
          </w:tcPr>
          <w:p>
            <w:r>
              <w:t>Inhalte für Konsumenten freigeben</w:t>
            </w:r>
          </w:p>
        </w:tc>
        <w:tc>
          <w:tcPr>
            <w:tcW w:type="dxa" w:w="2880"/>
          </w:tcPr>
          <w:p>
            <w:r>
              <w:t>Katalogadministrator</w:t>
            </w:r>
          </w:p>
        </w:tc>
      </w:tr>
      <w:tr>
        <w:tc>
          <w:tcPr>
            <w:tcW w:type="dxa" w:w="2880"/>
          </w:tcPr>
          <w:p>
            <w:r>
              <w:t>Katalog durchsuchen und Asset-Details ansehen</w:t>
            </w:r>
          </w:p>
        </w:tc>
        <w:tc>
          <w:tcPr>
            <w:tcW w:type="dxa" w:w="2880"/>
          </w:tcPr>
          <w:p>
            <w:r>
              <w:t>Daten finden und verstehen</w:t>
            </w:r>
          </w:p>
        </w:tc>
        <w:tc>
          <w:tcPr>
            <w:tcW w:type="dxa" w:w="2880"/>
          </w:tcPr>
          <w:p>
            <w:r>
              <w:t>Katalogbenutzer (Rollenname nicht verifiziert)</w:t>
            </w:r>
          </w:p>
        </w:tc>
      </w:tr>
      <w:tr>
        <w:tc>
          <w:tcPr>
            <w:tcW w:type="dxa" w:w="2880"/>
          </w:tcPr>
          <w:p>
            <w:r>
              <w:t>Anbieterprofil und Datenprodukte im Data Sharing Cockpit</w:t>
            </w:r>
          </w:p>
        </w:tc>
        <w:tc>
          <w:tcPr>
            <w:tcW w:type="dxa" w:w="2880"/>
          </w:tcPr>
          <w:p>
            <w:r>
              <w:t>Daten über den Marketplace anbieten</w:t>
            </w:r>
          </w:p>
        </w:tc>
        <w:tc>
          <w:tcPr>
            <w:tcW w:type="dxa" w:w="2880"/>
          </w:tcPr>
          <w:p>
            <w:r>
              <w:t>Modelliererrolle ⚠</w:t>
            </w:r>
          </w:p>
        </w:tc>
      </w:tr>
      <w:tr>
        <w:tc>
          <w:tcPr>
            <w:tcW w:type="dxa" w:w="2880"/>
          </w:tcPr>
          <w:p>
            <w:r>
              <w:t>Lizenzverwaltung und Aktivierungsschlüssel</w:t>
            </w:r>
          </w:p>
        </w:tc>
        <w:tc>
          <w:tcPr>
            <w:tcW w:type="dxa" w:w="2880"/>
          </w:tcPr>
          <w:p>
            <w:r>
              <w:t>Zugriff von Konsumenten steuern</w:t>
            </w:r>
          </w:p>
        </w:tc>
        <w:tc>
          <w:tcPr>
            <w:tcW w:type="dxa" w:w="2880"/>
          </w:tcPr>
          <w:p>
            <w:r>
              <w:t>Datenanbieter (genaues Privileg nicht verifiziert) ⚠</w:t>
            </w:r>
          </w:p>
        </w:tc>
      </w:tr>
      <w:tr>
        <w:tc>
          <w:tcPr>
            <w:tcW w:type="dxa" w:w="2880"/>
          </w:tcPr>
          <w:p>
            <w:r>
              <w:t>Marketplace-Datenprodukt installieren / „Marketplace Data Products“</w:t>
            </w:r>
          </w:p>
        </w:tc>
        <w:tc>
          <w:tcPr>
            <w:tcW w:type="dxa" w:w="2880"/>
          </w:tcPr>
          <w:p>
            <w:r>
              <w:t>Daten in einem Space nutzen, Lizenzen und Kontexte verwalten</w:t>
            </w:r>
          </w:p>
        </w:tc>
        <w:tc>
          <w:tcPr>
            <w:tcW w:type="dxa" w:w="2880"/>
          </w:tcPr>
          <w:p>
            <w:r>
              <w:t>nicht verifiziert ⚠</w:t>
            </w:r>
          </w:p>
        </w:tc>
      </w:tr>
      <w:tr>
        <w:tc>
          <w:tcPr>
            <w:tcW w:type="dxa" w:w="2880"/>
          </w:tcPr>
          <w:p>
            <w:r>
              <w:t>BDC-Datenprodukte aktivieren und teilen</w:t>
            </w:r>
          </w:p>
        </w:tc>
        <w:tc>
          <w:tcPr>
            <w:tcW w:type="dxa" w:w="2880"/>
          </w:tcPr>
          <w:p>
            <w:r>
              <w:t>SAP-Anwendungsdaten bereitstellen</w:t>
            </w:r>
          </w:p>
        </w:tc>
        <w:tc>
          <w:tcPr>
            <w:tcW w:type="dxa" w:w="2880"/>
          </w:tcPr>
          <w:p>
            <w:r>
              <w:t>Administratorrolle im SAP Business Data Cloud Cockpit (nicht verifiziert) ⚠</w:t>
            </w:r>
          </w:p>
        </w:tc>
      </w:tr>
      <w:tr>
        <w:tc>
          <w:tcPr>
            <w:tcW w:type="dxa" w:w="2880"/>
          </w:tcPr>
          <w:p>
            <w:r>
              <w:t>Import aus dem Content Network (Semantic Onboarding)</w:t>
            </w:r>
          </w:p>
        </w:tc>
        <w:tc>
          <w:tcPr>
            <w:tcW w:type="dxa" w:w="2880"/>
          </w:tcPr>
          <w:p>
            <w:r>
              <w:t>Business Content und Beispielinhalte übernehmen</w:t>
            </w:r>
          </w:p>
        </w:tc>
        <w:tc>
          <w:tcPr>
            <w:tcW w:type="dxa" w:w="2880"/>
          </w:tcPr>
          <w:p>
            <w:r>
              <w:t>DW Space Administrator oder Administrator</w:t>
            </w:r>
          </w:p>
        </w:tc>
      </w:tr>
    </w:tbl>
    <w:p>
      <w:pPr>
        <w:pStyle w:val="Heading1"/>
      </w:pPr>
      <w:r>
        <w:t>9. Sicherheit und Datenzugriff</w:t>
      </w:r>
    </w:p>
    <w:p>
      <w:pPr>
        <w:pStyle w:val="Heading2"/>
      </w:pPr>
      <w:r>
        <w:t>9.1 Zweck und Einordnung</w:t>
      </w:r>
    </w:p>
    <w:p>
      <w:r>
        <w:t>Dieses Kapitel behandelt die Funktionen, mit denen SAP Datasphere den Zugriff auf Daten regelt, protokolliert und schützt. Dazu gehören:</w:t>
      </w:r>
    </w:p>
    <w:p>
      <w:pPr>
        <w:pStyle w:val="ListBullet"/>
      </w:pPr>
      <w:r>
        <w:rPr>
          <w:b/>
        </w:rPr>
        <w:t>Datenzugriffskontrollen</w:t>
      </w:r>
      <w:r>
        <w:t xml:space="preserve"> (</w:t>
      </w:r>
      <w:r>
        <w:rPr>
          <w:i/>
        </w:rPr>
        <w:t>Data Access Controls</w:t>
      </w:r>
      <w:r>
        <w:t>, DAC) für die Sicherheit auf Zeilenebene (</w:t>
      </w:r>
      <w:r>
        <w:rPr>
          <w:i/>
        </w:rPr>
        <w:t>Row-Level Security</w:t>
      </w:r>
      <w:r>
        <w:t>),</w:t>
      </w:r>
    </w:p>
    <w:p>
      <w:pPr>
        <w:pStyle w:val="ListBullet"/>
      </w:pPr>
      <w:r>
        <w:t xml:space="preserve">die </w:t>
      </w:r>
      <w:r>
        <w:rPr>
          <w:b/>
        </w:rPr>
        <w:t>Berechtigungsmatrix</w:t>
      </w:r>
      <w:r>
        <w:t xml:space="preserve"> der Privilegien,</w:t>
      </w:r>
    </w:p>
    <w:p>
      <w:pPr>
        <w:pStyle w:val="ListBullet"/>
      </w:pPr>
      <w:r>
        <w:t xml:space="preserve">die </w:t>
      </w:r>
      <w:r>
        <w:rPr>
          <w:b/>
        </w:rPr>
        <w:t>Audit-Protokollierung</w:t>
      </w:r>
      <w:r>
        <w:t xml:space="preserve"> (</w:t>
      </w:r>
      <w:r>
        <w:rPr>
          <w:i/>
        </w:rPr>
        <w:t>Audit Logging</w:t>
      </w:r>
      <w:r>
        <w:t>) für Lese- und Änderungsvorgänge,</w:t>
      </w:r>
    </w:p>
    <w:p>
      <w:pPr>
        <w:pStyle w:val="ListBullet"/>
      </w:pPr>
      <w:r>
        <w:t xml:space="preserve">die </w:t>
      </w:r>
      <w:r>
        <w:rPr>
          <w:b/>
        </w:rPr>
        <w:t>Sicherheit von Datenbankbenutzern</w:t>
      </w:r>
      <w:r>
        <w:t xml:space="preserve"> (</w:t>
      </w:r>
      <w:r>
        <w:rPr>
          <w:i/>
        </w:rPr>
        <w:t>Database Users</w:t>
      </w:r>
      <w:r>
        <w:t>),</w:t>
      </w:r>
    </w:p>
    <w:p>
      <w:pPr>
        <w:pStyle w:val="ListBullet"/>
      </w:pPr>
      <w:r>
        <w:t xml:space="preserve">der </w:t>
      </w:r>
      <w:r>
        <w:rPr>
          <w:b/>
        </w:rPr>
        <w:t>Datenschutz</w:t>
      </w:r>
      <w:r>
        <w:t xml:space="preserve"> (</w:t>
      </w:r>
      <w:r>
        <w:rPr>
          <w:i/>
        </w:rPr>
        <w:t>Data Protection and Privacy</w:t>
      </w:r>
      <w:r>
        <w:t>),</w:t>
      </w:r>
    </w:p>
    <w:p>
      <w:pPr>
        <w:pStyle w:val="ListBullet"/>
      </w:pPr>
      <w:r>
        <w:t xml:space="preserve">die </w:t>
      </w:r>
      <w:r>
        <w:rPr>
          <w:b/>
        </w:rPr>
        <w:t>Verschlüsselung ruhender Daten</w:t>
      </w:r>
      <w:r>
        <w:t xml:space="preserve"> (</w:t>
      </w:r>
      <w:r>
        <w:rPr>
          <w:i/>
        </w:rPr>
        <w:t>Data Encryption at Rest</w:t>
      </w:r>
      <w:r>
        <w:t>) mit kundenverwalteten Schlüsseln (</w:t>
      </w:r>
      <w:r>
        <w:rPr>
          <w:i/>
        </w:rPr>
        <w:t>Customer-Managed Keys</w:t>
      </w:r>
      <w:r>
        <w:t>, CMK).</w:t>
      </w:r>
    </w:p>
    <w:p>
      <w:r>
        <w:t>Benutzer, Rollen und Rollenzuweisung sind in Kapitel 3 beschrieben. Das Anlegen von Bereichen (</w:t>
      </w:r>
      <w:r>
        <w:rPr>
          <w:i/>
        </w:rPr>
        <w:t>Spaces</w:t>
      </w:r>
      <w:r>
        <w:t>) und Datenbankbenutzern steht in Kapitel 4, das Monitoring in Kapitel 10. Hier werden nur die Sicherheitsaspekte dieser Funktionen erläutert.</w:t>
      </w:r>
    </w:p>
    <w:p>
      <w:r>
        <w:t>Grundsatz: Ohne Datenzugriffskontrolle können alle Benutzer, die einem Bereich zugeordnet sind, alle Daten in diesem Bereich sehen und nutzen. Datenzugriffskontrollen schränken die sichtbaren Datensätze je Benutzer ein.</w:t>
      </w:r>
    </w:p>
    <w:p>
      <w:pPr>
        <w:pStyle w:val="Heading2"/>
      </w:pPr>
      <w:r>
        <w:t>9.2 Aufruf und Navigation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Einstieg in der Oberfläche</w:t>
            </w:r>
          </w:p>
        </w:tc>
        <w:tc>
          <w:tcPr>
            <w:tcW w:type="dxa" w:w="2880"/>
          </w:tcPr>
          <w:p>
            <w:r>
              <w:rPr>
                <w:b/>
              </w:rPr>
              <w:t>Benötigte Rolle/Berechtigung</w:t>
            </w:r>
          </w:p>
        </w:tc>
      </w:tr>
      <w:tr>
        <w:tc>
          <w:tcPr>
            <w:tcW w:type="dxa" w:w="2880"/>
          </w:tcPr>
          <w:p>
            <w:r>
              <w:t>Datenzugriffskontrollen anlegen und bearbeiten</w:t>
            </w:r>
          </w:p>
        </w:tc>
        <w:tc>
          <w:tcPr>
            <w:tcW w:type="dxa" w:w="2880"/>
          </w:tcPr>
          <w:p>
            <w:r>
              <w:t>Seitenleiste: Datenbaustein (</w:t>
            </w:r>
            <w:r>
              <w:rPr>
                <w:i/>
              </w:rPr>
              <w:t>Data Builder</w:t>
            </w:r>
            <w:r>
              <w:t>), Bereich wählen, Editor für Datenzugriffskontrollen</w:t>
            </w:r>
          </w:p>
        </w:tc>
        <w:tc>
          <w:tcPr>
            <w:tcW w:type="dxa" w:w="2880"/>
          </w:tcPr>
          <w:p>
            <w:r>
              <w:t xml:space="preserve">Privileg </w:t>
            </w:r>
            <w:r>
              <w:rPr>
                <w:i/>
              </w:rPr>
              <w:t>Data Access Control</w:t>
            </w:r>
            <w:r>
              <w:t xml:space="preserve"> im Bereich (genaue Rollenzuordnung nicht verifiziert)</w:t>
            </w:r>
          </w:p>
        </w:tc>
      </w:tr>
      <w:tr>
        <w:tc>
          <w:tcPr>
            <w:tcW w:type="dxa" w:w="2880"/>
          </w:tcPr>
          <w:p>
            <w:r>
              <w:t>Datenzugriffskontrolle einem View zuweisen</w:t>
            </w:r>
          </w:p>
        </w:tc>
        <w:tc>
          <w:tcPr>
            <w:tcW w:type="dxa" w:w="2880"/>
          </w:tcPr>
          <w:p>
            <w:r>
              <w:t>Editor für grafische Views bzw. SQL-Views im Datenbaustein</w:t>
            </w:r>
          </w:p>
        </w:tc>
        <w:tc>
          <w:tcPr>
            <w:tcW w:type="dxa" w:w="2880"/>
          </w:tcPr>
          <w:p>
            <w:r>
              <w:t>Rechte zum Ändern von Views im Bereich (siehe Kapitel 6)</w:t>
            </w:r>
          </w:p>
        </w:tc>
      </w:tr>
      <w:tr>
        <w:tc>
          <w:tcPr>
            <w:tcW w:type="dxa" w:w="2880"/>
          </w:tcPr>
          <w:p>
            <w:r>
              <w:t>Audit-Protokollierung je Bereich</w:t>
            </w:r>
          </w:p>
        </w:tc>
        <w:tc>
          <w:tcPr>
            <w:tcW w:type="dxa" w:w="2880"/>
          </w:tcPr>
          <w:p>
            <w:r>
              <w:rPr>
                <w:i/>
              </w:rPr>
              <w:t>Space Management</w:t>
            </w:r>
            <w:r>
              <w:t xml:space="preserve"> → Bereich → </w:t>
            </w:r>
            <w:r>
              <w:rPr>
                <w:i/>
              </w:rPr>
              <w:t>Edit Space</w:t>
            </w:r>
            <w:r>
              <w:t xml:space="preserve"> → </w:t>
            </w:r>
            <w:r>
              <w:rPr>
                <w:i/>
              </w:rPr>
              <w:t>Auditing</w:t>
            </w:r>
          </w:p>
        </w:tc>
        <w:tc>
          <w:tcPr>
            <w:tcW w:type="dxa" w:w="2880"/>
          </w:tcPr>
          <w:p>
            <w:r>
              <w:t>Bereichsadministrator (</w:t>
            </w:r>
            <w:r>
              <w:rPr>
                <w:i/>
              </w:rPr>
              <w:t>Space Administrator</w:t>
            </w:r>
            <w:r>
              <w:t>)</w:t>
            </w:r>
          </w:p>
        </w:tc>
      </w:tr>
      <w:tr>
        <w:tc>
          <w:tcPr>
            <w:tcW w:type="dxa" w:w="2880"/>
          </w:tcPr>
          <w:p>
            <w:r>
              <w:t>Audit-Protokolle von Datenbankbenutzern</w:t>
            </w:r>
          </w:p>
        </w:tc>
        <w:tc>
          <w:tcPr>
            <w:tcW w:type="dxa" w:w="2880"/>
          </w:tcPr>
          <w:p>
            <w:r>
              <w:t>Bereichsseite → Datenbankbenutzer auswählen → Audit-Optionen</w:t>
            </w:r>
          </w:p>
        </w:tc>
        <w:tc>
          <w:tcPr>
            <w:tcW w:type="dxa" w:w="2880"/>
          </w:tcPr>
          <w:p>
            <w:r>
              <w:t>Bereichsadministrator</w:t>
            </w:r>
          </w:p>
        </w:tc>
      </w:tr>
      <w:tr>
        <w:tc>
          <w:tcPr>
            <w:tcW w:type="dxa" w:w="2880"/>
          </w:tcPr>
          <w:p>
            <w:r>
              <w:t>Übersicht und Löschen der Audit-Protokolle aller Bereiche</w:t>
            </w:r>
          </w:p>
        </w:tc>
        <w:tc>
          <w:tcPr>
            <w:tcW w:type="dxa" w:w="2880"/>
          </w:tcPr>
          <w:p>
            <w:r>
              <w:t>Administrationsbereich (genauer Menüpfad nicht verifiziert)</w:t>
            </w:r>
          </w:p>
        </w:tc>
        <w:tc>
          <w:tcPr>
            <w:tcW w:type="dxa" w:w="2880"/>
          </w:tcPr>
          <w:p>
            <w:r>
              <w:t>Administrator</w:t>
            </w:r>
          </w:p>
        </w:tc>
      </w:tr>
      <w:tr>
        <w:tc>
          <w:tcPr>
            <w:tcW w:type="dxa" w:w="2880"/>
          </w:tcPr>
          <w:p>
            <w:r>
              <w:t>Kennwortrichtlinie für Datenbankbenutzer</w:t>
            </w:r>
          </w:p>
        </w:tc>
        <w:tc>
          <w:tcPr>
            <w:tcW w:type="dxa" w:w="2880"/>
          </w:tcPr>
          <w:p>
            <w:r>
              <w:t>Administration (siehe Kapitel 3; Menüpfad nicht verifiziert)</w:t>
            </w:r>
          </w:p>
        </w:tc>
        <w:tc>
          <w:tcPr>
            <w:tcW w:type="dxa" w:w="2880"/>
          </w:tcPr>
          <w:p>
            <w:r>
              <w:t>Administrator</w:t>
            </w:r>
          </w:p>
        </w:tc>
      </w:tr>
      <w:tr>
        <w:tc>
          <w:tcPr>
            <w:tcW w:type="dxa" w:w="2880"/>
          </w:tcPr>
          <w:p>
            <w:r>
              <w:t>Kundenverwalteter Schlüssel</w:t>
            </w:r>
          </w:p>
        </w:tc>
        <w:tc>
          <w:tcPr>
            <w:tcW w:type="dxa" w:w="2880"/>
          </w:tcPr>
          <w:p>
            <w:r>
              <w:t>Kein eigener Menüpunkt belegt; SAP muss die Verschlüsselung ausführen</w:t>
            </w:r>
          </w:p>
        </w:tc>
        <w:tc>
          <w:tcPr>
            <w:tcW w:type="dxa" w:w="2880"/>
          </w:tcPr>
          <w:p>
            <w:r>
              <w:t>Administrator und SAP ⚠</w:t>
            </w:r>
          </w:p>
        </w:tc>
      </w:tr>
    </w:tbl>
    <w:p>
      <w:r>
        <w:t>Hinweis: SAP ändert die Benutzeroberfläche quartalsweise. Menüpfade und Dialogtexte sollten deshalb vor der Freigabe gegen die aktuelle Hilfe geprüft werden.</w:t>
      </w:r>
    </w:p>
    <w:p>
      <w:pPr>
        <w:pStyle w:val="Heading2"/>
      </w:pPr>
      <w:r>
        <w:t>9.3 Datenzugriffskontrollen (Data Access Controls)</w:t>
      </w:r>
    </w:p>
    <w:p>
      <w:pPr>
        <w:pStyle w:val="Heading3"/>
      </w:pPr>
      <w:r>
        <w:t>9.3.1 Konzept und Aufbau</w:t>
      </w:r>
    </w:p>
    <w:p>
      <w:r>
        <w:t xml:space="preserve">Eine Datenzugriffskontrolle beruht immer auf einer </w:t>
      </w:r>
      <w:r>
        <w:rPr>
          <w:b/>
        </w:rPr>
        <w:t>Berechtigungsentität</w:t>
      </w:r>
      <w:r>
        <w:t xml:space="preserve"> (</w:t>
      </w:r>
      <w:r>
        <w:rPr>
          <w:i/>
        </w:rPr>
        <w:t>Permissions Entity</w:t>
      </w:r>
      <w:r>
        <w:t>). Diese Tabelle bzw. dieser View legt fest, welche Werte jeder Benutzer sehen darf. Laut SAP-Blog kann die Berechtigungsentität eine lokale Tabelle, ein View oder eine Tabellenfunktion sein; eine Bestätigung in der Hilfe ist nicht verifiziert.</w:t>
      </w:r>
    </w:p>
    <w:p>
      <w:r>
        <w:t>Aus einer Berechtigungsentität lassen sich eine oder mehrere Datenzugriffskontrollen ableiten. In jeder davon wählt man eine oder mehrere Spalten aus, die als Kriterien (</w:t>
      </w:r>
      <w:r>
        <w:rPr>
          <w:i/>
        </w:rPr>
        <w:t>Criteria</w:t>
      </w:r>
      <w:r>
        <w:t>) gelten sollen.</w:t>
      </w:r>
    </w:p>
    <w:p>
      <w:r>
        <w:t xml:space="preserve">Die Benutzer werden über eine </w:t>
      </w:r>
      <w:r>
        <w:rPr>
          <w:b/>
        </w:rPr>
        <w:t>Kennungsspalte</w:t>
      </w:r>
      <w:r>
        <w:t xml:space="preserve"> (</w:t>
      </w:r>
      <w:r>
        <w:rPr>
          <w:i/>
        </w:rPr>
        <w:t>Identifier Column</w:t>
      </w:r>
      <w:r>
        <w:t>) zugeordnet, die die Benutzer-ID enthält. Als Kennung können auch Werte aus benutzerdefinierten Anwendungsattributen (</w:t>
      </w:r>
      <w:r>
        <w:rPr>
          <w:i/>
        </w:rPr>
        <w:t>Custom Application Attributes</w:t>
      </w:r>
      <w:r>
        <w:t>) des Identitätsanbieters dienen. Die Bedingung gilt dann für alle Benutzer mit diesem Attributwert.</w:t>
      </w:r>
    </w:p>
    <w:p>
      <w:r>
        <w:t>Ein von SAP beschriebenes typisches Szenario trennt die Verantwortung:</w:t>
      </w:r>
    </w:p>
    <w:p>
      <w:pPr>
        <w:pStyle w:val="ListNumber"/>
      </w:pPr>
      <w:r>
        <w:t>Fachanwender pflegen die Berechtigungsentität in einem Bereich.</w:t>
      </w:r>
    </w:p>
    <w:p>
      <w:pPr>
        <w:pStyle w:val="ListNumber"/>
      </w:pPr>
      <w:r>
        <w:t>Dieser Bereich gibt die Entität für einen zweiten Bereich frei.</w:t>
      </w:r>
    </w:p>
    <w:p>
      <w:pPr>
        <w:pStyle w:val="ListNumber"/>
      </w:pPr>
      <w:r>
        <w:t>Im zweiten Bereich legen technische Benutzer daraus Datenzugriffskontrollen an und weisen sie Views zu.</w:t>
      </w:r>
    </w:p>
    <w:p>
      <w:r>
        <w:t>Für die Kriterien gibt es drei Typen. Sie werden in den folgenden Abschnitten beschrieben.</w:t>
      </w:r>
    </w:p>
    <w:p>
      <w:pPr>
        <w:pStyle w:val="Heading3"/>
      </w:pPr>
      <w:r>
        <w:t>9.3.2 Typ „Einzelwerte“ (Single Values)</w:t>
      </w:r>
    </w:p>
    <w:p>
      <w:r>
        <w:rPr>
          <w:b/>
        </w:rPr>
        <w:t>Was:</w:t>
      </w:r>
      <w:r>
        <w:t xml:space="preserve"> Die Kriterien sind Einzelwerte. </w:t>
      </w:r>
      <w:r>
        <w:rPr>
          <w:b/>
        </w:rPr>
        <w:t>Wirkung:</w:t>
      </w:r>
      <w:r>
        <w:t xml:space="preserve"> Ein Benutzer sieht nur die Datensätze, die mindestens einem der für ihn hinterlegten Einzelwerte entsprechen. </w:t>
      </w:r>
      <w:r>
        <w:rPr>
          <w:b/>
        </w:rPr>
        <w:t>Wofür:</w:t>
      </w:r>
      <w:r>
        <w:t xml:space="preserve"> Einfache Einschränkungen, z. B. nach Verkaufsorganisation, Werk oder Region. </w:t>
      </w:r>
      <w:r>
        <w:rPr>
          <w:b/>
        </w:rPr>
        <w:t>Wichtigste Einstellungen:</w:t>
      </w:r>
    </w:p>
    <w:p>
      <w:pPr>
        <w:pStyle w:val="ListBullet"/>
      </w:pPr>
      <w:r>
        <w:t>Berechtigungsentität,</w:t>
      </w:r>
    </w:p>
    <w:p>
      <w:pPr>
        <w:pStyle w:val="ListBullet"/>
      </w:pPr>
      <w:r>
        <w:t>Kennungsspalte (Benutzer),</w:t>
      </w:r>
    </w:p>
    <w:p>
      <w:pPr>
        <w:pStyle w:val="ListBullet"/>
      </w:pPr>
      <w:r>
        <w:t>eine oder mehrere Kriterienspalten.</w:t>
      </w:r>
    </w:p>
    <w:p>
      <w:pPr>
        <w:pStyle w:val="Heading3"/>
      </w:pPr>
      <w:r>
        <w:t>9.3.3 Typ „Operator und Werte“ (Operator and Values)</w:t>
      </w:r>
    </w:p>
    <w:p>
      <w:r>
        <w:rPr>
          <w:b/>
        </w:rPr>
        <w:t>Was:</w:t>
      </w:r>
      <w:r>
        <w:t xml:space="preserve"> Die Kriterien sind Paare aus Operator und Wert. </w:t>
      </w:r>
      <w:r>
        <w:rPr>
          <w:b/>
        </w:rPr>
        <w:t>Wirkung:</w:t>
      </w:r>
      <w:r>
        <w:t xml:space="preserve"> Ein Benutzer sieht nur die Datensätze, die die für ihn hinterlegten Paare erfüllen. Komplexe UND-/ODER-Verknüpfungen werden unterstützt. </w:t>
      </w:r>
      <w:r>
        <w:rPr>
          <w:b/>
        </w:rPr>
        <w:t>Wofür:</w:t>
      </w:r>
      <w:r>
        <w:t xml:space="preserve"> Bereichs- und Musterbedingungen, wie sie aus Analyseberechtigungen bekannt sind. </w:t>
      </w:r>
      <w:r>
        <w:rPr>
          <w:b/>
        </w:rPr>
        <w:t>Hinweis:</w:t>
      </w:r>
      <w:r>
        <w:t xml:space="preserve"> Welche Operatoren genau unterstützt werden und wie die Spalten der Berechtigungsentität aufgebaut sein müssen, ist nicht verifiziert. Das Hilfethema „Create an ‚Operator and Values‘ Data Access Control“ muss dafür noch geprüft werden.</w:t>
      </w:r>
    </w:p>
    <w:p>
      <w:pPr>
        <w:pStyle w:val="Heading3"/>
      </w:pPr>
      <w:r>
        <w:t>9.3.4 Typ „Hierarchie“ (Hierarchy)</w:t>
      </w:r>
    </w:p>
    <w:p>
      <w:r>
        <w:rPr>
          <w:b/>
        </w:rPr>
        <w:t>Was:</w:t>
      </w:r>
      <w:r>
        <w:t xml:space="preserve"> Die Kriterien sind Hierarchieknoten. </w:t>
      </w:r>
      <w:r>
        <w:rPr>
          <w:b/>
        </w:rPr>
        <w:t>Wirkung:</w:t>
      </w:r>
      <w:r>
        <w:t xml:space="preserve"> Ein Benutzer sieht die Datensätze zu den für ihn hinterlegten Knoten und zu allen untergeordneten Knoten (Nachfahren). </w:t>
      </w:r>
      <w:r>
        <w:rPr>
          <w:b/>
        </w:rPr>
        <w:t>Wofür:</w:t>
      </w:r>
      <w:r>
        <w:t xml:space="preserve"> Organisationsstrukturen, Kostenstellen- oder Kontenhierarchien. </w:t>
      </w:r>
      <w:r>
        <w:rPr>
          <w:b/>
        </w:rPr>
        <w:t>Voraussetzung:</w:t>
      </w:r>
      <w:r>
        <w:t xml:space="preserve"> Ein View mit Hierarchie, z. B. Eltern-Kind-Struktur (siehe Kapitel 6). </w:t>
      </w:r>
      <w:r>
        <w:rPr>
          <w:b/>
        </w:rPr>
        <w:t>Wichtig:</w:t>
      </w:r>
      <w:r>
        <w:t xml:space="preserve"> Die Spalte mit den Benutzer-IDs muss als Kennungsspalte gewählt werden. Ist ein Benutzer in der Berechtigungsentität mit keiner Kennung verknüpft, sieht er im geschützten View keine Datensätze.</w:t>
      </w:r>
    </w:p>
    <w:p>
      <w:pPr>
        <w:pStyle w:val="Heading3"/>
      </w:pPr>
      <w:r>
        <w:t>9.3.5 Import von SAP-BW-Analyseberechtigungen ⚠ abhängig von Lizenz/Freischaltung</w:t>
      </w:r>
    </w:p>
    <w:p>
      <w:r>
        <w:rPr>
          <w:b/>
        </w:rPr>
        <w:t>Was:</w:t>
      </w:r>
      <w:r>
        <w:t xml:space="preserve"> Bestehende Analyseberechtigungen aus SAP BW bzw. SAP BW∕4HANA werden übernommen. </w:t>
      </w:r>
      <w:r>
        <w:rPr>
          <w:b/>
        </w:rPr>
        <w:t>Ablauf:</w:t>
      </w:r>
      <w:r>
        <w:t xml:space="preserve"> Der Assistent </w:t>
      </w:r>
      <w:r>
        <w:rPr>
          <w:i/>
        </w:rPr>
        <w:t>Import Permissions</w:t>
      </w:r>
    </w:p>
    <w:p>
      <w:pPr>
        <w:pStyle w:val="ListNumber"/>
      </w:pPr>
      <w:r>
        <w:t>importiert die Berechtigungstabelle aus dem Quellsystem,</w:t>
      </w:r>
    </w:p>
    <w:p>
      <w:pPr>
        <w:pStyle w:val="ListNumber"/>
      </w:pPr>
      <w:r>
        <w:t>legt zusätzliche Objekte an, die die Berechtigungen berechnen,</w:t>
      </w:r>
    </w:p>
    <w:p>
      <w:pPr>
        <w:pStyle w:val="ListNumber"/>
      </w:pPr>
      <w:r>
        <w:t>weist jedem ausgewählten Objekt eine Datenzugriffskontrolle zu.</w:t>
      </w:r>
    </w:p>
    <w:p>
      <w:r>
        <w:rPr>
          <w:b/>
        </w:rPr>
        <w:t>Voraussetzungen:</w:t>
      </w:r>
      <w:r>
        <w:t xml:space="preserve"> Eine Verbindung zum BW-System (siehe Kapitel 5) und importierte BW-Objekte. Welche BW-Releases und Verbindungstypen unterstützt werden, ist nicht verifiziert.</w:t>
      </w:r>
    </w:p>
    <w:p>
      <w:r>
        <w:rPr>
          <w:b/>
        </w:rPr>
        <w:t>Hinweis:</w:t>
      </w:r>
      <w:r>
        <w:t xml:space="preserve"> SAP beschreibt in einer Wissensdatenbank-Notiz Fälle, in denen das Berechtigungsskript (</w:t>
      </w:r>
      <w:r>
        <w:rPr>
          <w:i/>
        </w:rPr>
        <w:t>_P</w:t>
      </w:r>
      <w:r>
        <w:t>) bei Remote-Datenzugriffskontrollen mit SAP BW∕4HANA keine Daten liefert. Die Berechtigungen im Quellsystem sollten deshalb vor dem Import geprüft werden.</w:t>
      </w:r>
    </w:p>
    <w:p>
      <w:pPr>
        <w:pStyle w:val="Heading3"/>
      </w:pPr>
      <w:r>
        <w:t>9.3.6 Zuweisung an Views</w:t>
      </w:r>
    </w:p>
    <w:p>
      <w:r>
        <w:t xml:space="preserve">Datenzugriffskontrollen werden in </w:t>
      </w:r>
      <w:r>
        <w:rPr>
          <w:b/>
        </w:rPr>
        <w:t>grafischen Views und SQL-Views</w:t>
      </w:r>
      <w:r>
        <w:t xml:space="preserve"> zugewiesen. Einem View können eine oder mehrere Datenzugriffskontrollen zugewiesen werden. Dabei verknüpft man die Kriterienspalten der Datenzugriffskontrolle mit passenden Spalten des Views.</w:t>
      </w:r>
    </w:p>
    <w:p>
      <w:r>
        <w:t>Nach der Bereitstellung (</w:t>
      </w:r>
      <w:r>
        <w:rPr>
          <w:i/>
        </w:rPr>
        <w:t>Deploy</w:t>
      </w:r>
      <w:r>
        <w:t>) sehen Benutzer im View, in nachgelagerten Views und beim Verbrauch über Analysewerkzeuge nur noch die für sie freigegebenen Datensätze (siehe Kapitel 12).</w:t>
      </w:r>
    </w:p>
    <w:p>
      <w:pPr>
        <w:pStyle w:val="Heading3"/>
      </w:pPr>
      <w:r>
        <w:t>9.3.7 Abhängigkeiten und Grenzen</w:t>
      </w:r>
    </w:p>
    <w:p>
      <w:pPr>
        <w:pStyle w:val="ListBullet"/>
      </w:pPr>
      <w:r>
        <w:rPr>
          <w:b/>
        </w:rPr>
        <w:t>Persistenz:</w:t>
      </w:r>
      <w:r>
        <w:t xml:space="preserve"> Je nachdem, wo eine Datenzugriffskontrolle sitzt, kann sie das Persistieren eines Views verhindern. Laut SAP-Wissensdatenbank lässt sich ein View nicht persistieren, wenn er einen View mit Datenzugriffskontrolle verwendet. Siehe dazu das Hilfethema „Persisted Views and Data Access Control“ und Kapitel 10.</w:t>
      </w:r>
    </w:p>
    <w:p>
      <w:pPr>
        <w:pStyle w:val="ListBullet"/>
      </w:pPr>
      <w:r>
        <w:rPr>
          <w:b/>
        </w:rPr>
        <w:t>Analytische Modelle:</w:t>
      </w:r>
      <w:r>
        <w:t xml:space="preserve"> Enthält ein analytisches Modell Standard-, Stichtags- (</w:t>
      </w:r>
      <w:r>
        <w:rPr>
          <w:i/>
        </w:rPr>
        <w:t>Reference Date</w:t>
      </w:r>
      <w:r>
        <w:t>) oder X-Variablen, kann eine Datenzugriffskontrolle keinem Dimensionsattribut zugeordnet werden (siehe Kapitel 6).</w:t>
      </w:r>
    </w:p>
    <w:p>
      <w:pPr>
        <w:pStyle w:val="ListBullet"/>
      </w:pPr>
      <w:r>
        <w:rPr>
          <w:b/>
        </w:rPr>
        <w:t>Ohne Zuordnung keine Daten:</w:t>
      </w:r>
      <w:r>
        <w:t xml:space="preserve"> Ohne Eintrag in der Berechtigungsentität sieht ein Benutzer im geschützten View nichts (für den Typ „Hierarchie“ belegt).</w:t>
      </w:r>
    </w:p>
    <w:p>
      <w:pPr>
        <w:pStyle w:val="ListBullet"/>
      </w:pPr>
      <w:r>
        <w:rPr>
          <w:b/>
        </w:rPr>
        <w:t>Rollen ersetzen keine DAC:</w:t>
      </w:r>
      <w:r>
        <w:t xml:space="preserve"> Rollen und Privilegien regeln den Zugriff auf Funktionen und Objekte. Welche Zeilen ein Benutzer sieht, regelt allein die Datenzugriffskontrolle.</w:t>
      </w:r>
    </w:p>
    <w:p>
      <w:pPr>
        <w:pStyle w:val="Heading2"/>
      </w:pPr>
      <w:r>
        <w:t>9.4 Berechtigungsmatrix (Privileges by App, Tool, Object, and Task)</w:t>
      </w:r>
    </w:p>
    <w:p>
      <w:r>
        <w:t xml:space="preserve">Privilegien stehen für Bereiche der Anwendung, z. B. </w:t>
      </w:r>
      <w:r>
        <w:rPr>
          <w:i/>
        </w:rPr>
        <w:t>Space Management</w:t>
      </w:r>
      <w:r>
        <w:t xml:space="preserve"> oder </w:t>
      </w:r>
      <w:r>
        <w:rPr>
          <w:i/>
        </w:rPr>
        <w:t>Business Builder</w:t>
      </w:r>
      <w:r>
        <w:t>, und für die dort angelegten Objekte. Die Standardrollen enthalten jeweils passende Sätze von Privilegien und Berechtigungen. Grundlagen zu Rollen stehen in Kapitel 3.</w:t>
      </w:r>
    </w:p>
    <w:p>
      <w:r>
        <w:t>Welche Privilegien man für einzelne Apps, Werkzeuge, Objekte und Aufgaben braucht, zeigt die Hilfeseite „Privileges by App, Tool, Object, and Task“. Sie dient als Nachschlagematrix, wenn eigene Rollen (</w:t>
      </w:r>
      <w:r>
        <w:rPr>
          <w:i/>
        </w:rPr>
        <w:t>Custom Roles</w:t>
      </w:r>
      <w:r>
        <w:t>) oder bereichsbezogene Rollen (</w:t>
      </w:r>
      <w:r>
        <w:rPr>
          <w:i/>
        </w:rPr>
        <w:t>Scoped Roles</w:t>
      </w:r>
      <w:r>
        <w:t>) erstellt werden. Belegtes Beispiel: Für die View-Analyse (</w:t>
      </w:r>
      <w:r>
        <w:rPr>
          <w:i/>
        </w:rPr>
        <w:t>View Analyzer</w:t>
      </w:r>
      <w:r>
        <w:t xml:space="preserve">) sieht man alle Entitäten nur mit der globalen Rolle </w:t>
      </w:r>
      <w:r>
        <w:rPr>
          <w:i/>
        </w:rPr>
        <w:t>DW Administrator</w:t>
      </w:r>
      <w:r>
        <w:t xml:space="preserve"> oder mit einer eigenen Rolle, die das Privileg </w:t>
      </w:r>
      <w:r>
        <w:rPr>
          <w:i/>
        </w:rPr>
        <w:t>Data Warehouse Runtime</w:t>
      </w:r>
      <w:r>
        <w:t xml:space="preserve"> (</w:t>
      </w:r>
      <w:r>
        <w:rPr>
          <w:i/>
        </w:rPr>
        <w:t>Read</w:t>
      </w:r>
      <w:r>
        <w:t>) enthält.</w:t>
      </w:r>
    </w:p>
    <w:p>
      <w:r>
        <w:t>Die folgende Tabelle fasst die sicherheitsrelevanten Einträge zusammen. Nicht belegte Zuordnungen sind entsprechend gekennzeichnet.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App/Werkzeug</w:t>
            </w:r>
          </w:p>
        </w:tc>
        <w:tc>
          <w:tcPr>
            <w:tcW w:type="dxa" w:w="2880"/>
          </w:tcPr>
          <w:p>
            <w:r>
              <w:rPr>
                <w:b/>
              </w:rPr>
              <w:t>Aufgabe</w:t>
            </w:r>
          </w:p>
        </w:tc>
        <w:tc>
          <w:tcPr>
            <w:tcW w:type="dxa" w:w="2880"/>
          </w:tcPr>
          <w:p>
            <w:r>
              <w:rPr>
                <w:b/>
              </w:rPr>
              <w:t>Benötigtes Privileg bzw. benötigte Rolle</w:t>
            </w:r>
          </w:p>
        </w:tc>
      </w:tr>
      <w:tr>
        <w:tc>
          <w:tcPr>
            <w:tcW w:type="dxa" w:w="2880"/>
          </w:tcPr>
          <w:p>
            <w:r>
              <w:t>Datenbaustein</w:t>
            </w:r>
          </w:p>
        </w:tc>
        <w:tc>
          <w:tcPr>
            <w:tcW w:type="dxa" w:w="2880"/>
          </w:tcPr>
          <w:p>
            <w:r>
              <w:t>Datenzugriffskontrolle anlegen, ändern, löschen</w:t>
            </w:r>
          </w:p>
        </w:tc>
        <w:tc>
          <w:tcPr>
            <w:tcW w:type="dxa" w:w="2880"/>
          </w:tcPr>
          <w:p>
            <w:r>
              <w:rPr>
                <w:i/>
              </w:rPr>
              <w:t>Data Access Control</w:t>
            </w:r>
            <w:r>
              <w:t xml:space="preserve"> (CRUD), bereichsbezogen – nicht verifiziert</w:t>
            </w:r>
          </w:p>
        </w:tc>
      </w:tr>
      <w:tr>
        <w:tc>
          <w:tcPr>
            <w:tcW w:type="dxa" w:w="2880"/>
          </w:tcPr>
          <w:p>
            <w:r>
              <w:t>Datenbaustein</w:t>
            </w:r>
          </w:p>
        </w:tc>
        <w:tc>
          <w:tcPr>
            <w:tcW w:type="dxa" w:w="2880"/>
          </w:tcPr>
          <w:p>
            <w:r>
              <w:t>Datenzugriffskontrolle einem View zuweisen</w:t>
            </w:r>
          </w:p>
        </w:tc>
        <w:tc>
          <w:tcPr>
            <w:tcW w:type="dxa" w:w="2880"/>
          </w:tcPr>
          <w:p>
            <w:r>
              <w:t>Änderungsrecht für Data-Builder-Objekte im Bereich – nicht verifiziert</w:t>
            </w:r>
          </w:p>
        </w:tc>
      </w:tr>
      <w:tr>
        <w:tc>
          <w:tcPr>
            <w:tcW w:type="dxa" w:w="2880"/>
          </w:tcPr>
          <w:p>
            <w:r>
              <w:t>Datenbaustein</w:t>
            </w:r>
          </w:p>
        </w:tc>
        <w:tc>
          <w:tcPr>
            <w:tcW w:type="dxa" w:w="2880"/>
          </w:tcPr>
          <w:p>
            <w:r>
              <w:t>BW-Berechtigungen importieren</w:t>
            </w:r>
          </w:p>
        </w:tc>
        <w:tc>
          <w:tcPr>
            <w:tcW w:type="dxa" w:w="2880"/>
          </w:tcPr>
          <w:p>
            <w:r>
              <w:t>Wie oben, zusätzlich Zugriff auf die Verbindung – nicht verifiziert</w:t>
            </w:r>
          </w:p>
        </w:tc>
      </w:tr>
      <w:tr>
        <w:tc>
          <w:tcPr>
            <w:tcW w:type="dxa" w:w="2880"/>
          </w:tcPr>
          <w:p>
            <w:r>
              <w:rPr>
                <w:i/>
              </w:rPr>
              <w:t>Space Management</w:t>
            </w:r>
          </w:p>
        </w:tc>
        <w:tc>
          <w:tcPr>
            <w:tcW w:type="dxa" w:w="2880"/>
          </w:tcPr>
          <w:p>
            <w:r>
              <w:t>Audit-Protokolle des Bereichs aktivieren</w:t>
            </w:r>
          </w:p>
        </w:tc>
        <w:tc>
          <w:tcPr>
            <w:tcW w:type="dxa" w:w="2880"/>
          </w:tcPr>
          <w:p>
            <w:r>
              <w:t>Bereichsadministrator (belegt)</w:t>
            </w:r>
          </w:p>
        </w:tc>
      </w:tr>
      <w:tr>
        <w:tc>
          <w:tcPr>
            <w:tcW w:type="dxa" w:w="2880"/>
          </w:tcPr>
          <w:p>
            <w:r>
              <w:t>Administration</w:t>
            </w:r>
          </w:p>
        </w:tc>
        <w:tc>
          <w:tcPr>
            <w:tcW w:type="dxa" w:w="2880"/>
          </w:tcPr>
          <w:p>
            <w:r>
              <w:t>Audit-Protokolle aller Bereiche ansehen und löschen</w:t>
            </w:r>
          </w:p>
        </w:tc>
        <w:tc>
          <w:tcPr>
            <w:tcW w:type="dxa" w:w="2880"/>
          </w:tcPr>
          <w:p>
            <w:r>
              <w:t>Administrator (belegt)</w:t>
            </w:r>
          </w:p>
        </w:tc>
      </w:tr>
      <w:tr>
        <w:tc>
          <w:tcPr>
            <w:tcW w:type="dxa" w:w="2880"/>
          </w:tcPr>
          <w:p>
            <w:r>
              <w:t>View-Analyse</w:t>
            </w:r>
          </w:p>
        </w:tc>
        <w:tc>
          <w:tcPr>
            <w:tcW w:type="dxa" w:w="2880"/>
          </w:tcPr>
          <w:p>
            <w:r>
              <w:t>Alle Entitäten einsehen</w:t>
            </w:r>
          </w:p>
        </w:tc>
        <w:tc>
          <w:tcPr>
            <w:tcW w:type="dxa" w:w="2880"/>
          </w:tcPr>
          <w:p>
            <w:r>
              <w:rPr>
                <w:i/>
              </w:rPr>
              <w:t>DW Administrator</w:t>
            </w:r>
            <w:r>
              <w:t xml:space="preserve"> oder </w:t>
            </w:r>
            <w:r>
              <w:rPr>
                <w:i/>
              </w:rPr>
              <w:t>Data Warehouse Runtime</w:t>
            </w:r>
            <w:r>
              <w:t xml:space="preserve"> (</w:t>
            </w:r>
            <w:r>
              <w:rPr>
                <w:i/>
              </w:rPr>
              <w:t>Read</w:t>
            </w:r>
            <w:r>
              <w:t>) (belegt)</w:t>
            </w:r>
          </w:p>
        </w:tc>
      </w:tr>
      <w:tr>
        <w:tc>
          <w:tcPr>
            <w:tcW w:type="dxa" w:w="2880"/>
          </w:tcPr>
          <w:p>
            <w:r>
              <w:t>Administration</w:t>
            </w:r>
          </w:p>
        </w:tc>
        <w:tc>
          <w:tcPr>
            <w:tcW w:type="dxa" w:w="2880"/>
          </w:tcPr>
          <w:p>
            <w:r>
              <w:t>Datenbank-Analysebenutzer anlegen</w:t>
            </w:r>
          </w:p>
        </w:tc>
        <w:tc>
          <w:tcPr>
            <w:tcW w:type="dxa" w:w="2880"/>
          </w:tcPr>
          <w:p>
            <w:r>
              <w:t>Administrator – Privileg nicht verifiziert</w:t>
            </w:r>
          </w:p>
        </w:tc>
      </w:tr>
    </w:tbl>
    <w:p>
      <w:pPr>
        <w:pStyle w:val="Heading2"/>
      </w:pPr>
      <w:r>
        <w:t>9.5 Audit-Protokollierung (Audit Logging)</w:t>
      </w:r>
    </w:p>
    <w:p>
      <w:pPr>
        <w:pStyle w:val="Heading3"/>
      </w:pPr>
      <w:r>
        <w:t>9.5.1 Zweck</w:t>
      </w:r>
    </w:p>
    <w:p>
      <w:r>
        <w:t>Mit der Audit-Protokollierung lässt sich nachvollziehen, wer Daten eines Bereichs gelesen oder geändert hat. Das unterstützt Revisionsanforderungen und kann bei Planungsszenarien auch zur Analyse und Wiederherstellung von Änderungen dienen.</w:t>
      </w:r>
    </w:p>
    <w:p>
      <w:pPr>
        <w:pStyle w:val="Heading3"/>
      </w:pPr>
      <w:r>
        <w:t>9.5.2 Funktionen</w:t>
      </w:r>
    </w:p>
    <w:p>
      <w:pPr>
        <w:pStyle w:val="ListBullet"/>
      </w:pPr>
      <w:r>
        <w:rPr>
          <w:b/>
        </w:rPr>
        <w:t>Lese- und Änderungs-Audit je Bereich:</w:t>
      </w:r>
      <w:r>
        <w:t xml:space="preserve"> Bereichsadministratoren aktivieren die Protokollierung unter </w:t>
      </w:r>
      <w:r>
        <w:rPr>
          <w:i/>
        </w:rPr>
        <w:t>Space Management</w:t>
      </w:r>
      <w:r>
        <w:t xml:space="preserve"> → </w:t>
      </w:r>
      <w:r>
        <w:rPr>
          <w:i/>
        </w:rPr>
        <w:t>Edit Space</w:t>
      </w:r>
      <w:r>
        <w:t xml:space="preserve"> → </w:t>
      </w:r>
      <w:r>
        <w:rPr>
          <w:i/>
        </w:rPr>
        <w:t>Auditing</w:t>
      </w:r>
      <w:r>
        <w:t xml:space="preserve">. Dazu dienen die Optionen </w:t>
      </w:r>
      <w:r>
        <w:rPr>
          <w:i/>
        </w:rPr>
        <w:t>Enable Audit Log for Read Operations</w:t>
      </w:r>
      <w:r>
        <w:t xml:space="preserve"> und </w:t>
      </w:r>
      <w:r>
        <w:rPr>
          <w:i/>
        </w:rPr>
        <w:t>Enable Audit Log for Change Operations</w:t>
      </w:r>
      <w:r>
        <w:t>.</w:t>
      </w:r>
    </w:p>
    <w:p>
      <w:pPr>
        <w:pStyle w:val="ListBullet"/>
      </w:pPr>
      <w:r>
        <w:rPr>
          <w:b/>
        </w:rPr>
        <w:t>Aufbewahrungsdauer:</w:t>
      </w:r>
      <w:r>
        <w:t xml:space="preserve"> Für jede Richtlinie (Lesen bzw. Ändern) wird eine Aufbewahrungsdauer in Tagen festgelegt.</w:t>
      </w:r>
    </w:p>
    <w:p>
      <w:pPr>
        <w:pStyle w:val="ListBullet"/>
      </w:pPr>
      <w:r>
        <w:rPr>
          <w:b/>
        </w:rPr>
        <w:t>Audit für Datenbankbenutzer:</w:t>
      </w:r>
      <w:r>
        <w:t xml:space="preserve"> Für einzelne Datenbankbenutzer mit Open-SQL-Schema lassen sich ebenfalls Lese- und Änderungsprotokolle mit eigener Aufbewahrungsdauer aktivieren.</w:t>
      </w:r>
    </w:p>
    <w:p>
      <w:pPr>
        <w:pStyle w:val="ListBullet"/>
      </w:pPr>
      <w:r>
        <w:rPr>
          <w:b/>
        </w:rPr>
        <w:t>Zentrale Übersicht:</w:t>
      </w:r>
      <w:r>
        <w:t xml:space="preserve"> Administratoren sehen die Audit-Protokolle aller Bereiche und können sie löschen, z. B. um Speicherplatz freizugeben.</w:t>
      </w:r>
    </w:p>
    <w:p>
      <w:pPr>
        <w:pStyle w:val="ListBullet"/>
      </w:pPr>
      <w:r>
        <w:rPr>
          <w:b/>
        </w:rPr>
        <w:t>Auswertung:</w:t>
      </w:r>
      <w:r>
        <w:t xml:space="preserve"> Dafür wird ein Bereich vorbereitet und als Audit-Bereich festgelegt. Die Protokolleinträge lassen sich dann in Views des Datenbausteins auswerten. Die Überwachung ist in Kapitel 10 beschrieben.</w:t>
      </w:r>
    </w:p>
    <w:p>
      <w:pPr>
        <w:pStyle w:val="Heading3"/>
      </w:pPr>
      <w:r>
        <w:t>9.5.3 Wichtige Hinweise</w:t>
      </w:r>
    </w:p>
    <w:p>
      <w:pPr>
        <w:pStyle w:val="ListBullet"/>
      </w:pPr>
      <w:r>
        <w:t xml:space="preserve">Wird eine Audit-Richtlinie für einen Bereich oder einen Datenbankbenutzer deaktiviert, </w:t>
      </w:r>
      <w:r>
        <w:rPr>
          <w:b/>
        </w:rPr>
        <w:t>werden alle zugehörigen Protokolleinträge gelöscht</w:t>
      </w:r>
      <w:r>
        <w:t>.</w:t>
      </w:r>
    </w:p>
    <w:p>
      <w:pPr>
        <w:pStyle w:val="ListBullet"/>
      </w:pPr>
      <w:r>
        <w:t xml:space="preserve">Wer die Einträge eines Bereichs behalten will, muss sie </w:t>
      </w:r>
      <w:r>
        <w:rPr>
          <w:b/>
        </w:rPr>
        <w:t>vor dem Löschen des Bereichs exportieren</w:t>
      </w:r>
      <w:r>
        <w:t>.</w:t>
      </w:r>
    </w:p>
    <w:p>
      <w:pPr>
        <w:pStyle w:val="ListBullet"/>
      </w:pPr>
      <w:r>
        <w:t>Audit-Protokolle belegen Speicher. Die Aufbewahrungsdauer sollte deshalb an Revisionspflichten und an die Kapazität des Mandanten angepasst werden.</w:t>
      </w:r>
    </w:p>
    <w:p>
      <w:pPr>
        <w:pStyle w:val="Heading2"/>
      </w:pPr>
      <w:r>
        <w:t>9.6 Sicherheit von Datenbankbenutzern</w:t>
      </w:r>
    </w:p>
    <w:p>
      <w:r>
        <w:t>Datenbankbenutzer werden in Kapitel 4 angelegt. Sicherheitsrelevant sind folgende Punkte:</w:t>
      </w:r>
    </w:p>
    <w:p>
      <w:pPr>
        <w:pStyle w:val="ListBullet"/>
      </w:pPr>
      <w:r>
        <w:rPr>
          <w:b/>
        </w:rPr>
        <w:t>Kennwortrichtlinie:</w:t>
      </w:r>
      <w:r>
        <w:t xml:space="preserve"> Für Datenbankbenutzer kann eine Kennwortrichtlinie festgelegt werden, mit Anforderungen an die Komplexität, Ablauffristen und Einschränkungen bei der Wiederverwendung.</w:t>
      </w:r>
    </w:p>
    <w:p>
      <w:pPr>
        <w:pStyle w:val="ListBullet"/>
      </w:pPr>
      <w:r>
        <w:rPr>
          <w:b/>
        </w:rPr>
        <w:t>Schreibzugriff:</w:t>
      </w:r>
      <w:r>
        <w:t xml:space="preserve"> Ist im Dialog </w:t>
      </w:r>
      <w:r>
        <w:rPr>
          <w:i/>
        </w:rPr>
        <w:t>Edit Privileges</w:t>
      </w:r>
      <w:r>
        <w:t xml:space="preserve"> die Option </w:t>
      </w:r>
      <w:r>
        <w:rPr>
          <w:i/>
        </w:rPr>
        <w:t>Enable Write Access (SQL, DDL, DML)</w:t>
      </w:r>
      <w:r>
        <w:t xml:space="preserve"> gesetzt, kann der Benutzer mit externen Werkzeugen Objekte in seinem Open-SQL-Schema anlegen und Daten schreiben. Diese Option sollte nur gezielt vergeben werden.</w:t>
      </w:r>
    </w:p>
    <w:p>
      <w:pPr>
        <w:pStyle w:val="ListBullet"/>
      </w:pPr>
      <w:r>
        <w:rPr>
          <w:b/>
        </w:rPr>
        <w:t>Rechte zwischen Schema und Bereich:</w:t>
      </w:r>
      <w:r>
        <w:t xml:space="preserve"> Rechte wie INSERT, UPDATE oder DELETE auf Objekte des Open-SQL-Schemas erhält der Bereich über eine gespeicherte Prozedur. Diese wird in der SQL-Konsole des SAP HANA Database Explorer aufgerufen (</w:t>
      </w:r>
      <w:r>
        <w:rPr>
          <w:i/>
        </w:rPr>
        <w:t>Database Access</w:t>
      </w:r>
      <w:r>
        <w:t xml:space="preserve"> → </w:t>
      </w:r>
      <w:r>
        <w:rPr>
          <w:i/>
        </w:rPr>
        <w:t>Database Users</w:t>
      </w:r>
      <w:r>
        <w:t xml:space="preserve"> → </w:t>
      </w:r>
      <w:r>
        <w:rPr>
          <w:i/>
        </w:rPr>
        <w:t>Open Database Explorer</w:t>
      </w:r>
      <w:r>
        <w:t>).</w:t>
      </w:r>
    </w:p>
    <w:p>
      <w:pPr>
        <w:pStyle w:val="ListBullet"/>
      </w:pPr>
      <w:r>
        <w:rPr>
          <w:b/>
        </w:rPr>
        <w:t>Datenbank-Analysebenutzer</w:t>
      </w:r>
      <w:r>
        <w:t xml:space="preserve"> (</w:t>
      </w:r>
      <w:r>
        <w:rPr>
          <w:i/>
        </w:rPr>
        <w:t>Database Analysis User</w:t>
      </w:r>
      <w:r>
        <w:t>):</w:t>
      </w:r>
    </w:p>
    <w:p>
      <w:pPr>
        <w:pStyle w:val="ListBullet"/>
      </w:pPr>
      <w:r>
        <w:t>Sie haben Lesezugriff auf alle Bereichsschemas.</w:t>
      </w:r>
    </w:p>
    <w:p>
      <w:pPr>
        <w:pStyle w:val="ListBullet"/>
      </w:pPr>
      <w:r>
        <w:t>Alle ihre Aktivitäten werden in Audit-Protokollen erfasst.</w:t>
      </w:r>
    </w:p>
    <w:p>
      <w:pPr>
        <w:pStyle w:val="ListBullet"/>
      </w:pPr>
      <w:r>
        <w:t>Sie sind nur für Analyse, Tracing und Fehlersuche bei konkreten Datenbankproblemen gedacht und sollten danach wieder gelöscht werden. Diese Empfehlung ist nicht verifiziert.</w:t>
      </w:r>
    </w:p>
    <w:p>
      <w:pPr>
        <w:pStyle w:val="ListBullet"/>
      </w:pPr>
      <w:r>
        <w:rPr>
          <w:b/>
        </w:rPr>
        <w:t>Audit:</w:t>
      </w:r>
      <w:r>
        <w:t xml:space="preserve"> Für Datenbankbenutzer können Lese- und Änderungs-Audit aktiviert werden (siehe 9.5.2).</w:t>
      </w:r>
    </w:p>
    <w:p>
      <w:pPr>
        <w:pStyle w:val="Heading2"/>
      </w:pPr>
      <w:r>
        <w:t>9.7 Datenschutz (Data Protection and Privacy)</w:t>
      </w:r>
    </w:p>
    <w:p>
      <w:r>
        <w:t xml:space="preserve">SAP stellt Funktionen bereit, mit denen Kunden ihre eigenen Sicherheits- und Datenschutzkonzepte umsetzen können. Diese sind im </w:t>
      </w:r>
      <w:r>
        <w:rPr>
          <w:i/>
        </w:rPr>
        <w:t>SAP Datasphere Security Guide</w:t>
      </w:r>
      <w:r>
        <w:t xml:space="preserve"> beschrieben. Die Verantwortung für die Einhaltung der geltenden Datenschutzgesetze bleibt beim Kunden.</w:t>
      </w:r>
    </w:p>
    <w:p>
      <w:r>
        <w:t>Die in diesem Kapitel beschriebenen Funktionen unterstützen den Datenschutz:</w:t>
      </w:r>
    </w:p>
    <w:p>
      <w:pPr>
        <w:pStyle w:val="ListBullet"/>
      </w:pPr>
      <w:r>
        <w:t>Zeilenbeschränkung durch Datenzugriffskontrollen (9.3),</w:t>
      </w:r>
    </w:p>
    <w:p>
      <w:pPr>
        <w:pStyle w:val="ListBullet"/>
      </w:pPr>
      <w:r>
        <w:t>Protokollierung von Lesezugriffen, auch auf personenbezogene Daten (9.5),</w:t>
      </w:r>
    </w:p>
    <w:p>
      <w:pPr>
        <w:pStyle w:val="ListBullet"/>
      </w:pPr>
      <w:r>
        <w:t>Trennung nach Bereichen (siehe Kapitel 4),</w:t>
      </w:r>
    </w:p>
    <w:p>
      <w:pPr>
        <w:pStyle w:val="ListBullet"/>
      </w:pPr>
      <w:r>
        <w:t>Verschlüsselung (9.8).</w:t>
      </w:r>
    </w:p>
    <w:p>
      <w:r>
        <w:t xml:space="preserve">Die SAP-Sicherheitsleitfäden nennen allgemein Funktionen wie das vereinfachte Sperren und Löschen personenbezogener Daten. Ob und wie das in SAP Datasphere konkret umgesetzt ist (z. B. Löschfristen, Auskunft), ist </w:t>
      </w:r>
      <w:r>
        <w:rPr>
          <w:b/>
        </w:rPr>
        <w:t>nicht verifiziert</w:t>
      </w:r>
      <w:r>
        <w:t>.</w:t>
      </w:r>
    </w:p>
    <w:p>
      <w:pPr>
        <w:pStyle w:val="Heading2"/>
      </w:pPr>
      <w:r>
        <w:t>9.8 Verschlüsselung ruhender Daten und kundenverwaltete Schlüssel ⚠ abhängig von Lizenz/Freischaltung</w:t>
      </w:r>
    </w:p>
    <w:p>
      <w:r>
        <w:t>Ruhende Daten werden verschlüsselt. Wer den Zugriff auf die SAP-Datasphere-Datenbank oder den Objektspeicher (</w:t>
      </w:r>
      <w:r>
        <w:rPr>
          <w:i/>
        </w:rPr>
        <w:t>Object Store</w:t>
      </w:r>
      <w:r>
        <w:t xml:space="preserve">) selbst kontrollieren will, kann mit dem </w:t>
      </w:r>
      <w:r>
        <w:rPr>
          <w:b/>
        </w:rPr>
        <w:t>SAP Key Management Service (KMS)</w:t>
      </w:r>
      <w:r>
        <w:t xml:space="preserve"> einen kundenverwalteten Schlüssel anlegen. Anschließend beauftragt man SAP, die Datenbank bzw. den Objektspeicher mit diesem Schlüssel zu verschlüsseln.</w:t>
      </w:r>
    </w:p>
    <w:p>
      <w:r>
        <w:t>Nicht verifiziert sind:</w:t>
      </w:r>
    </w:p>
    <w:p>
      <w:pPr>
        <w:pStyle w:val="ListBullet"/>
      </w:pPr>
      <w:r>
        <w:t>die Voraussetzungen (Lizenz, Hyperscaler, Region),</w:t>
      </w:r>
    </w:p>
    <w:p>
      <w:pPr>
        <w:pStyle w:val="ListBullet"/>
      </w:pPr>
      <w:r>
        <w:t>das Verhalten beim Widerruf des Schlüssels,</w:t>
      </w:r>
    </w:p>
    <w:p>
      <w:pPr>
        <w:pStyle w:val="ListBullet"/>
      </w:pPr>
      <w:r>
        <w:t>die Ausfallzeiten während der Umstellung.</w:t>
      </w:r>
    </w:p>
    <w:p>
      <w:pPr>
        <w:pStyle w:val="Heading2"/>
      </w:pPr>
      <w:r>
        <w:t>9.9 Typische Abläufe</w:t>
      </w:r>
    </w:p>
    <w:p>
      <w:r>
        <w:rPr>
          <w:b/>
        </w:rPr>
        <w:t>Ablauf A – Datenzugriffskontrolle vom Typ „Einzelwerte“ anlegen und zuweisen</w:t>
      </w:r>
    </w:p>
    <w:p>
      <w:pPr>
        <w:pStyle w:val="ListNumber"/>
      </w:pPr>
      <w:r>
        <w:t>Im Datenbaustein eine Berechtigungsentität (Tabelle oder View) mit einer Spalte für die Benutzer-ID und den Kriterienspalten anlegen und befüllen.</w:t>
      </w:r>
    </w:p>
    <w:p>
      <w:pPr>
        <w:pStyle w:val="ListNumber"/>
      </w:pPr>
      <w:r>
        <w:t>Bei getrennter Pflege die Entität für den Modellierungsbereich freigeben.</w:t>
      </w:r>
    </w:p>
    <w:p>
      <w:pPr>
        <w:pStyle w:val="ListNumber"/>
      </w:pPr>
      <w:r>
        <w:t>Im Datenbaustein eine neue Datenzugriffskontrolle anlegen und die Berechtigungsentität auswählen.</w:t>
      </w:r>
    </w:p>
    <w:p>
      <w:pPr>
        <w:pStyle w:val="ListNumber"/>
      </w:pPr>
      <w:r>
        <w:t xml:space="preserve">Als Kriterientyp </w:t>
      </w:r>
      <w:r>
        <w:rPr>
          <w:i/>
        </w:rPr>
        <w:t>Single Values</w:t>
      </w:r>
      <w:r>
        <w:t xml:space="preserve"> wählen, die Kennungsspalte und die Kriterienspalte(n) festlegen, speichern und bereitstellen.</w:t>
      </w:r>
    </w:p>
    <w:p>
      <w:pPr>
        <w:pStyle w:val="ListNumber"/>
      </w:pPr>
      <w:r>
        <w:t>Den gewünschten grafischen View oder SQL-View öffnen, die Datenzugriffskontrolle zuweisen und die Spalten verknüpfen.</w:t>
      </w:r>
    </w:p>
    <w:p>
      <w:pPr>
        <w:pStyle w:val="ListNumber"/>
      </w:pPr>
      <w:r>
        <w:t>Den View bereitstellen und in der Datenvorschau mit einem Testbenutzer prüfen.</w:t>
      </w:r>
    </w:p>
    <w:p>
      <w:r>
        <w:rPr>
          <w:b/>
        </w:rPr>
        <w:t>Ablauf B – Hierarchie-Datenzugriffskontrolle</w:t>
      </w:r>
    </w:p>
    <w:p>
      <w:pPr>
        <w:pStyle w:val="ListNumber"/>
      </w:pPr>
      <w:r>
        <w:t>Sicherstellen, dass ein Hierarchie-View (z. B. Eltern-Kind) mit der Dimension verknüpft ist.</w:t>
      </w:r>
    </w:p>
    <w:p>
      <w:pPr>
        <w:pStyle w:val="ListNumber"/>
      </w:pPr>
      <w:r>
        <w:t>In der Berechtigungsentität je Benutzer die erlaubten Hierarchieknoten pflegen.</w:t>
      </w:r>
    </w:p>
    <w:p>
      <w:pPr>
        <w:pStyle w:val="ListNumber"/>
      </w:pPr>
      <w:r>
        <w:t xml:space="preserve">Eine Datenzugriffskontrolle vom Typ </w:t>
      </w:r>
      <w:r>
        <w:rPr>
          <w:i/>
        </w:rPr>
        <w:t>Hierarchy</w:t>
      </w:r>
      <w:r>
        <w:t xml:space="preserve"> anlegen und die Benutzer-ID-Spalte als Kennungsspalte wählen.</w:t>
      </w:r>
    </w:p>
    <w:p>
      <w:pPr>
        <w:pStyle w:val="ListNumber"/>
      </w:pPr>
      <w:r>
        <w:t>Die Datenzugriffskontrolle dem View zuweisen, bereitstellen und prüfen, ob auch untergeordnete Knoten sichtbar sind.</w:t>
      </w:r>
    </w:p>
    <w:p>
      <w:r>
        <w:rPr>
          <w:b/>
        </w:rPr>
        <w:t>Ablauf C – BW-Analyseberechtigungen übernehmen</w:t>
      </w:r>
      <w:r>
        <w:t xml:space="preserve"> ⚠</w:t>
      </w:r>
    </w:p>
    <w:p>
      <w:pPr>
        <w:pStyle w:val="ListNumber"/>
      </w:pPr>
      <w:r>
        <w:t>Prüfen, ob die Verbindung zum BW-System und die BW-Objekte vorhanden sind.</w:t>
      </w:r>
    </w:p>
    <w:p>
      <w:pPr>
        <w:pStyle w:val="ListNumber"/>
      </w:pPr>
      <w:r>
        <w:t xml:space="preserve">Den Assistenten </w:t>
      </w:r>
      <w:r>
        <w:rPr>
          <w:i/>
        </w:rPr>
        <w:t>Import Permissions</w:t>
      </w:r>
      <w:r>
        <w:t xml:space="preserve"> starten.</w:t>
      </w:r>
    </w:p>
    <w:p>
      <w:pPr>
        <w:pStyle w:val="ListNumber"/>
      </w:pPr>
      <w:r>
        <w:t>Die Quellobjekte auswählen. Der Assistent importiert die Berechtigungstabelle, legt die Berechnungsobjekte an und weist die Datenzugriffskontrollen zu.</w:t>
      </w:r>
    </w:p>
    <w:p>
      <w:pPr>
        <w:pStyle w:val="ListNumber"/>
      </w:pPr>
      <w:r>
        <w:t>Das Ergebnis mit Testbenutzern prüfen.</w:t>
      </w:r>
    </w:p>
    <w:p>
      <w:r>
        <w:rPr>
          <w:b/>
        </w:rPr>
        <w:t>Ablauf D – Audit für einen Bereich aktivieren</w:t>
      </w:r>
    </w:p>
    <w:p>
      <w:pPr>
        <w:pStyle w:val="ListNumber"/>
      </w:pPr>
      <w:r>
        <w:rPr>
          <w:i/>
        </w:rPr>
        <w:t>Space Management</w:t>
      </w:r>
      <w:r>
        <w:t xml:space="preserve"> öffnen, den Bereich wählen und </w:t>
      </w:r>
      <w:r>
        <w:rPr>
          <w:i/>
        </w:rPr>
        <w:t>Edit Space</w:t>
      </w:r>
      <w:r>
        <w:t xml:space="preserve"> aufrufen.</w:t>
      </w:r>
    </w:p>
    <w:p>
      <w:pPr>
        <w:pStyle w:val="ListNumber"/>
      </w:pPr>
      <w:r>
        <w:t xml:space="preserve">Unter </w:t>
      </w:r>
      <w:r>
        <w:rPr>
          <w:i/>
        </w:rPr>
        <w:t>Auditing</w:t>
      </w:r>
      <w:r>
        <w:t xml:space="preserve"> die Optionen </w:t>
      </w:r>
      <w:r>
        <w:rPr>
          <w:i/>
        </w:rPr>
        <w:t>Enable Audit Log for Read Operations</w:t>
      </w:r>
      <w:r>
        <w:t xml:space="preserve"> und/oder </w:t>
      </w:r>
      <w:r>
        <w:rPr>
          <w:i/>
        </w:rPr>
        <w:t>Enable Audit Log for Change Operations</w:t>
      </w:r>
      <w:r>
        <w:t xml:space="preserve"> aktivieren.</w:t>
      </w:r>
    </w:p>
    <w:p>
      <w:pPr>
        <w:pStyle w:val="ListNumber"/>
      </w:pPr>
      <w:r>
        <w:t>Je Richtlinie die Aufbewahrungsdauer in Tagen eintragen, speichern und bereitstellen.</w:t>
      </w:r>
    </w:p>
    <w:p>
      <w:pPr>
        <w:pStyle w:val="ListNumber"/>
      </w:pPr>
      <w:r>
        <w:t>Die Auswertung über den Audit-Bereich einrichten (siehe Kapitel 10).</w:t>
      </w:r>
    </w:p>
    <w:p>
      <w:pPr>
        <w:pStyle w:val="Heading2"/>
      </w:pPr>
      <w:r>
        <w:t>9.10 Übersicht: Funktion – Zweck – benötigtes 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Benötigtes Privileg/Rolle</w:t>
            </w:r>
          </w:p>
        </w:tc>
      </w:tr>
      <w:tr>
        <w:tc>
          <w:tcPr>
            <w:tcW w:type="dxa" w:w="2880"/>
          </w:tcPr>
          <w:p>
            <w:r>
              <w:t>DAC „Einzelwerte“</w:t>
            </w:r>
          </w:p>
        </w:tc>
        <w:tc>
          <w:tcPr>
            <w:tcW w:type="dxa" w:w="2880"/>
          </w:tcPr>
          <w:p>
            <w:r>
              <w:t>Zeilenfilter nach Einzelwerten</w:t>
            </w:r>
          </w:p>
        </w:tc>
        <w:tc>
          <w:tcPr>
            <w:tcW w:type="dxa" w:w="2880"/>
          </w:tcPr>
          <w:p>
            <w:r>
              <w:rPr>
                <w:i/>
              </w:rPr>
              <w:t>Data Access Control</w:t>
            </w:r>
            <w:r>
              <w:t xml:space="preserve"> – nicht verifiziert</w:t>
            </w:r>
          </w:p>
        </w:tc>
      </w:tr>
      <w:tr>
        <w:tc>
          <w:tcPr>
            <w:tcW w:type="dxa" w:w="2880"/>
          </w:tcPr>
          <w:p>
            <w:r>
              <w:t>DAC „Operator und Werte“</w:t>
            </w:r>
          </w:p>
        </w:tc>
        <w:tc>
          <w:tcPr>
            <w:tcW w:type="dxa" w:w="2880"/>
          </w:tcPr>
          <w:p>
            <w:r>
              <w:t>Bedingungen mit UND/ODER</w:t>
            </w:r>
          </w:p>
        </w:tc>
        <w:tc>
          <w:tcPr>
            <w:tcW w:type="dxa" w:w="2880"/>
          </w:tcPr>
          <w:p>
            <w:r>
              <w:rPr>
                <w:i/>
              </w:rPr>
              <w:t>Data Access Control</w:t>
            </w:r>
            <w:r>
              <w:t xml:space="preserve"> – nicht verifiziert</w:t>
            </w:r>
          </w:p>
        </w:tc>
      </w:tr>
      <w:tr>
        <w:tc>
          <w:tcPr>
            <w:tcW w:type="dxa" w:w="2880"/>
          </w:tcPr>
          <w:p>
            <w:r>
              <w:t>DAC „Hierarchie“</w:t>
            </w:r>
          </w:p>
        </w:tc>
        <w:tc>
          <w:tcPr>
            <w:tcW w:type="dxa" w:w="2880"/>
          </w:tcPr>
          <w:p>
            <w:r>
              <w:t>Knoten einschließlich Nachfahren</w:t>
            </w:r>
          </w:p>
        </w:tc>
        <w:tc>
          <w:tcPr>
            <w:tcW w:type="dxa" w:w="2880"/>
          </w:tcPr>
          <w:p>
            <w:r>
              <w:rPr>
                <w:i/>
              </w:rPr>
              <w:t>Data Access Control</w:t>
            </w:r>
            <w:r>
              <w:t xml:space="preserve"> – nicht verifiziert</w:t>
            </w:r>
          </w:p>
        </w:tc>
      </w:tr>
      <w:tr>
        <w:tc>
          <w:tcPr>
            <w:tcW w:type="dxa" w:w="2880"/>
          </w:tcPr>
          <w:p>
            <w:r>
              <w:t>BW-Berechtigungsimport ⚠</w:t>
            </w:r>
          </w:p>
        </w:tc>
        <w:tc>
          <w:tcPr>
            <w:tcW w:type="dxa" w:w="2880"/>
          </w:tcPr>
          <w:p>
            <w:r>
              <w:t>Analyseberechtigungen wiederverwenden</w:t>
            </w:r>
          </w:p>
        </w:tc>
        <w:tc>
          <w:tcPr>
            <w:tcW w:type="dxa" w:w="2880"/>
          </w:tcPr>
          <w:p>
            <w:r>
              <w:t>Wie oben, zusätzlich Verbindung – nicht verifiziert</w:t>
            </w:r>
          </w:p>
        </w:tc>
      </w:tr>
      <w:tr>
        <w:tc>
          <w:tcPr>
            <w:tcW w:type="dxa" w:w="2880"/>
          </w:tcPr>
          <w:p>
            <w:r>
              <w:t>DAC-Zuweisung an View</w:t>
            </w:r>
          </w:p>
        </w:tc>
        <w:tc>
          <w:tcPr>
            <w:tcW w:type="dxa" w:w="2880"/>
          </w:tcPr>
          <w:p>
            <w:r>
              <w:t>Schutz eines Views auf Zeilenebene</w:t>
            </w:r>
          </w:p>
        </w:tc>
        <w:tc>
          <w:tcPr>
            <w:tcW w:type="dxa" w:w="2880"/>
          </w:tcPr>
          <w:p>
            <w:r>
              <w:t>Änderungsrecht für Views im Bereich – nicht verifiziert</w:t>
            </w:r>
          </w:p>
        </w:tc>
      </w:tr>
      <w:tr>
        <w:tc>
          <w:tcPr>
            <w:tcW w:type="dxa" w:w="2880"/>
          </w:tcPr>
          <w:p>
            <w:r>
              <w:t>Audit je Bereich</w:t>
            </w:r>
          </w:p>
        </w:tc>
        <w:tc>
          <w:tcPr>
            <w:tcW w:type="dxa" w:w="2880"/>
          </w:tcPr>
          <w:p>
            <w:r>
              <w:t>Lese- und Änderungsvorgänge protokollieren</w:t>
            </w:r>
          </w:p>
        </w:tc>
        <w:tc>
          <w:tcPr>
            <w:tcW w:type="dxa" w:w="2880"/>
          </w:tcPr>
          <w:p>
            <w:r>
              <w:t>Bereichsadministrator</w:t>
            </w:r>
          </w:p>
        </w:tc>
      </w:tr>
      <w:tr>
        <w:tc>
          <w:tcPr>
            <w:tcW w:type="dxa" w:w="2880"/>
          </w:tcPr>
          <w:p>
            <w:r>
              <w:t>Audit-Übersicht und Löschen</w:t>
            </w:r>
          </w:p>
        </w:tc>
        <w:tc>
          <w:tcPr>
            <w:tcW w:type="dxa" w:w="2880"/>
          </w:tcPr>
          <w:p>
            <w:r>
              <w:t>Verwaltung und Speicherfreigabe</w:t>
            </w:r>
          </w:p>
        </w:tc>
        <w:tc>
          <w:tcPr>
            <w:tcW w:type="dxa" w:w="2880"/>
          </w:tcPr>
          <w:p>
            <w:r>
              <w:t>Administrator</w:t>
            </w:r>
          </w:p>
        </w:tc>
      </w:tr>
      <w:tr>
        <w:tc>
          <w:tcPr>
            <w:tcW w:type="dxa" w:w="2880"/>
          </w:tcPr>
          <w:p>
            <w:r>
              <w:t>Kennwortrichtlinie DB-Benutzer</w:t>
            </w:r>
          </w:p>
        </w:tc>
        <w:tc>
          <w:tcPr>
            <w:tcW w:type="dxa" w:w="2880"/>
          </w:tcPr>
          <w:p>
            <w:r>
              <w:t>Sichere Anmeldung</w:t>
            </w:r>
          </w:p>
        </w:tc>
        <w:tc>
          <w:tcPr>
            <w:tcW w:type="dxa" w:w="2880"/>
          </w:tcPr>
          <w:p>
            <w:r>
              <w:t>Administrator – Privileg nicht verifiziert</w:t>
            </w:r>
          </w:p>
        </w:tc>
      </w:tr>
      <w:tr>
        <w:tc>
          <w:tcPr>
            <w:tcW w:type="dxa" w:w="2880"/>
          </w:tcPr>
          <w:p>
            <w:r>
              <w:t>Datenbank-Analysebenutzer</w:t>
            </w:r>
          </w:p>
        </w:tc>
        <w:tc>
          <w:tcPr>
            <w:tcW w:type="dxa" w:w="2880"/>
          </w:tcPr>
          <w:p>
            <w:r>
              <w:t>Fehlersuche, wird protokolliert</w:t>
            </w:r>
          </w:p>
        </w:tc>
        <w:tc>
          <w:tcPr>
            <w:tcW w:type="dxa" w:w="2880"/>
          </w:tcPr>
          <w:p>
            <w:r>
              <w:t>Administrator – Privileg nicht verifiziert</w:t>
            </w:r>
          </w:p>
        </w:tc>
      </w:tr>
      <w:tr>
        <w:tc>
          <w:tcPr>
            <w:tcW w:type="dxa" w:w="2880"/>
          </w:tcPr>
          <w:p>
            <w:r>
              <w:t>Kundenverwalteter Schlüssel ⚠</w:t>
            </w:r>
          </w:p>
        </w:tc>
        <w:tc>
          <w:tcPr>
            <w:tcW w:type="dxa" w:w="2880"/>
          </w:tcPr>
          <w:p>
            <w:r>
              <w:t>Eigene Schlüsselhoheit</w:t>
            </w:r>
          </w:p>
        </w:tc>
        <w:tc>
          <w:tcPr>
            <w:tcW w:type="dxa" w:w="2880"/>
          </w:tcPr>
          <w:p>
            <w:r>
              <w:t>Administrator und Auftrag an SAP</w:t>
            </w:r>
          </w:p>
        </w:tc>
      </w:tr>
    </w:tbl>
    <w:p>
      <w:pPr>
        <w:pStyle w:val="Heading1"/>
      </w:pPr>
      <w:r>
        <w:t>10. Monitoring: Data Integration Monitor und System Monitor</w:t>
      </w:r>
    </w:p>
    <w:p>
      <w:pPr>
        <w:pStyle w:val="Heading2"/>
      </w:pPr>
      <w:r>
        <w:t>10.1 Zweck und Einordnung</w:t>
      </w:r>
    </w:p>
    <w:p>
      <w:r>
        <w:t>Das Monitoring in SAP Datasphere besteht aus zwei sich ergänzenden Werkzeugen:</w:t>
      </w:r>
    </w:p>
    <w:p>
      <w:pPr>
        <w:pStyle w:val="ListBullet"/>
      </w:pPr>
      <w:r>
        <w:rPr>
          <w:b/>
        </w:rPr>
        <w:t>Data Integration Monitor</w:t>
      </w:r>
      <w:r>
        <w:t xml:space="preserve"> (</w:t>
      </w:r>
      <w:r>
        <w:rPr>
          <w:i/>
        </w:rPr>
        <w:t>Data Integration Monitor</w:t>
      </w:r>
      <w:r>
        <w:t xml:space="preserve">, in der Seitenleiste als </w:t>
      </w:r>
      <w:r>
        <w:rPr>
          <w:i/>
        </w:rPr>
        <w:t>Data Integration</w:t>
      </w:r>
      <w:r>
        <w:t>): Hier planen, starten und überwachen Sie Datenintegrationsaufgaben. Das umfasst die Replikation von Remote-Tabellen, die Persistenz von Views, Datenflüsse, Replikationsflüsse und Transformationsflüsse sowie Aufgabenketten (</w:t>
      </w:r>
      <w:r>
        <w:rPr>
          <w:i/>
        </w:rPr>
        <w:t>Task Chains</w:t>
      </w:r>
      <w:r>
        <w:t>). Außerdem verfolgen Sie hier Abfragen an angebundene Quellsysteme und verwalten lokale Tabellen, etwa beim Löschen von Daten oder bei Bereinigungsaufgaben (</w:t>
      </w:r>
      <w:r>
        <w:rPr>
          <w:i/>
        </w:rPr>
        <w:t>housekeeping</w:t>
      </w:r>
      <w:r>
        <w:t>). Der Monitor arbeitet immer im Kontext eines Bereichs (</w:t>
      </w:r>
      <w:r>
        <w:rPr>
          <w:i/>
        </w:rPr>
        <w:t>Space</w:t>
      </w:r>
      <w:r>
        <w:t>).</w:t>
      </w:r>
    </w:p>
    <w:p>
      <w:pPr>
        <w:pStyle w:val="ListBullet"/>
      </w:pPr>
      <w:r>
        <w:rPr>
          <w:b/>
        </w:rPr>
        <w:t>System Monitor</w:t>
      </w:r>
      <w:r>
        <w:t xml:space="preserve"> (</w:t>
      </w:r>
      <w:r>
        <w:rPr>
          <w:i/>
        </w:rPr>
        <w:t>System Monitor</w:t>
      </w:r>
      <w:r>
        <w:t>): Er richtet sich an Administratoren und zeigt die Leistung des gesamten Tenants über alle Bereiche hinweg. Dazu gehören Speicher- und Arbeitsspeicherverbrauch, Aufgaben- und Anweisungsprotokolle, Out-of-Memory-Situationen und, sofern lizenziert, Elastic Compute Nodes.</w:t>
      </w:r>
    </w:p>
    <w:p>
      <w:r>
        <w:t>Wie Sie Objekte anlegen, die hier überwacht werden, beschreibt Kapitel 6 (Data Builder). Wie Sie das System konfigurieren, etwa Protokollaufbewahrung oder Elastic Compute Nodes, beschreibt Kapitel 3.</w:t>
      </w:r>
    </w:p>
    <w:p>
      <w:pPr>
        <w:pStyle w:val="Heading2"/>
      </w:pPr>
      <w:r>
        <w:t>10.2 Aufruf, Navigation und Berechtigungen</w:t>
      </w:r>
    </w:p>
    <w:p>
      <w:r>
        <w:rPr>
          <w:b/>
        </w:rPr>
        <w:t>Aufruf.</w:t>
      </w:r>
      <w:r>
        <w:t xml:space="preserve"> Beide Monitore erreichen Sie über die Gruppe Überwachung (</w:t>
      </w:r>
      <w:r>
        <w:rPr>
          <w:i/>
        </w:rPr>
        <w:t>Monitoring</w:t>
      </w:r>
      <w:r>
        <w:t xml:space="preserve">) in der Seitenleiste (siehe Kapitel 2). Die Dokumentation nennt dafür den Pfad </w:t>
      </w:r>
      <w:r>
        <w:rPr>
          <w:i/>
        </w:rPr>
        <w:t>Monitoring &gt; Data Integration &gt; Flows</w:t>
      </w:r>
      <w:r>
        <w:t>. Im Data Integration Monitor wählen Sie zuerst einen Bereich aus und danach den Monitortyp.</w:t>
      </w:r>
    </w:p>
    <w:p>
      <w:r>
        <w:rPr>
          <w:b/>
        </w:rPr>
        <w:t>Rollen.</w:t>
      </w:r>
      <w:r>
        <w:t xml:space="preserve"> Laut Dokumentation verwenden vor allem Benutzer mit der Rolle Bereichsadministrator (</w:t>
      </w:r>
      <w:r>
        <w:rPr>
          <w:i/>
        </w:rPr>
        <w:t>Space Administrator</w:t>
      </w:r>
      <w:r>
        <w:t>) oder Integrator (</w:t>
      </w:r>
      <w:r>
        <w:rPr>
          <w:i/>
        </w:rPr>
        <w:t>Integrator</w:t>
      </w:r>
      <w:r>
        <w:t>) den Data Integration Monitor (Rollenkonzept siehe Kapitel 3 und 9). Für den Flows-Monitor werden in einer bereichsbezogenen Rolle (</w:t>
      </w:r>
      <w:r>
        <w:rPr>
          <w:i/>
        </w:rPr>
        <w:t>scoped role</w:t>
      </w:r>
      <w:r>
        <w:t>) diese Privilegien genannt:</w:t>
      </w:r>
    </w:p>
    <w:p>
      <w:pPr>
        <w:pStyle w:val="ListBullet"/>
      </w:pPr>
      <w:r>
        <w:rPr>
          <w:i/>
        </w:rPr>
        <w:t>Data Warehouse General</w:t>
      </w:r>
      <w:r>
        <w:t xml:space="preserve"> (-R------): Zugriff auf SAP Datasphere</w:t>
      </w:r>
    </w:p>
    <w:p>
      <w:pPr>
        <w:pStyle w:val="ListBullet"/>
      </w:pPr>
      <w:r>
        <w:rPr>
          <w:i/>
        </w:rPr>
        <w:t>Data Warehouse Data Integration</w:t>
      </w:r>
      <w:r>
        <w:t xml:space="preserve"> (-R------): Aufgabenprotokolle im Data Integration Monitor anzeigen</w:t>
      </w:r>
    </w:p>
    <w:p>
      <w:pPr>
        <w:pStyle w:val="ListBullet"/>
      </w:pPr>
      <w:r>
        <w:rPr>
          <w:i/>
        </w:rPr>
        <w:t>Data Warehouse Data Integration</w:t>
      </w:r>
      <w:r>
        <w:t xml:space="preserve"> (--U-----): Datenintegrationsaufgaben manuell ausführen</w:t>
      </w:r>
    </w:p>
    <w:p>
      <w:pPr>
        <w:pStyle w:val="ListBullet"/>
      </w:pPr>
      <w:r>
        <w:rPr>
          <w:i/>
        </w:rPr>
        <w:t>Data Warehouse Data Integration</w:t>
      </w:r>
      <w:r>
        <w:t xml:space="preserve"> (-----E--): Aufgaben einplanen (</w:t>
      </w:r>
      <w:r>
        <w:rPr>
          <w:b/>
        </w:rPr>
        <w:t>nicht verifiziert</w:t>
      </w:r>
      <w:r>
        <w:t>, die Quelle war nur verkürzt lesbar)</w:t>
      </w:r>
    </w:p>
    <w:p>
      <w:r>
        <w:t xml:space="preserve">Für den System Monitor sind administrative Rechte nötig, typischerweise über die Rolle </w:t>
      </w:r>
      <w:r>
        <w:rPr>
          <w:i/>
        </w:rPr>
        <w:t>DW Administrator</w:t>
      </w:r>
      <w:r>
        <w:t xml:space="preserve">. Das genaue Einzelprivileg ist </w:t>
      </w:r>
      <w:r>
        <w:rPr>
          <w:b/>
        </w:rPr>
        <w:t>nicht verifiziert</w:t>
      </w:r>
      <w:r>
        <w:t>.</w:t>
      </w:r>
    </w:p>
    <w:p>
      <w:pPr>
        <w:pStyle w:val="Heading2"/>
      </w:pPr>
      <w:r>
        <w:t>10.3 Data Integration Monitor</w:t>
      </w:r>
    </w:p>
    <w:p>
      <w:pPr>
        <w:pStyle w:val="Heading3"/>
      </w:pPr>
      <w:r>
        <w:t>10.3.1 Aufbau der Oberfläche</w:t>
      </w:r>
    </w:p>
    <w:p>
      <w:r>
        <w:t>Nach Auswahl des Bereichs zeigt der Monitor Kacheln bzw. Registerkarten für die einzelnen Monitortypen:</w:t>
      </w:r>
    </w:p>
    <w:p>
      <w:pPr>
        <w:pStyle w:val="ListBullet"/>
      </w:pPr>
      <w:r>
        <w:t>Remote-Tabellen (</w:t>
      </w:r>
      <w:r>
        <w:rPr>
          <w:i/>
        </w:rPr>
        <w:t>Remote Tables</w:t>
      </w:r>
      <w:r>
        <w:t>)</w:t>
      </w:r>
    </w:p>
    <w:p>
      <w:pPr>
        <w:pStyle w:val="ListBullet"/>
      </w:pPr>
      <w:r>
        <w:t>Lokale Tabellen (</w:t>
      </w:r>
      <w:r>
        <w:rPr>
          <w:i/>
        </w:rPr>
        <w:t>Local Tables</w:t>
      </w:r>
      <w:r>
        <w:t>)</w:t>
      </w:r>
    </w:p>
    <w:p>
      <w:pPr>
        <w:pStyle w:val="ListBullet"/>
      </w:pPr>
      <w:r>
        <w:t>Views (</w:t>
      </w:r>
      <w:r>
        <w:rPr>
          <w:i/>
        </w:rPr>
        <w:t>Views</w:t>
      </w:r>
      <w:r>
        <w:t>)</w:t>
      </w:r>
    </w:p>
    <w:p>
      <w:pPr>
        <w:pStyle w:val="ListBullet"/>
      </w:pPr>
      <w:r>
        <w:t>Flüsse (</w:t>
      </w:r>
      <w:r>
        <w:rPr>
          <w:i/>
        </w:rPr>
        <w:t>Flows</w:t>
      </w:r>
      <w:r>
        <w:t>)</w:t>
      </w:r>
    </w:p>
    <w:p>
      <w:pPr>
        <w:pStyle w:val="ListBullet"/>
      </w:pPr>
      <w:r>
        <w:t>Remote-Abfragen (</w:t>
      </w:r>
      <w:r>
        <w:rPr>
          <w:i/>
        </w:rPr>
        <w:t>Remote Queries</w:t>
      </w:r>
      <w:r>
        <w:t>)</w:t>
      </w:r>
    </w:p>
    <w:p>
      <w:pPr>
        <w:pStyle w:val="ListBullet"/>
      </w:pPr>
      <w:r>
        <w:t>Aufgabenketten (</w:t>
      </w:r>
      <w:r>
        <w:rPr>
          <w:i/>
        </w:rPr>
        <w:t>Task Chains</w:t>
      </w:r>
      <w:r>
        <w:t>)</w:t>
      </w:r>
    </w:p>
    <w:p>
      <w:r>
        <w:t xml:space="preserve">Jeder Monitor zeigt zunächst eine </w:t>
      </w:r>
      <w:r>
        <w:rPr>
          <w:b/>
        </w:rPr>
        <w:t>Übersichtsliste</w:t>
      </w:r>
      <w:r>
        <w:t xml:space="preserve"> mit den aktuell eingeplanten und den bereits ausgeführten Aufgaben. Über der Liste liegt eine Werkzeugleiste mit Aktionen für die markierten Objekte, außerdem gibt es Such- und Filterfunktionen. Ein Klick auf ein Objekt öffnet die </w:t>
      </w:r>
      <w:r>
        <w:rPr>
          <w:b/>
        </w:rPr>
        <w:t>Detailansicht</w:t>
      </w:r>
      <w:r>
        <w:t>. Sie enthält die Ausführungshistorie (</w:t>
      </w:r>
      <w:r>
        <w:rPr>
          <w:i/>
        </w:rPr>
        <w:t>Runs</w:t>
      </w:r>
      <w:r>
        <w:t>) mit den zugehörigen Protokollmeldungen und je nach Objekttyp weitere Registerkarten, etwa für Partitionen oder Statistiken.</w:t>
      </w:r>
    </w:p>
    <w:p>
      <w:pPr>
        <w:pStyle w:val="Heading3"/>
      </w:pPr>
      <w:r>
        <w:t>10.3.2 Remote-Tabellen (Remote Tables)</w:t>
      </w:r>
    </w:p>
    <w:p>
      <w:r>
        <w:rPr>
          <w:b/>
        </w:rPr>
        <w:t>Zweck.</w:t>
      </w:r>
      <w:r>
        <w:t xml:space="preserve"> Die Übersicht fasst alle eingeplanten und bereits ausgeführten Replikationsaufgaben für Remote-Tabellen zusammen. Sie zeigt Zeitplan und Aktualisierungsfrequenz, Statistiken zum Arbeitsspeicher- und Plattenverbrauch sowie die letzte Aktualisierung bzw. Ausführung.</w:t>
      </w:r>
    </w:p>
    <w:p>
      <w:r>
        <w:rPr>
          <w:b/>
        </w:rPr>
        <w:t>Wichtige Spalten</w:t>
      </w:r>
      <w:r>
        <w:t xml:space="preserve"> (Bezeichnungen teilweise </w:t>
      </w:r>
      <w:r>
        <w:rPr>
          <w:b/>
        </w:rPr>
        <w:t>nicht verifiziert</w:t>
      </w:r>
      <w:r>
        <w:t>):</w:t>
      </w:r>
    </w:p>
    <w:tbl>
      <w:tblPr>
        <w:tblStyle w:val="TableGrid"/>
        <w:tblW w:type="auto" w:w="0"/>
        <w:tblLook w:firstColumn="1" w:firstRow="1" w:lastColumn="0" w:lastRow="0" w:noHBand="0" w:noVBand="1" w:val="04A0"/>
      </w:tblPr>
      <w:tblGrid>
        <w:gridCol w:w="4320"/>
        <w:gridCol w:w="4320"/>
      </w:tblGrid>
      <w:tr>
        <w:tc>
          <w:tcPr>
            <w:tcW w:type="dxa" w:w="4320"/>
          </w:tcPr>
          <w:p>
            <w:r>
              <w:rPr>
                <w:b/>
              </w:rPr>
              <w:t>Spalte</w:t>
            </w:r>
          </w:p>
        </w:tc>
        <w:tc>
          <w:tcPr>
            <w:tcW w:type="dxa" w:w="4320"/>
          </w:tcPr>
          <w:p>
            <w:r>
              <w:rPr>
                <w:b/>
              </w:rPr>
              <w:t>Bedeutung</w:t>
            </w:r>
          </w:p>
        </w:tc>
      </w:tr>
      <w:tr>
        <w:tc>
          <w:tcPr>
            <w:tcW w:type="dxa" w:w="4320"/>
          </w:tcPr>
          <w:p>
            <w:r>
              <w:t>Name / Verbindung</w:t>
            </w:r>
          </w:p>
        </w:tc>
        <w:tc>
          <w:tcPr>
            <w:tcW w:type="dxa" w:w="4320"/>
          </w:tcPr>
          <w:p>
            <w:r>
              <w:t>Objekt und die Quellverbindung (siehe Kapitel 5)</w:t>
            </w:r>
          </w:p>
        </w:tc>
      </w:tr>
      <w:tr>
        <w:tc>
          <w:tcPr>
            <w:tcW w:type="dxa" w:w="4320"/>
          </w:tcPr>
          <w:p>
            <w:r>
              <w:t>Datenzugriff (</w:t>
            </w:r>
            <w:r>
              <w:rPr>
                <w:i/>
              </w:rPr>
              <w:t>Data Access</w:t>
            </w:r>
            <w:r>
              <w:t>)</w:t>
            </w:r>
          </w:p>
        </w:tc>
        <w:tc>
          <w:tcPr>
            <w:tcW w:type="dxa" w:w="4320"/>
          </w:tcPr>
          <w:p>
            <w:r>
              <w:rPr>
                <w:i/>
              </w:rPr>
              <w:t>Remote</w:t>
            </w:r>
            <w:r>
              <w:t xml:space="preserve"> (Federation), </w:t>
            </w:r>
            <w:r>
              <w:rPr>
                <w:i/>
              </w:rPr>
              <w:t>Replicated (Snapshot)</w:t>
            </w:r>
            <w:r>
              <w:t xml:space="preserve"> oder </w:t>
            </w:r>
            <w:r>
              <w:rPr>
                <w:i/>
              </w:rPr>
              <w:t>Replicated (Real-Time)</w:t>
            </w:r>
          </w:p>
        </w:tc>
      </w:tr>
      <w:tr>
        <w:tc>
          <w:tcPr>
            <w:tcW w:type="dxa" w:w="4320"/>
          </w:tcPr>
          <w:p>
            <w:r>
              <w:t>Aktualisierungsfrequenz (</w:t>
            </w:r>
            <w:r>
              <w:rPr>
                <w:i/>
              </w:rPr>
              <w:t>Refresh Frequency</w:t>
            </w:r>
            <w:r>
              <w:t>)</w:t>
            </w:r>
          </w:p>
        </w:tc>
        <w:tc>
          <w:tcPr>
            <w:tcW w:type="dxa" w:w="4320"/>
          </w:tcPr>
          <w:p>
            <w:r>
              <w:t>z. B. keine, eingeplant, Echtzeit</w:t>
            </w:r>
          </w:p>
        </w:tc>
      </w:tr>
      <w:tr>
        <w:tc>
          <w:tcPr>
            <w:tcW w:type="dxa" w:w="4320"/>
          </w:tcPr>
          <w:p>
            <w:r>
              <w:t>Status</w:t>
            </w:r>
          </w:p>
        </w:tc>
        <w:tc>
          <w:tcPr>
            <w:tcW w:type="dxa" w:w="4320"/>
          </w:tcPr>
          <w:p>
            <w:r>
              <w:t>Status der letzten Ausführung</w:t>
            </w:r>
          </w:p>
        </w:tc>
      </w:tr>
      <w:tr>
        <w:tc>
          <w:tcPr>
            <w:tcW w:type="dxa" w:w="4320"/>
          </w:tcPr>
          <w:p>
            <w:r>
              <w:t>Letzte Aktualisierung / nächster Lauf</w:t>
            </w:r>
          </w:p>
        </w:tc>
        <w:tc>
          <w:tcPr>
            <w:tcW w:type="dxa" w:w="4320"/>
          </w:tcPr>
          <w:p>
            <w:r>
              <w:t>Zeitpunkte</w:t>
            </w:r>
          </w:p>
        </w:tc>
      </w:tr>
      <w:tr>
        <w:tc>
          <w:tcPr>
            <w:tcW w:type="dxa" w:w="4320"/>
          </w:tcPr>
          <w:p>
            <w:r>
              <w:t>Arbeitsspeicher / Plattenplatz</w:t>
            </w:r>
          </w:p>
        </w:tc>
        <w:tc>
          <w:tcPr>
            <w:tcW w:type="dxa" w:w="4320"/>
          </w:tcPr>
          <w:p>
            <w:r>
              <w:t>belegter In-Memory- bzw. Plattenspeicher</w:t>
            </w:r>
          </w:p>
        </w:tc>
      </w:tr>
      <w:tr>
        <w:tc>
          <w:tcPr>
            <w:tcW w:type="dxa" w:w="4320"/>
          </w:tcPr>
          <w:p>
            <w:r>
              <w:t>Anzahl Datensätze</w:t>
            </w:r>
          </w:p>
        </w:tc>
        <w:tc>
          <w:tcPr>
            <w:tcW w:type="dxa" w:w="4320"/>
          </w:tcPr>
          <w:p>
            <w:r>
              <w:t>Anzahl der replizierten Datensätze</w:t>
            </w:r>
          </w:p>
        </w:tc>
      </w:tr>
    </w:tbl>
    <w:p>
      <w:r>
        <w:t xml:space="preserve">Dass die Spalte </w:t>
      </w:r>
      <w:r>
        <w:rPr>
          <w:i/>
        </w:rPr>
        <w:t>Data Access</w:t>
      </w:r>
      <w:r>
        <w:t xml:space="preserve"> die drei genannten Werte annehmen kann, ist in einem SAP-Hinweis zu den Datenzugriffsarten belegt.</w:t>
      </w:r>
    </w:p>
    <w:p>
      <w:r>
        <w:rPr>
          <w:b/>
        </w:rPr>
        <w:t>Aktionen</w:t>
      </w:r>
      <w:r>
        <w:t xml:space="preserve"> (exakte Beschriftungen </w:t>
      </w:r>
      <w:r>
        <w:rPr>
          <w:b/>
        </w:rPr>
        <w:t>nicht verifiziert</w:t>
      </w:r>
      <w:r>
        <w:t>):</w:t>
      </w:r>
    </w:p>
    <w:p>
      <w:pPr>
        <w:pStyle w:val="ListBullet"/>
      </w:pPr>
      <w:r>
        <w:t>neuen Snapshot laden (vollständige Momentaufnahme)</w:t>
      </w:r>
    </w:p>
    <w:p>
      <w:pPr>
        <w:pStyle w:val="ListBullet"/>
      </w:pPr>
      <w:r>
        <w:t>replizierte Daten entfernen (zurück zum Fernzugriff)</w:t>
      </w:r>
    </w:p>
    <w:p>
      <w:pPr>
        <w:pStyle w:val="ListBullet"/>
      </w:pPr>
      <w:r>
        <w:t>Echtzeitreplikation aktivieren oder deaktivieren ⚠ abhängig von Verbindungstyp und Quelle</w:t>
      </w:r>
    </w:p>
    <w:p>
      <w:pPr>
        <w:pStyle w:val="ListBullet"/>
      </w:pPr>
      <w:r>
        <w:t>Zeitplan anlegen, bearbeiten, löschen, anhalten oder fortsetzen (siehe 10.3.8)</w:t>
      </w:r>
    </w:p>
    <w:p>
      <w:pPr>
        <w:pStyle w:val="ListBullet"/>
      </w:pPr>
      <w:r>
        <w:t>Partitionen und Filter für die Replikation definieren</w:t>
      </w:r>
    </w:p>
    <w:p>
      <w:pPr>
        <w:pStyle w:val="ListBullet"/>
      </w:pPr>
      <w:r>
        <w:t>Statistiken für Remote-Tabellen anlegen, um föderierte Abfragen zu optimieren</w:t>
      </w:r>
    </w:p>
    <w:p>
      <w:pPr>
        <w:pStyle w:val="Heading3"/>
      </w:pPr>
      <w:r>
        <w:t>10.3.3 Lokale Tabellen (Local Tables)</w:t>
      </w:r>
    </w:p>
    <w:p>
      <w:r>
        <w:t xml:space="preserve">In diesem Monitor verwalten Sie lokale Tabellen: Sie löschen Daten und führen Bereinigungsaufgaben aus, etwa für Delta-Tabellen (siehe Kapitel 6). Einzelne Optionen und Spalten sind </w:t>
      </w:r>
      <w:r>
        <w:rPr>
          <w:b/>
        </w:rPr>
        <w:t>nicht verifiziert</w:t>
      </w:r>
      <w:r>
        <w:t>.</w:t>
      </w:r>
    </w:p>
    <w:p>
      <w:pPr>
        <w:pStyle w:val="Heading3"/>
      </w:pPr>
      <w:r>
        <w:t>10.3.4 Views (Views): Persistenz, Partitionierung, View Analyzer</w:t>
      </w:r>
    </w:p>
    <w:p>
      <w:r>
        <w:rPr>
          <w:b/>
        </w:rPr>
        <w:t>Zweck.</w:t>
      </w:r>
      <w:r>
        <w:t xml:space="preserve"> Der Views-Monitor zeigt die im Data Builder erstellten Views. Sie können diese Views persistieren, also ihre Daten lokal als Momentaufnahme speichern, um den Zugriff zu beschleunigen. Die Persistenz läuft entweder direkt oder über einen Zeitplan.</w:t>
      </w:r>
    </w:p>
    <w:p>
      <w:r>
        <w:rPr>
          <w:b/>
        </w:rPr>
        <w:t>Funktionen:</w:t>
      </w:r>
    </w:p>
    <w:p>
      <w:pPr>
        <w:pStyle w:val="ListBullet"/>
      </w:pPr>
      <w:r>
        <w:rPr>
          <w:b/>
        </w:rPr>
        <w:t>Datenpersistenz starten bzw. neuen Snapshot laden:</w:t>
      </w:r>
      <w:r>
        <w:t xml:space="preserve"> Die View wird ausgeführt, das Ergebnis wird gespeichert.</w:t>
      </w:r>
    </w:p>
    <w:p>
      <w:pPr>
        <w:pStyle w:val="ListBullet"/>
      </w:pPr>
      <w:r>
        <w:rPr>
          <w:b/>
        </w:rPr>
        <w:t>Persistierte Daten entfernen:</w:t>
      </w:r>
      <w:r>
        <w:t xml:space="preserve"> Die View wird wieder virtuell gelesen.</w:t>
      </w:r>
    </w:p>
    <w:p>
      <w:pPr>
        <w:pStyle w:val="ListBullet"/>
      </w:pPr>
      <w:r>
        <w:rPr>
          <w:b/>
        </w:rPr>
        <w:t>Zeitplan</w:t>
      </w:r>
      <w:r>
        <w:t xml:space="preserve"> für wiederkehrende Persistenzläufe (siehe 10.3.8).</w:t>
      </w:r>
    </w:p>
    <w:p>
      <w:pPr>
        <w:pStyle w:val="ListBullet"/>
      </w:pPr>
      <w:r>
        <w:rPr>
          <w:b/>
        </w:rPr>
        <w:t>Partitionierung:</w:t>
      </w:r>
      <w:r>
        <w:t xml:space="preserve"> In der Detailansicht der View legen Sie Partitionen auf Spalten des Datensatzes an. So zerlegen Sie große Datenmengen in kleinere, besser handhabbare Teile, um sie überhaupt oder schneller persistieren zu können. Die Bedingungen, die eine Partitionsspalte erfüllen muss, sind hier </w:t>
      </w:r>
      <w:r>
        <w:rPr>
          <w:b/>
        </w:rPr>
        <w:t>nicht verifiziert</w:t>
      </w:r>
      <w:r>
        <w:t>.</w:t>
      </w:r>
    </w:p>
    <w:p>
      <w:pPr>
        <w:pStyle w:val="ListBullet"/>
      </w:pPr>
      <w:r>
        <w:rPr>
          <w:b/>
        </w:rPr>
        <w:t>View Analyzer</w:t>
      </w:r>
      <w:r>
        <w:t xml:space="preserve"> (</w:t>
      </w:r>
      <w:r>
        <w:rPr>
          <w:i/>
        </w:rPr>
        <w:t>View Analyzer</w:t>
      </w:r>
      <w:r>
        <w:t>): Er analysiert eine View samt ihrer abhängigen Views. Er liefert Kennzahlen zum Speicherverbrauch und Empfehlungen, auf welcher Ebene sich eine Persistenz lohnt. Ob er außerdem SQL-Ausführungspläne (</w:t>
      </w:r>
      <w:r>
        <w:rPr>
          <w:i/>
        </w:rPr>
        <w:t>Explain Plan</w:t>
      </w:r>
      <w:r>
        <w:t>/</w:t>
      </w:r>
      <w:r>
        <w:rPr>
          <w:i/>
        </w:rPr>
        <w:t>PlanViz</w:t>
      </w:r>
      <w:r>
        <w:t xml:space="preserve">) erzeugen kann und welche Zusatzprivilegien dafür nötig sind, ist </w:t>
      </w:r>
      <w:r>
        <w:rPr>
          <w:b/>
        </w:rPr>
        <w:t>nicht verifiziert</w:t>
      </w:r>
      <w:r>
        <w:t>.</w:t>
      </w:r>
    </w:p>
    <w:p>
      <w:r>
        <w:rPr>
          <w:b/>
        </w:rPr>
        <w:t>Spalten</w:t>
      </w:r>
      <w:r>
        <w:t xml:space="preserve"> (</w:t>
      </w:r>
      <w:r>
        <w:rPr>
          <w:b/>
        </w:rPr>
        <w:t>nicht verifiziert</w:t>
      </w:r>
      <w:r>
        <w:t>): u. a. Datenzugriff (virtuell/persistiert), Status, Aktualisierungsfrequenz, letzte Aktualisierung, Anzahl Datensätze, Arbeitsspeicher- und Plattengröße, nächster Lauf.</w:t>
      </w:r>
    </w:p>
    <w:p>
      <w:pPr>
        <w:pStyle w:val="Heading3"/>
      </w:pPr>
      <w:r>
        <w:t>10.3.5 Flüsse (Flows), einschließlich Replikationsflüssen</w:t>
      </w:r>
    </w:p>
    <w:p>
      <w:r>
        <w:rPr>
          <w:b/>
        </w:rPr>
        <w:t>Zweck.</w:t>
      </w:r>
      <w:r>
        <w:t xml:space="preserve"> Der Flows-Monitor listet je Bereich alle bereitgestellten Flüsse: Datenflüsse (</w:t>
      </w:r>
      <w:r>
        <w:rPr>
          <w:i/>
        </w:rPr>
        <w:t>data flows</w:t>
      </w:r>
      <w:r>
        <w:t>), Replikationsflüsse (</w:t>
      </w:r>
      <w:r>
        <w:rPr>
          <w:i/>
        </w:rPr>
        <w:t>replication flows</w:t>
      </w:r>
      <w:r>
        <w:t>) und Transformationsflüsse (</w:t>
      </w:r>
      <w:r>
        <w:rPr>
          <w:i/>
        </w:rPr>
        <w:t>transformation flows</w:t>
      </w:r>
      <w:r>
        <w:t>). Sie können sie hier über die Aktion „Ausführen“ (</w:t>
      </w:r>
      <w:r>
        <w:rPr>
          <w:i/>
        </w:rPr>
        <w:t>Run</w:t>
      </w:r>
      <w:r>
        <w:t>) starten und ihre Ausführungsdetails einsehen. Wie Sie die Flüsse modellieren, beschreibt Kapitel 6.</w:t>
      </w:r>
    </w:p>
    <w:p>
      <w:r>
        <w:rPr>
          <w:b/>
        </w:rPr>
        <w:t>Replikationsflüsse.</w:t>
      </w:r>
      <w:r>
        <w:t xml:space="preserve"> Für einen bestehenden Lauf eines Replikationsflusses stehen laut Dokumentation folgende Möglichkeiten zur Verfügung:</w:t>
      </w:r>
    </w:p>
    <w:p>
      <w:pPr>
        <w:pStyle w:val="ListBullet"/>
      </w:pPr>
      <w:r>
        <w:t xml:space="preserve">Lauf </w:t>
      </w:r>
      <w:r>
        <w:rPr>
          <w:b/>
        </w:rPr>
        <w:t>anhalten</w:t>
      </w:r>
      <w:r>
        <w:t xml:space="preserve"> und später </w:t>
      </w:r>
      <w:r>
        <w:rPr>
          <w:b/>
        </w:rPr>
        <w:t>fortsetzen</w:t>
      </w:r>
    </w:p>
    <w:p>
      <w:pPr>
        <w:pStyle w:val="ListBullet"/>
      </w:pPr>
      <w:r>
        <w:t xml:space="preserve">Lauf ganz </w:t>
      </w:r>
      <w:r>
        <w:rPr>
          <w:b/>
        </w:rPr>
        <w:t>stoppen</w:t>
      </w:r>
      <w:r>
        <w:t>, wenn er nicht mehr gebraucht wird</w:t>
      </w:r>
    </w:p>
    <w:p>
      <w:pPr>
        <w:pStyle w:val="ListBullet"/>
      </w:pPr>
      <w:r>
        <w:t xml:space="preserve">Lauf </w:t>
      </w:r>
      <w:r>
        <w:rPr>
          <w:b/>
        </w:rPr>
        <w:t>einplanen</w:t>
      </w:r>
    </w:p>
    <w:p>
      <w:pPr>
        <w:pStyle w:val="ListBullet"/>
      </w:pPr>
      <w:r>
        <w:rPr>
          <w:b/>
        </w:rPr>
        <w:t>Premium-Outbound-Volumen</w:t>
      </w:r>
      <w:r>
        <w:t xml:space="preserve"> überwachen ⚠ abhängig von Lizenz/Freischaltung (relevant bei Zielen außerhalb von SAP Datasphere)</w:t>
      </w:r>
    </w:p>
    <w:p>
      <w:pPr>
        <w:pStyle w:val="ListBullet"/>
      </w:pPr>
      <w:r>
        <w:rPr>
          <w:b/>
        </w:rPr>
        <w:t>E-Mail-Benachrichtigungen</w:t>
      </w:r>
      <w:r>
        <w:t xml:space="preserve"> bei Fehlern des Replikationsflusses konfigurieren</w:t>
      </w:r>
    </w:p>
    <w:p>
      <w:r>
        <w:t xml:space="preserve">Wie Sie Schemata und Einstellungen eines bestehenden Replikationsflusses ändern, beschreibt Kapitel 6. Welche Kennzahlen die Detailansicht je Objekt zeigt (z. B. Initial- und Delta-Ladung), ist im Einzelnen </w:t>
      </w:r>
      <w:r>
        <w:rPr>
          <w:b/>
        </w:rPr>
        <w:t>nicht verifiziert</w:t>
      </w:r>
      <w:r>
        <w:t>.</w:t>
      </w:r>
    </w:p>
    <w:p>
      <w:pPr>
        <w:pStyle w:val="Heading3"/>
      </w:pPr>
      <w:r>
        <w:t>10.3.6 Aufgabenketten (Task Chains)</w:t>
      </w:r>
    </w:p>
    <w:p>
      <w:r>
        <w:rPr>
          <w:b/>
        </w:rPr>
        <w:t>Zweck.</w:t>
      </w:r>
      <w:r>
        <w:t xml:space="preserve"> Der Monitor zeigt Status und Fortschritt von Aufgabenketten, also von zusammengesetzten Folgen aus Integrationsaufgaben.</w:t>
      </w:r>
    </w:p>
    <w:p>
      <w:r>
        <w:rPr>
          <w:b/>
        </w:rPr>
        <w:t>Funktionen:</w:t>
      </w:r>
    </w:p>
    <w:p>
      <w:pPr>
        <w:pStyle w:val="ListBullet"/>
      </w:pPr>
      <w:r>
        <w:t>Aufgabenketten ausführen und einplanen. Beides ist auch direkt nach dem Anlegen im Editor möglich (siehe Kapitel 6).</w:t>
      </w:r>
    </w:p>
    <w:p>
      <w:pPr>
        <w:pStyle w:val="ListBullet"/>
      </w:pPr>
      <w:r>
        <w:t>E-Mail-Benachrichtigung einrichten. Das geschieht im Editor der Aufgabenkette.</w:t>
      </w:r>
    </w:p>
    <w:p>
      <w:pPr>
        <w:pStyle w:val="ListBullet"/>
      </w:pPr>
      <w:r>
        <w:t>Läufe und die Unteraufgaben je Schritt mit ihren Protokollen einsehen.</w:t>
      </w:r>
    </w:p>
    <w:p>
      <w:pPr>
        <w:pStyle w:val="ListBullet"/>
      </w:pPr>
      <w:r>
        <w:t>Fehlgeschlagene Läufe erneut starten oder hängende Läufe auf „fehlgeschlagen“ setzen (</w:t>
      </w:r>
      <w:r>
        <w:rPr>
          <w:b/>
        </w:rPr>
        <w:t>nicht verifiziert</w:t>
      </w:r>
      <w:r>
        <w:t>).</w:t>
      </w:r>
    </w:p>
    <w:p>
      <w:pPr>
        <w:pStyle w:val="ListBullet"/>
      </w:pPr>
      <w:r>
        <w:t xml:space="preserve">Protokolle zusätzlich über die Befehlszeilenschnittstelle </w:t>
      </w:r>
      <w:r>
        <w:rPr>
          <w:rFonts w:ascii="Consolas" w:hAnsi="Consolas"/>
        </w:rPr>
        <w:t>datasphere</w:t>
      </w:r>
      <w:r>
        <w:t xml:space="preserve"> auflisten und lesen (siehe Kapitel 12).</w:t>
      </w:r>
    </w:p>
    <w:p>
      <w:r>
        <w:rPr>
          <w:b/>
        </w:rPr>
        <w:t>Hinweis:</w:t>
      </w:r>
      <w:r>
        <w:t xml:space="preserve"> Der Aufgabenketten-Monitor braucht Zeit, um die Statusinformationen aller Aufgaben zu sammeln. Die angezeigten Laufzeiten können deshalb leicht von denen im jeweiligen Detailmonitor abweichen, etwa im Views- oder Flows-Monitor.</w:t>
      </w:r>
    </w:p>
    <w:p>
      <w:pPr>
        <w:pStyle w:val="Heading3"/>
      </w:pPr>
      <w:r>
        <w:t>10.3.7 Remote-Abfragen (Remote Queries)</w:t>
      </w:r>
    </w:p>
    <w:p>
      <w:r>
        <w:rPr>
          <w:b/>
        </w:rPr>
        <w:t>Zweck.</w:t>
      </w:r>
      <w:r>
        <w:t xml:space="preserve"> Der Monitor zeigt die Abfragen, die ein Bereich an angebundene Quellsysteme sendet. Das hilft, wenn Sie Ausführungen von Storys, Views oder Vorschauen analysieren wollen: Der Monitor liefert Details zu einzelnen Leseanfragen, etwa Laufzeit und Größe der Ergebnismenge.</w:t>
      </w:r>
    </w:p>
    <w:p>
      <w:r>
        <w:t>Typische Angaben (</w:t>
      </w:r>
      <w:r>
        <w:rPr>
          <w:b/>
        </w:rPr>
        <w:t>nicht verifiziert</w:t>
      </w:r>
      <w:r>
        <w:t xml:space="preserve">): Verbindung, Status, Startzeit, Dauer, gelesene Datensätze, Remote-Anweisung (SQL-Text, aufrufbar als Detail). Ob es eine eigene Unterregisterkarte für Remote-Anweisungen gibt, ist </w:t>
      </w:r>
      <w:r>
        <w:rPr>
          <w:b/>
        </w:rPr>
        <w:t>nicht verifiziert</w:t>
      </w:r>
      <w:r>
        <w:t>.</w:t>
      </w:r>
    </w:p>
    <w:p>
      <w:pPr>
        <w:pStyle w:val="Heading3"/>
      </w:pPr>
      <w:r>
        <w:t>10.3.8 Zeitpläne (Schedules)</w:t>
      </w:r>
    </w:p>
    <w:p>
      <w:r>
        <w:t>Sie können folgende Aufgaben einplanen oder ihren Zeitplan wieder entfernen: Replikation von Remote-Daten, Datenpersistenz, Datenflüsse, Replikationsflüsse und Aufgabenketten. Eingeplante Läufe lassen sich anhalten und später fortsetzen.</w:t>
      </w:r>
    </w:p>
    <w:p>
      <w:pPr>
        <w:pStyle w:val="ListBullet"/>
      </w:pPr>
      <w:r>
        <w:rPr>
          <w:b/>
        </w:rPr>
        <w:t>Einfacher Zeitplan</w:t>
      </w:r>
      <w:r>
        <w:t xml:space="preserve"> (</w:t>
      </w:r>
      <w:r>
        <w:rPr>
          <w:i/>
        </w:rPr>
        <w:t>Simple Schedule</w:t>
      </w:r>
      <w:r>
        <w:t>): Sie wählen Frequenz, Startzeitpunkt und Zeitraum über die Oberfläche aus.</w:t>
      </w:r>
    </w:p>
    <w:p>
      <w:pPr>
        <w:pStyle w:val="ListBullet"/>
      </w:pPr>
      <w:r>
        <w:rPr>
          <w:b/>
        </w:rPr>
        <w:t>Cron-Ausdruck</w:t>
      </w:r>
      <w:r>
        <w:t xml:space="preserve"> (</w:t>
      </w:r>
      <w:r>
        <w:rPr>
          <w:i/>
        </w:rPr>
        <w:t>Cron Expression</w:t>
      </w:r>
      <w:r>
        <w:t>): Für komplexere Muster wie „werktags zweimal täglich“.</w:t>
      </w:r>
    </w:p>
    <w:p>
      <w:pPr>
        <w:pStyle w:val="ListBullet"/>
      </w:pPr>
      <w:r>
        <w:rPr>
          <w:b/>
        </w:rPr>
        <w:t>Zustimmung</w:t>
      </w:r>
      <w:r>
        <w:t xml:space="preserve"> (</w:t>
      </w:r>
      <w:r>
        <w:rPr>
          <w:i/>
        </w:rPr>
        <w:t>Consent</w:t>
      </w:r>
      <w:r>
        <w:t xml:space="preserve">): Damit wiederkehrende Aufgaben in Ihrem Namen laufen, müssen Sie die Job-Scheduling-Komponente autorisieren. Das geschieht in den Profileinstellungen unter </w:t>
      </w:r>
      <w:r>
        <w:rPr>
          <w:i/>
        </w:rPr>
        <w:t>Authorized Consent Settings</w:t>
      </w:r>
      <w:r>
        <w:t xml:space="preserve">, wo Sie die Zustimmung auch widerrufen können. Fehlt sie, erscheint oben im Monitor eine Aufforderung. Dass die Zustimmung nach einer bestimmten Frist abläuft, ist </w:t>
      </w:r>
      <w:r>
        <w:rPr>
          <w:b/>
        </w:rPr>
        <w:t>nicht verifiziert</w:t>
      </w:r>
      <w:r>
        <w:t>.</w:t>
      </w:r>
    </w:p>
    <w:p>
      <w:pPr>
        <w:pStyle w:val="ListBullet"/>
      </w:pPr>
      <w:r>
        <w:t>Ob sich die Verantwortung für einen Zeitplan auf einen anderen Benutzer übertragen lässt (</w:t>
      </w:r>
      <w:r>
        <w:rPr>
          <w:i/>
        </w:rPr>
        <w:t>Assign Schedule to Me</w:t>
      </w:r>
      <w:r>
        <w:t xml:space="preserve">), ist </w:t>
      </w:r>
      <w:r>
        <w:rPr>
          <w:b/>
        </w:rPr>
        <w:t>nicht verifiziert</w:t>
      </w:r>
      <w:r>
        <w:t>.</w:t>
      </w:r>
    </w:p>
    <w:p>
      <w:pPr>
        <w:pStyle w:val="Heading2"/>
      </w:pPr>
      <w:r>
        <w:t>10.4 System Monitor</w:t>
      </w:r>
    </w:p>
    <w:p>
      <w:pPr>
        <w:pStyle w:val="Heading3"/>
      </w:pPr>
      <w:r>
        <w:t>10.4.1 Aufbau</w:t>
      </w:r>
    </w:p>
    <w:p>
      <w:r>
        <w:t>Laut Dokumentation dienen die Monitoring-Apps dazu, die Systemleistung zu überwachen und Probleme mit Speicher, Aufgaben, Out-of-Memory-Situationen und Ähnlichem zu erkennen. Die Registerkarten sind:</w:t>
      </w:r>
    </w:p>
    <w:p>
      <w:pPr>
        <w:pStyle w:val="ListBullet"/>
      </w:pPr>
      <w:r>
        <w:rPr>
          <w:b/>
        </w:rPr>
        <w:t>Dashboard</w:t>
      </w:r>
    </w:p>
    <w:p>
      <w:pPr>
        <w:pStyle w:val="ListBullet"/>
      </w:pPr>
      <w:r>
        <w:rPr>
          <w:b/>
        </w:rPr>
        <w:t>Logs</w:t>
      </w:r>
      <w:r>
        <w:t xml:space="preserve"> mit Unterbereichen für Aufgaben (</w:t>
      </w:r>
      <w:r>
        <w:rPr>
          <w:i/>
        </w:rPr>
        <w:t>Tasks</w:t>
      </w:r>
      <w:r>
        <w:t>) und Anweisungen (</w:t>
      </w:r>
      <w:r>
        <w:rPr>
          <w:i/>
        </w:rPr>
        <w:t>Statements</w:t>
      </w:r>
      <w:r>
        <w:t xml:space="preserve">). Ein SAP-Hinweis nennt dafür die Bezeichnung </w:t>
      </w:r>
      <w:r>
        <w:rPr>
          <w:i/>
        </w:rPr>
        <w:t>Statement Logs</w:t>
      </w:r>
      <w:r>
        <w:t xml:space="preserve">. Dass die Unterbereiche in neueren Versionen eigene Registerkarten sind, ist </w:t>
      </w:r>
      <w:r>
        <w:rPr>
          <w:b/>
        </w:rPr>
        <w:t>nicht verifiziert</w:t>
      </w:r>
      <w:r>
        <w:t>.</w:t>
      </w:r>
    </w:p>
    <w:p>
      <w:pPr>
        <w:pStyle w:val="ListBullet"/>
      </w:pPr>
      <w:r>
        <w:rPr>
          <w:b/>
        </w:rPr>
        <w:t>Elastic Compute Nodes</w:t>
      </w:r>
      <w:r>
        <w:t>: inzwischen als eigene App dokumentiert ⚠</w:t>
      </w:r>
    </w:p>
    <w:p>
      <w:pPr>
        <w:pStyle w:val="Heading3"/>
      </w:pPr>
      <w:r>
        <w:t>10.4.2 Dashboard: Platten- und Arbeitsspeicher</w:t>
      </w:r>
    </w:p>
    <w:p>
      <w:r>
        <w:t xml:space="preserve">Das Dashboard zeigt Kacheln zu Kennzahlen des gesamten Tenants. Belegt ist, dass hier Speicher- und Out-of-Memory-Probleme erkennbar sind. Die konkreten Kacheln sind </w:t>
      </w:r>
      <w:r>
        <w:rPr>
          <w:b/>
        </w:rPr>
        <w:t>nicht verifiziert</w:t>
      </w:r>
      <w:r>
        <w:t>, typischerweise sind es:</w:t>
      </w:r>
    </w:p>
    <w:p>
      <w:pPr>
        <w:pStyle w:val="ListBullet"/>
      </w:pPr>
      <w:r>
        <w:t>belegter und zugewiesener Plattenspeicher je Bereich</w:t>
      </w:r>
    </w:p>
    <w:p>
      <w:pPr>
        <w:pStyle w:val="ListBullet"/>
      </w:pPr>
      <w:r>
        <w:t>Arbeitsspeicherverbrauch je Bereich</w:t>
      </w:r>
    </w:p>
    <w:p>
      <w:pPr>
        <w:pStyle w:val="ListBullet"/>
      </w:pPr>
      <w:r>
        <w:t>die Top-Bereiche bzw. Top-Anweisungen nach Speicherverbrauch</w:t>
      </w:r>
    </w:p>
    <w:p>
      <w:pPr>
        <w:pStyle w:val="ListBullet"/>
      </w:pPr>
      <w:r>
        <w:t>fehlgeschlagene Aufgaben</w:t>
      </w:r>
    </w:p>
    <w:p>
      <w:pPr>
        <w:pStyle w:val="ListBullet"/>
      </w:pPr>
      <w:r>
        <w:t>Out-of-Memory-Ereignisse</w:t>
      </w:r>
    </w:p>
    <w:p>
      <w:r>
        <w:t>Die Angaben je Bereich hängen mit den Speicherzuteilungen aus Kapitel 4 zusammen.</w:t>
      </w:r>
    </w:p>
    <w:p>
      <w:pPr>
        <w:pStyle w:val="Heading3"/>
      </w:pPr>
      <w:r>
        <w:t>10.4.3 Logs: Aufgaben und Anweisungen</w:t>
      </w:r>
    </w:p>
    <w:p>
      <w:pPr>
        <w:pStyle w:val="ListBullet"/>
      </w:pPr>
      <w:r>
        <w:rPr>
          <w:b/>
        </w:rPr>
        <w:t>Aufgaben</w:t>
      </w:r>
      <w:r>
        <w:t xml:space="preserve"> (</w:t>
      </w:r>
      <w:r>
        <w:rPr>
          <w:i/>
        </w:rPr>
        <w:t>Tasks</w:t>
      </w:r>
      <w:r>
        <w:t>): Übersicht über die Läufe von Integrationsaufgaben aller Bereiche, mit Status, Dauer und Speicherverbrauch.</w:t>
      </w:r>
    </w:p>
    <w:p>
      <w:pPr>
        <w:pStyle w:val="ListBullet"/>
      </w:pPr>
      <w:r>
        <w:rPr>
          <w:b/>
        </w:rPr>
        <w:t>Anweisungen</w:t>
      </w:r>
      <w:r>
        <w:t xml:space="preserve"> (</w:t>
      </w:r>
      <w:r>
        <w:rPr>
          <w:i/>
        </w:rPr>
        <w:t>Statements</w:t>
      </w:r>
      <w:r>
        <w:t>): SQL-Anweisungen mit Kennzahlen wie Spitzenspeicher und CPU-Zeit. Auffällige Anweisungen werden nur erfasst, wenn Expensive Statement Tracing aktiv ist (siehe 10.4.4).</w:t>
      </w:r>
    </w:p>
    <w:p>
      <w:pPr>
        <w:pStyle w:val="Heading3"/>
      </w:pPr>
      <w:r>
        <w:t>10.4.4 Konfiguration des Monitorings</w:t>
      </w:r>
    </w:p>
    <w:p>
      <w:r>
        <w:t xml:space="preserve">In der Monitoring-Konfiguration (Systemkonfiguration, siehe Kapitel 3) aktivieren Sie </w:t>
      </w:r>
      <w:r>
        <w:rPr>
          <w:b/>
        </w:rPr>
        <w:t>Expensive Statement Tracing</w:t>
      </w:r>
      <w:r>
        <w:t xml:space="preserve"> (</w:t>
      </w:r>
      <w:r>
        <w:rPr>
          <w:i/>
        </w:rPr>
        <w:t>Enable Expensive Statement Tracing</w:t>
      </w:r>
      <w:r>
        <w:t>). Damit analysieren Sie einzelne SQL-Abfragen, die einen oder mehrere Schwellenwerte überschreiten. Sie können die Standardeinstellungen übernehmen oder Parameter zum Filtern des Traces festlegen.</w:t>
      </w:r>
    </w:p>
    <w:p>
      <w:r>
        <w:t>Außerdem können Sie mit SAP-HANA-Monitoring-Views arbeiten. Deren Daten stehen bereits in den Monitoring-Apps zur Verfügung. Wer sie direkt nutzt, kann darüber hinausgehende Analysen durchführen, die der Standardmonitor nicht bietet. Administratoren können zur Fehlersuche Datenbankanalysebenutzer anlegen (siehe Kapitel 3).</w:t>
      </w:r>
    </w:p>
    <w:p>
      <w:pPr>
        <w:pStyle w:val="Heading3"/>
      </w:pPr>
      <w:r>
        <w:t>10.4.5 Elastic Compute Nodes ⚠ abhängig von Lizenz/Freischaltung</w:t>
      </w:r>
    </w:p>
    <w:p>
      <w:r>
        <w:t>Hier überwachen Sie Elastic Compute Nodes anhand folgender Kennzahlen:</w:t>
      </w:r>
    </w:p>
    <w:p>
      <w:pPr>
        <w:pStyle w:val="ListBullet"/>
      </w:pPr>
      <w:r>
        <w:t>Konfiguration</w:t>
      </w:r>
    </w:p>
    <w:p>
      <w:pPr>
        <w:pStyle w:val="ListBullet"/>
      </w:pPr>
      <w:r>
        <w:t>Laufdetails, z. B. Start- und Endzeit des letzten Laufs</w:t>
      </w:r>
    </w:p>
    <w:p>
      <w:pPr>
        <w:pStyle w:val="ListBullet"/>
      </w:pPr>
      <w:r>
        <w:t>CPU- und Arbeitsspeicherverbrauch, einschließlich des Speichers für Datenreplikation</w:t>
      </w:r>
    </w:p>
    <w:p>
      <w:pPr>
        <w:pStyle w:val="ListBullet"/>
      </w:pPr>
      <w:r>
        <w:t>Betriebszeit (</w:t>
      </w:r>
      <w:r>
        <w:rPr>
          <w:i/>
        </w:rPr>
        <w:t>uptime</w:t>
      </w:r>
      <w:r>
        <w:t>)</w:t>
      </w:r>
    </w:p>
    <w:p>
      <w:pPr>
        <w:pStyle w:val="ListBullet"/>
      </w:pPr>
      <w:r>
        <w:t>Top-Anweisungen</w:t>
      </w:r>
    </w:p>
    <w:p>
      <w:pPr>
        <w:pStyle w:val="ListBullet"/>
      </w:pPr>
      <w:r>
        <w:t>Fehler</w:t>
      </w:r>
    </w:p>
    <w:p>
      <w:r>
        <w:t>Sie dienen dazu, Probleme zu untersuchen und Ressourcen gezielt zu verteilen. Wie Sie Knoten anlegen, starten und stoppen, beschreibt Kapitel 3.</w:t>
      </w:r>
    </w:p>
    <w:p>
      <w:pPr>
        <w:pStyle w:val="Heading2"/>
      </w:pPr>
      <w:r>
        <w:t>10.5 Aufgabenprotokolle und Benachrichtigungen</w:t>
      </w:r>
    </w:p>
    <w:p>
      <w:r>
        <w:rPr>
          <w:b/>
        </w:rPr>
        <w:t>Aufgabenprotokolle</w:t>
      </w:r>
      <w:r>
        <w:t xml:space="preserve"> (</w:t>
      </w:r>
      <w:r>
        <w:rPr>
          <w:i/>
        </w:rPr>
        <w:t>Task Logs</w:t>
      </w:r>
      <w:r>
        <w:t xml:space="preserve">). Jede Ausführung einer Integrationsaufgabe erzeugt ein Protokoll. Sie sehen es in der Detailansicht des jeweiligen Monitors und bereichsübergreifend im System Monitor. Ein Protokoll enthält Status, Laufzeit und Meldungen. Statuswerte wie </w:t>
      </w:r>
      <w:r>
        <w:rPr>
          <w:i/>
        </w:rPr>
        <w:t>Running</w:t>
      </w:r>
      <w:r>
        <w:t xml:space="preserve">, </w:t>
      </w:r>
      <w:r>
        <w:rPr>
          <w:i/>
        </w:rPr>
        <w:t>Completed</w:t>
      </w:r>
      <w:r>
        <w:t xml:space="preserve"> und </w:t>
      </w:r>
      <w:r>
        <w:rPr>
          <w:i/>
        </w:rPr>
        <w:t>Failed</w:t>
      </w:r>
      <w:r>
        <w:t xml:space="preserve"> sowie eine Aktion zum Abbrechen laufender Ausführungen sind </w:t>
      </w:r>
      <w:r>
        <w:rPr>
          <w:b/>
        </w:rPr>
        <w:t>nicht verifiziert</w:t>
      </w:r>
      <w:r>
        <w:t xml:space="preserve">. Wie lange Protokolle aufbewahrt bzw. wann sie gelöscht werden, legen Sie in der Systemkonfiguration fest (siehe Kapitel 3; Einstellung </w:t>
      </w:r>
      <w:r>
        <w:rPr>
          <w:b/>
        </w:rPr>
        <w:t>nicht verifiziert</w:t>
      </w:r>
      <w:r>
        <w:t>).</w:t>
      </w:r>
    </w:p>
    <w:p>
      <w:r>
        <w:rPr>
          <w:b/>
        </w:rPr>
        <w:t>Benachrichtigungen bei Fehlern:</w:t>
      </w:r>
    </w:p>
    <w:p>
      <w:pPr>
        <w:pStyle w:val="ListBullet"/>
      </w:pPr>
      <w:r>
        <w:rPr>
          <w:b/>
        </w:rPr>
        <w:t>E-Mail</w:t>
      </w:r>
      <w:r>
        <w:t xml:space="preserve"> bei fehlgeschlagenen Aufgabenketten und Replikationsflüssen (belegt, siehe 10.3.5 und 10.3.6)</w:t>
      </w:r>
    </w:p>
    <w:p>
      <w:pPr>
        <w:pStyle w:val="ListBullet"/>
      </w:pPr>
      <w:r>
        <w:rPr>
          <w:b/>
        </w:rPr>
        <w:t>In-App-Benachrichtigungen</w:t>
      </w:r>
      <w:r>
        <w:t xml:space="preserve"> in der Shell (siehe Kapitel 2) bei fehlgeschlagenen eingeplanten Aufgaben (</w:t>
      </w:r>
      <w:r>
        <w:rPr>
          <w:b/>
        </w:rPr>
        <w:t>nicht verifiziert</w:t>
      </w:r>
      <w:r>
        <w:t>)</w:t>
      </w:r>
    </w:p>
    <w:p>
      <w:pPr>
        <w:pStyle w:val="ListBullet"/>
      </w:pPr>
      <w:r>
        <w:rPr>
          <w:b/>
        </w:rPr>
        <w:t>Externe Überwachung</w:t>
      </w:r>
      <w:r>
        <w:t xml:space="preserve"> über das Health Monitoring von SAP Cloud ALM ⚠ abhängig von Lizenz/Freischaltung. Dort aktivieren Sie die Datenerfassung für das SAP-Datasphere-System.</w:t>
      </w:r>
    </w:p>
    <w:p>
      <w:pPr>
        <w:pStyle w:val="Heading2"/>
      </w:pPr>
      <w:r>
        <w:t>10.6 Typische Abläufe</w:t>
      </w:r>
    </w:p>
    <w:p>
      <w:r>
        <w:rPr>
          <w:b/>
        </w:rPr>
        <w:t>A. Remote-Tabelle regelmäßig als Snapshot replizieren</w:t>
      </w:r>
    </w:p>
    <w:p>
      <w:pPr>
        <w:pStyle w:val="ListNumber"/>
      </w:pPr>
      <w:r>
        <w:t xml:space="preserve">Data Integration Monitor öffnen, Bereich wählen, Monitor </w:t>
      </w:r>
      <w:r>
        <w:rPr>
          <w:i/>
        </w:rPr>
        <w:t>Remote Tables</w:t>
      </w:r>
      <w:r>
        <w:t xml:space="preserve"> öffnen.</w:t>
      </w:r>
    </w:p>
    <w:p>
      <w:pPr>
        <w:pStyle w:val="ListNumber"/>
      </w:pPr>
      <w:r>
        <w:t>Remote-Tabelle markieren und einen Snapshot laden.</w:t>
      </w:r>
    </w:p>
    <w:p>
      <w:pPr>
        <w:pStyle w:val="ListNumber"/>
      </w:pPr>
      <w:r>
        <w:t>Zustimmung für das Job Scheduling erteilen, falls die Aufforderung erscheint (siehe 10.3.8).</w:t>
      </w:r>
    </w:p>
    <w:p>
      <w:pPr>
        <w:pStyle w:val="ListNumber"/>
      </w:pPr>
      <w:r>
        <w:t>Einen Zeitplan anlegen, als einfachen Zeitplan oder per Cron-Ausdruck.</w:t>
      </w:r>
    </w:p>
    <w:p>
      <w:pPr>
        <w:pStyle w:val="ListNumber"/>
      </w:pPr>
      <w:r>
        <w:t>In der Detailansicht Status und Protokoll des Laufs prüfen.</w:t>
      </w:r>
    </w:p>
    <w:p>
      <w:r>
        <w:rPr>
          <w:b/>
        </w:rPr>
        <w:t>B. Große View persistieren</w:t>
      </w:r>
    </w:p>
    <w:p>
      <w:pPr>
        <w:pStyle w:val="ListNumber"/>
      </w:pPr>
      <w:r>
        <w:t xml:space="preserve">Monitor </w:t>
      </w:r>
      <w:r>
        <w:rPr>
          <w:i/>
        </w:rPr>
        <w:t>Views</w:t>
      </w:r>
      <w:r>
        <w:t xml:space="preserve"> öffnen und die View auswählen.</w:t>
      </w:r>
    </w:p>
    <w:p>
      <w:pPr>
        <w:pStyle w:val="ListNumber"/>
      </w:pPr>
      <w:r>
        <w:t>Mit dem View Analyzer prüfen, auf welcher Ebene sich eine Persistenz lohnt.</w:t>
      </w:r>
    </w:p>
    <w:p>
      <w:pPr>
        <w:pStyle w:val="ListNumber"/>
      </w:pPr>
      <w:r>
        <w:t>In der Detailansicht Partitionen auf einer geeigneten Spalte anlegen.</w:t>
      </w:r>
    </w:p>
    <w:p>
      <w:pPr>
        <w:pStyle w:val="ListNumber"/>
      </w:pPr>
      <w:r>
        <w:t>Die Datenpersistenz starten oder einplanen.</w:t>
      </w:r>
    </w:p>
    <w:p>
      <w:pPr>
        <w:pStyle w:val="ListNumber"/>
      </w:pPr>
      <w:r>
        <w:t>Speicherkennzahlen und Protokoll prüfen.</w:t>
      </w:r>
    </w:p>
    <w:p>
      <w:r>
        <w:rPr>
          <w:b/>
        </w:rPr>
        <w:t>C. Fehlgeschlagene Aufgabenkette analysieren</w:t>
      </w:r>
    </w:p>
    <w:p>
      <w:pPr>
        <w:pStyle w:val="ListNumber"/>
      </w:pPr>
      <w:r>
        <w:t xml:space="preserve">Die E-Mail-Benachrichtigung erhalten oder den Monitor </w:t>
      </w:r>
      <w:r>
        <w:rPr>
          <w:i/>
        </w:rPr>
        <w:t>Task Chains</w:t>
      </w:r>
      <w:r>
        <w:t xml:space="preserve"> öffnen.</w:t>
      </w:r>
    </w:p>
    <w:p>
      <w:pPr>
        <w:pStyle w:val="ListNumber"/>
      </w:pPr>
      <w:r>
        <w:t>Den fehlgeschlagenen Lauf öffnen und den fehlerhaften Schritt ermitteln.</w:t>
      </w:r>
    </w:p>
    <w:p>
      <w:pPr>
        <w:pStyle w:val="ListNumber"/>
      </w:pPr>
      <w:r>
        <w:t>In den Detailmonitor wechseln (</w:t>
      </w:r>
      <w:r>
        <w:rPr>
          <w:i/>
        </w:rPr>
        <w:t>Views</w:t>
      </w:r>
      <w:r>
        <w:t xml:space="preserve"> bzw. </w:t>
      </w:r>
      <w:r>
        <w:rPr>
          <w:i/>
        </w:rPr>
        <w:t>Flows</w:t>
      </w:r>
      <w:r>
        <w:t>) und dort die Protokollmeldungen auswerten.</w:t>
      </w:r>
    </w:p>
    <w:p>
      <w:pPr>
        <w:pStyle w:val="ListNumber"/>
      </w:pPr>
      <w:r>
        <w:t>Den Fehler beheben und den Lauf erneut starten.</w:t>
      </w:r>
    </w:p>
    <w:p>
      <w:r>
        <w:rPr>
          <w:b/>
        </w:rPr>
        <w:t>D. Speicherengpass untersuchen (Administration)</w:t>
      </w:r>
    </w:p>
    <w:p>
      <w:pPr>
        <w:pStyle w:val="ListNumber"/>
      </w:pPr>
      <w:r>
        <w:t>Expensive Statement Tracing aktivieren (siehe 10.4.4).</w:t>
      </w:r>
    </w:p>
    <w:p>
      <w:pPr>
        <w:pStyle w:val="ListNumber"/>
      </w:pPr>
      <w:r>
        <w:t>Im Dashboard des System Monitors die Bereiche mit hohem Verbrauch und die Out-of-Memory-Ereignisse prüfen.</w:t>
      </w:r>
    </w:p>
    <w:p>
      <w:pPr>
        <w:pStyle w:val="ListNumber"/>
      </w:pPr>
      <w:r>
        <w:t xml:space="preserve">Unter </w:t>
      </w:r>
      <w:r>
        <w:rPr>
          <w:i/>
        </w:rPr>
        <w:t>Logs</w:t>
      </w:r>
      <w:r>
        <w:t xml:space="preserve"> die betroffenen Aufgaben bzw. Anweisungen öffnen.</w:t>
      </w:r>
    </w:p>
    <w:p>
      <w:pPr>
        <w:pStyle w:val="ListNumber"/>
      </w:pPr>
      <w:r>
        <w:t>Den zuständigen Bereichsadministrator informieren, z. B. damit Persistenz oder Partitionierung angepasst werden.</w:t>
      </w:r>
    </w:p>
    <w:p>
      <w:pPr>
        <w:pStyle w:val="Heading2"/>
      </w:pPr>
      <w:r>
        <w:t>10.7 Abhängigkeiten, Grenzen, Hinweise</w:t>
      </w:r>
    </w:p>
    <w:p>
      <w:pPr>
        <w:pStyle w:val="ListBullet"/>
      </w:pPr>
      <w:r>
        <w:t>Der Data Integration Monitor zeigt immer nur einen Bereich. Bereichsübergreifend sieht nur der System Monitor.</w:t>
      </w:r>
    </w:p>
    <w:p>
      <w:pPr>
        <w:pStyle w:val="ListBullet"/>
      </w:pPr>
      <w:r>
        <w:t>Eingeplante Aufgaben laufen nur mit gültiger Zustimmung des Benutzers, der sie eingeplant hat.</w:t>
      </w:r>
    </w:p>
    <w:p>
      <w:pPr>
        <w:pStyle w:val="ListBullet"/>
      </w:pPr>
      <w:r>
        <w:t>Laufzeitangaben im Aufgabenketten-Monitor können von denen der Detailmonitore abweichen.</w:t>
      </w:r>
    </w:p>
    <w:p>
      <w:pPr>
        <w:pStyle w:val="ListBullet"/>
      </w:pPr>
      <w:r>
        <w:t>Ohne aktiviertes Expensive Statement Tracing fehlen wichtige Informationen, etwa zum Spitzenspeicher.</w:t>
      </w:r>
    </w:p>
    <w:p>
      <w:pPr>
        <w:pStyle w:val="ListBullet"/>
      </w:pPr>
      <w:r>
        <w:t>Echtzeitreplikation, Premium-Outbound-Volumen, Elastic Compute Nodes und SAP Cloud ALM sind ⚠ abhängig von Lizenz/Freischaltung bzw. Quellsystem.</w:t>
      </w:r>
    </w:p>
    <w:p>
      <w:pPr>
        <w:pStyle w:val="ListBullet"/>
      </w:pPr>
      <w:r>
        <w:t>Oberflächentexte ändern sich mit den Quartalsreleases.</w:t>
      </w:r>
    </w:p>
    <w:p>
      <w:pPr>
        <w:pStyle w:val="Heading2"/>
      </w:pPr>
      <w:r>
        <w:t>10.8 Übersicht: Funktion – Zweck – benötigtes 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Benötigtes Privileg (bereichsbezogen, sofern nicht anders angegeben)</w:t>
            </w:r>
          </w:p>
        </w:tc>
      </w:tr>
      <w:tr>
        <w:tc>
          <w:tcPr>
            <w:tcW w:type="dxa" w:w="2880"/>
          </w:tcPr>
          <w:p>
            <w:r>
              <w:t>Monitore und Protokolle anzeigen</w:t>
            </w:r>
          </w:p>
        </w:tc>
        <w:tc>
          <w:tcPr>
            <w:tcW w:type="dxa" w:w="2880"/>
          </w:tcPr>
          <w:p>
            <w:r>
              <w:t>Status und Historie einsehen</w:t>
            </w:r>
          </w:p>
        </w:tc>
        <w:tc>
          <w:tcPr>
            <w:tcW w:type="dxa" w:w="2880"/>
          </w:tcPr>
          <w:p>
            <w:r>
              <w:rPr>
                <w:i/>
              </w:rPr>
              <w:t>Data Warehouse General</w:t>
            </w:r>
            <w:r>
              <w:t xml:space="preserve"> (-R------), </w:t>
            </w:r>
            <w:r>
              <w:rPr>
                <w:i/>
              </w:rPr>
              <w:t>Data Warehouse Data Integration</w:t>
            </w:r>
            <w:r>
              <w:t xml:space="preserve"> (-R------)</w:t>
            </w:r>
          </w:p>
        </w:tc>
      </w:tr>
      <w:tr>
        <w:tc>
          <w:tcPr>
            <w:tcW w:type="dxa" w:w="2880"/>
          </w:tcPr>
          <w:p>
            <w:r>
              <w:t>Aufgaben manuell ausführen (Snapshot, Persistenz, Flow, Kette)</w:t>
            </w:r>
          </w:p>
        </w:tc>
        <w:tc>
          <w:tcPr>
            <w:tcW w:type="dxa" w:w="2880"/>
          </w:tcPr>
          <w:p>
            <w:r>
              <w:t>Daten laden oder aktualisieren</w:t>
            </w:r>
          </w:p>
        </w:tc>
        <w:tc>
          <w:tcPr>
            <w:tcW w:type="dxa" w:w="2880"/>
          </w:tcPr>
          <w:p>
            <w:r>
              <w:rPr>
                <w:i/>
              </w:rPr>
              <w:t>Data Warehouse Data Integration</w:t>
            </w:r>
            <w:r>
              <w:t xml:space="preserve"> (--U-----)</w:t>
            </w:r>
          </w:p>
        </w:tc>
      </w:tr>
      <w:tr>
        <w:tc>
          <w:tcPr>
            <w:tcW w:type="dxa" w:w="2880"/>
          </w:tcPr>
          <w:p>
            <w:r>
              <w:t>Zeitpläne anlegen, anhalten, fortsetzen</w:t>
            </w:r>
          </w:p>
        </w:tc>
        <w:tc>
          <w:tcPr>
            <w:tcW w:type="dxa" w:w="2880"/>
          </w:tcPr>
          <w:p>
            <w:r>
              <w:t>Wiederkehrende Ausführung</w:t>
            </w:r>
          </w:p>
        </w:tc>
        <w:tc>
          <w:tcPr>
            <w:tcW w:type="dxa" w:w="2880"/>
          </w:tcPr>
          <w:p>
            <w:r>
              <w:rPr>
                <w:i/>
              </w:rPr>
              <w:t>Data Warehouse Data Integration</w:t>
            </w:r>
            <w:r>
              <w:t xml:space="preserve"> (-----E--) (</w:t>
            </w:r>
            <w:r>
              <w:rPr>
                <w:b/>
              </w:rPr>
              <w:t>nicht verifiziert</w:t>
            </w:r>
            <w:r>
              <w:t>) + Zustimmung</w:t>
            </w:r>
          </w:p>
        </w:tc>
      </w:tr>
      <w:tr>
        <w:tc>
          <w:tcPr>
            <w:tcW w:type="dxa" w:w="2880"/>
          </w:tcPr>
          <w:p>
            <w:r>
              <w:t>Partitionen, View Analyzer</w:t>
            </w:r>
          </w:p>
        </w:tc>
        <w:tc>
          <w:tcPr>
            <w:tcW w:type="dxa" w:w="2880"/>
          </w:tcPr>
          <w:p>
            <w:r>
              <w:t>Persistenz optimieren</w:t>
            </w:r>
          </w:p>
        </w:tc>
        <w:tc>
          <w:tcPr>
            <w:tcW w:type="dxa" w:w="2880"/>
          </w:tcPr>
          <w:p>
            <w:r>
              <w:t xml:space="preserve">wie Ausführen; Zusatzrechte für Ausführungspläne </w:t>
            </w:r>
            <w:r>
              <w:rPr>
                <w:b/>
              </w:rPr>
              <w:t>nicht verifiziert</w:t>
            </w:r>
          </w:p>
        </w:tc>
      </w:tr>
      <w:tr>
        <w:tc>
          <w:tcPr>
            <w:tcW w:type="dxa" w:w="2880"/>
          </w:tcPr>
          <w:p>
            <w:r>
              <w:t>Replikationsfluss anhalten, fortsetzen, stoppen</w:t>
            </w:r>
          </w:p>
        </w:tc>
        <w:tc>
          <w:tcPr>
            <w:tcW w:type="dxa" w:w="2880"/>
          </w:tcPr>
          <w:p>
            <w:r>
              <w:t>Laufsteuerung</w:t>
            </w:r>
          </w:p>
        </w:tc>
        <w:tc>
          <w:tcPr>
            <w:tcW w:type="dxa" w:w="2880"/>
          </w:tcPr>
          <w:p>
            <w:r>
              <w:t>wie Ausführen (</w:t>
            </w:r>
            <w:r>
              <w:rPr>
                <w:b/>
              </w:rPr>
              <w:t>nicht verifiziert</w:t>
            </w:r>
            <w:r>
              <w:t>)</w:t>
            </w:r>
          </w:p>
        </w:tc>
      </w:tr>
      <w:tr>
        <w:tc>
          <w:tcPr>
            <w:tcW w:type="dxa" w:w="2880"/>
          </w:tcPr>
          <w:p>
            <w:r>
              <w:t>E-Mail-Benachrichtigung (Kette, Replikationsfluss)</w:t>
            </w:r>
          </w:p>
        </w:tc>
        <w:tc>
          <w:tcPr>
            <w:tcW w:type="dxa" w:w="2880"/>
          </w:tcPr>
          <w:p>
            <w:r>
              <w:t>Fehleralarmierung</w:t>
            </w:r>
          </w:p>
        </w:tc>
        <w:tc>
          <w:tcPr>
            <w:tcW w:type="dxa" w:w="2880"/>
          </w:tcPr>
          <w:p>
            <w:r>
              <w:t>Änderungsrecht am Objekt (</w:t>
            </w:r>
            <w:r>
              <w:rPr>
                <w:b/>
              </w:rPr>
              <w:t>nicht verifiziert</w:t>
            </w:r>
            <w:r>
              <w:t>)</w:t>
            </w:r>
          </w:p>
        </w:tc>
      </w:tr>
      <w:tr>
        <w:tc>
          <w:tcPr>
            <w:tcW w:type="dxa" w:w="2880"/>
          </w:tcPr>
          <w:p>
            <w:r>
              <w:t>System Monitor (Dashboard, Logs)</w:t>
            </w:r>
          </w:p>
        </w:tc>
        <w:tc>
          <w:tcPr>
            <w:tcW w:type="dxa" w:w="2880"/>
          </w:tcPr>
          <w:p>
            <w:r>
              <w:t>Überwachung des Tenants</w:t>
            </w:r>
          </w:p>
        </w:tc>
        <w:tc>
          <w:tcPr>
            <w:tcW w:type="dxa" w:w="2880"/>
          </w:tcPr>
          <w:p>
            <w:r>
              <w:t xml:space="preserve">Administratorrolle, z. B. </w:t>
            </w:r>
            <w:r>
              <w:rPr>
                <w:i/>
              </w:rPr>
              <w:t>DW Administrator</w:t>
            </w:r>
            <w:r>
              <w:t xml:space="preserve"> (</w:t>
            </w:r>
            <w:r>
              <w:rPr>
                <w:b/>
              </w:rPr>
              <w:t>nicht verifiziert</w:t>
            </w:r>
            <w:r>
              <w:t>)</w:t>
            </w:r>
          </w:p>
        </w:tc>
      </w:tr>
      <w:tr>
        <w:tc>
          <w:tcPr>
            <w:tcW w:type="dxa" w:w="2880"/>
          </w:tcPr>
          <w:p>
            <w:r>
              <w:t>Expensive Statement Tracing konfigurieren</w:t>
            </w:r>
          </w:p>
        </w:tc>
        <w:tc>
          <w:tcPr>
            <w:tcW w:type="dxa" w:w="2880"/>
          </w:tcPr>
          <w:p>
            <w:r>
              <w:t>Analyse teurer Anweisungen</w:t>
            </w:r>
          </w:p>
        </w:tc>
        <w:tc>
          <w:tcPr>
            <w:tcW w:type="dxa" w:w="2880"/>
          </w:tcPr>
          <w:p>
            <w:r>
              <w:t>Recht zur Systemkonfiguration (</w:t>
            </w:r>
            <w:r>
              <w:rPr>
                <w:b/>
              </w:rPr>
              <w:t>nicht verifiziert</w:t>
            </w:r>
            <w:r>
              <w:t>)</w:t>
            </w:r>
          </w:p>
        </w:tc>
      </w:tr>
      <w:tr>
        <w:tc>
          <w:tcPr>
            <w:tcW w:type="dxa" w:w="2880"/>
          </w:tcPr>
          <w:p>
            <w:r>
              <w:t>Elastic Compute Nodes überwachen ⚠</w:t>
            </w:r>
          </w:p>
        </w:tc>
        <w:tc>
          <w:tcPr>
            <w:tcW w:type="dxa" w:w="2880"/>
          </w:tcPr>
          <w:p>
            <w:r>
              <w:t>Ressourcensteuerung</w:t>
            </w:r>
          </w:p>
        </w:tc>
        <w:tc>
          <w:tcPr>
            <w:tcW w:type="dxa" w:w="2880"/>
          </w:tcPr>
          <w:p>
            <w:r>
              <w:t>Administratorrolle (</w:t>
            </w:r>
            <w:r>
              <w:rPr>
                <w:b/>
              </w:rPr>
              <w:t>nicht verifiziert</w:t>
            </w:r>
            <w:r>
              <w:t>)</w:t>
            </w:r>
          </w:p>
        </w:tc>
      </w:tr>
    </w:tbl>
    <w:p>
      <w:pPr>
        <w:pStyle w:val="Heading1"/>
      </w:pPr>
      <w:r>
        <w:t>11. Transport und Lifecycle-Management</w:t>
      </w:r>
    </w:p>
    <w:p>
      <w:pPr>
        <w:pStyle w:val="Heading2"/>
      </w:pPr>
      <w:r>
        <w:t>11.1 Zweck und Einordnung</w:t>
      </w:r>
    </w:p>
    <w:p>
      <w:r>
        <w:t>Mit dem Transport- und Lifecycle-Management werden Modellierungsinhalte kontrolliert zwischen SAP-Datasphere-Mandanten (</w:t>
      </w:r>
      <w:r>
        <w:rPr>
          <w:i/>
        </w:rPr>
        <w:t>Tenants</w:t>
      </w:r>
      <w:r>
        <w:t xml:space="preserve">) übertragen, zum Beispiel von der Entwicklung über den Test in die Produktion. Laut SAP-Dokumentation („Transporting Content Between Tenants“) ist der einfachste Weg für den Export der Editor </w:t>
      </w:r>
      <w:r>
        <w:rPr>
          <w:i/>
        </w:rPr>
        <w:t>Transport &gt; Export</w:t>
      </w:r>
      <w:r>
        <w:t>. Dort werden Objekte einem Paket (</w:t>
      </w:r>
      <w:r>
        <w:rPr>
          <w:i/>
        </w:rPr>
        <w:t>Package</w:t>
      </w:r>
      <w:r>
        <w:t>) zugeordnet. Anschließend legt man fest, welche Mandanten auf das Paket zugreifen dürfen, und exportiert es in einen privaten Cloud-Speicher (</w:t>
      </w:r>
      <w:r>
        <w:rPr>
          <w:i/>
        </w:rPr>
        <w:t>private cloud storage</w:t>
      </w:r>
      <w:r>
        <w:t>), aus dem es später importiert werden kann.</w:t>
      </w:r>
    </w:p>
    <w:p>
      <w:r>
        <w:t>Zum Lifecycle-Management gehören außerdem Werkzeuge, die nicht in der Transport-App liegen:</w:t>
      </w:r>
    </w:p>
    <w:p>
      <w:pPr>
        <w:pStyle w:val="ListBullet"/>
      </w:pPr>
      <w:r>
        <w:t>der Repository Explorer (</w:t>
      </w:r>
      <w:r>
        <w:rPr>
          <w:i/>
        </w:rPr>
        <w:t>Repository Explorer</w:t>
      </w:r>
      <w:r>
        <w:t>) für den Zugriff auf alle Objekte,</w:t>
      </w:r>
    </w:p>
    <w:p>
      <w:pPr>
        <w:pStyle w:val="ListBullet"/>
      </w:pPr>
      <w:r>
        <w:t>die Versionshistorie mit Wiederherstellung,</w:t>
      </w:r>
    </w:p>
    <w:p>
      <w:pPr>
        <w:pStyle w:val="ListBullet"/>
      </w:pPr>
      <w:r>
        <w:t>die Befehlszeilenschnittstelle (</w:t>
      </w:r>
      <w:r>
        <w:rPr>
          <w:i/>
        </w:rPr>
        <w:t>Command Line Interface</w:t>
      </w:r>
      <w:r>
        <w:t>, CLI) für automatisierte Abläufe.</w:t>
      </w:r>
    </w:p>
    <w:p>
      <w:r>
        <w:t>Die Modellierung der transportierten Objekte wird in Kapitel 6 (Data Builder) und Kapitel 7 (Business Builder) beschrieben. Rollen und Berechtigungen werden in Kapitel 3 behandelt, das Bereichskonzept in Kapitel 4.</w:t>
      </w:r>
    </w:p>
    <w:p>
      <w:pPr>
        <w:pStyle w:val="Heading2"/>
      </w:pPr>
      <w:r>
        <w:t>11.2 Aufruf und Navigation</w:t>
      </w:r>
    </w:p>
    <w:p>
      <w:pPr>
        <w:pStyle w:val="ListBullet"/>
      </w:pPr>
      <w:r>
        <w:rPr>
          <w:b/>
        </w:rPr>
        <w:t>Transport-App:</w:t>
      </w:r>
      <w:r>
        <w:t xml:space="preserve"> Die App wird über den Eintrag Transport (</w:t>
      </w:r>
      <w:r>
        <w:rPr>
          <w:i/>
        </w:rPr>
        <w:t>Transport</w:t>
      </w:r>
      <w:r>
        <w:t>) in der Seitenleiste aufgerufen (zur Seitenleiste siehe Kapitel 2). Laut Dokumentation gibt es die Bereiche Export (</w:t>
      </w:r>
      <w:r>
        <w:rPr>
          <w:i/>
        </w:rPr>
        <w:t>Export</w:t>
      </w:r>
      <w:r>
        <w:t>) und Import (</w:t>
      </w:r>
      <w:r>
        <w:rPr>
          <w:i/>
        </w:rPr>
        <w:t>Import</w:t>
      </w:r>
      <w:r>
        <w:t>). Ob es in der aktuellen Oberfläche weitere Unterpunkte gibt, ist nicht verifiziert.</w:t>
      </w:r>
    </w:p>
    <w:p>
      <w:pPr>
        <w:pStyle w:val="ListBullet"/>
      </w:pPr>
      <w:r>
        <w:rPr>
          <w:b/>
        </w:rPr>
        <w:t>Berechtigung:</w:t>
      </w:r>
      <w:r>
        <w:t xml:space="preserve"> Pakete anlegen und exportieren dürfen laut SAP-Dokumentation Benutzer mit Bereichsadministrator-Privilegien (</w:t>
      </w:r>
      <w:r>
        <w:rPr>
          <w:i/>
        </w:rPr>
        <w:t>space administrator privileges</w:t>
      </w:r>
      <w:r>
        <w:t>). Ein Community-Beitrag nennt für Export und Import die Rollen Administrator oder Bereichsadministrator mit Lese-, Pflege- und Freigaberechten für Lifecycle-Daten. Die genaue Privilegbezeichnung in der offiziellen Privilegienliste ist nicht verifiziert.</w:t>
      </w:r>
    </w:p>
    <w:p>
      <w:pPr>
        <w:pStyle w:val="ListBullet"/>
      </w:pPr>
      <w:r>
        <w:rPr>
          <w:b/>
        </w:rPr>
        <w:t>Modellierer:</w:t>
      </w:r>
      <w:r>
        <w:t xml:space="preserve"> Sie brauchen keinen Zugriff auf die Transport-App. Sie ordnen Objekte direkt in ihren Editoren einem Paket zu (siehe 11.4.1).</w:t>
      </w:r>
    </w:p>
    <w:p>
      <w:pPr>
        <w:pStyle w:val="ListBullet"/>
      </w:pPr>
      <w:r>
        <w:rPr>
          <w:b/>
        </w:rPr>
        <w:t>Repository Explorer und Versionen:</w:t>
      </w:r>
      <w:r>
        <w:t xml:space="preserve"> Beide sind Teil der Modellierungsumgebung (siehe 11.4.8 und 11.4.9).</w:t>
      </w:r>
    </w:p>
    <w:p>
      <w:pPr>
        <w:pStyle w:val="Heading2"/>
      </w:pPr>
      <w:r>
        <w:t>11.3 Aufbau der Oberfläche</w:t>
      </w:r>
    </w:p>
    <w:p>
      <w:r>
        <w:t>Die Dokumentation beschreibt den Exporteditor als Arbeitsbereich mit folgenden Funktionen:</w:t>
      </w:r>
    </w:p>
    <w:p>
      <w:pPr>
        <w:pStyle w:val="ListBullet"/>
      </w:pPr>
      <w:r>
        <w:t>Objekte zum Paket hinzufügen,</w:t>
      </w:r>
    </w:p>
    <w:p>
      <w:pPr>
        <w:pStyle w:val="ListBullet"/>
      </w:pPr>
      <w:r>
        <w:t>berechtigte Zielmandanten festlegen,</w:t>
      </w:r>
    </w:p>
    <w:p>
      <w:pPr>
        <w:pStyle w:val="ListBullet"/>
      </w:pPr>
      <w:r>
        <w:t>das Paket exportieren.</w:t>
      </w:r>
    </w:p>
    <w:p>
      <w:r>
        <w:t>Laut Community-Beitrag sind außerdem folgende Elemente vorhanden:</w:t>
      </w:r>
    </w:p>
    <w:p>
      <w:pPr>
        <w:pStyle w:val="ListBullet"/>
      </w:pPr>
      <w:r>
        <w:rPr>
          <w:b/>
        </w:rPr>
        <w:t>Benachrichtigungen (*Notifications*):</w:t>
      </w:r>
      <w:r>
        <w:t xml:space="preserve"> zeigen den Fortschritt eines Exports.</w:t>
      </w:r>
    </w:p>
    <w:p>
      <w:pPr>
        <w:pStyle w:val="ListBullet"/>
      </w:pPr>
      <w:r>
        <w:rPr>
          <w:b/>
        </w:rPr>
        <w:t>Exportzusammenfassung (*Export Summary*):</w:t>
      </w:r>
      <w:r>
        <w:t xml:space="preserve"> zeigt den Status aller Objekte im Paket.</w:t>
      </w:r>
    </w:p>
    <w:p>
      <w:pPr>
        <w:pStyle w:val="ListBullet"/>
      </w:pPr>
      <w:r>
        <w:rPr>
          <w:b/>
        </w:rPr>
        <w:t>Abschnitt Meine Inhalte (*My Content*):</w:t>
      </w:r>
      <w:r>
        <w:t xml:space="preserve"> Hier wird das Paket nach erfolgreichem Export für die berechtigten Mandanten sichtbar.</w:t>
      </w:r>
    </w:p>
    <w:p>
      <w:r>
        <w:t>Die Bezeichnungen aus dem Community-Beitrag sind nicht durch help.sap.com belegt. SAP ändert die Oberfläche regelmäßig. Exakte Schaltflächentexte, Spalten und Registerkarten sollten daher vor Freigabe am System geprüft werden.</w:t>
      </w:r>
    </w:p>
    <w:p>
      <w:pPr>
        <w:pStyle w:val="Heading2"/>
      </w:pPr>
      <w:r>
        <w:t>11.4 Funktionen</w:t>
      </w:r>
    </w:p>
    <w:p>
      <w:pPr>
        <w:pStyle w:val="Heading3"/>
      </w:pPr>
      <w:r>
        <w:t>11.4.1 Pakete anlegen</w:t>
      </w:r>
    </w:p>
    <w:p>
      <w:r>
        <w:t>Ein Paket bündelt zusammengehörige Objekte für den Transport zwischen Mandanten. So beschreibt es die SAP-Seite „Creating Packages to Export“. Der Ablauf hat drei Rollen:</w:t>
      </w:r>
    </w:p>
    <w:p>
      <w:pPr>
        <w:pStyle w:val="ListNumber"/>
      </w:pPr>
      <w:r>
        <w:t>Der Bereichsadministrator legt das Paket an.</w:t>
      </w:r>
    </w:p>
    <w:p>
      <w:pPr>
        <w:pStyle w:val="ListNumber"/>
      </w:pPr>
      <w:r>
        <w:t>Sobald in einem Bereich ein Paket existiert, erscheint in den Editoren das Feld Paket (</w:t>
      </w:r>
      <w:r>
        <w:rPr>
          <w:i/>
        </w:rPr>
        <w:t>Package</w:t>
      </w:r>
      <w:r>
        <w:t>). Darüber ordnen Modellierer ihre Objekte dem Paket zu.</w:t>
      </w:r>
    </w:p>
    <w:p>
      <w:pPr>
        <w:pStyle w:val="ListNumber"/>
      </w:pPr>
      <w:r>
        <w:t>Ist das Paket vollständig und validiert, exportiert der Bereichsadministrator es in das Content Network (</w:t>
      </w:r>
      <w:r>
        <w:rPr>
          <w:i/>
        </w:rPr>
        <w:t>Content Network</w:t>
      </w:r>
      <w:r>
        <w:t>).</w:t>
      </w:r>
    </w:p>
    <w:p>
      <w:r>
        <w:t>Verwaltung von Paketen:</w:t>
      </w:r>
    </w:p>
    <w:p>
      <w:pPr>
        <w:pStyle w:val="ListBullet"/>
      </w:pPr>
      <w:r>
        <w:rPr>
          <w:b/>
        </w:rPr>
        <w:t>Pflichtangaben und Versionierung:</w:t>
      </w:r>
      <w:r>
        <w:t xml:space="preserve"> Welche Felder ein Paket zwingend braucht und wie Pakete versioniert werden, ist nicht verifiziert.</w:t>
      </w:r>
    </w:p>
    <w:p>
      <w:pPr>
        <w:pStyle w:val="ListBullet"/>
      </w:pPr>
      <w:r>
        <w:rPr>
          <w:b/>
        </w:rPr>
        <w:t>Mehrere Bereiche:</w:t>
      </w:r>
      <w:r>
        <w:t xml:space="preserve"> Ob ein Paket Objekte aus mehreren Bereichen enthalten darf, ist ebenfalls nicht verifiziert.</w:t>
      </w:r>
    </w:p>
    <w:p>
      <w:pPr>
        <w:pStyle w:val="Heading3"/>
      </w:pPr>
      <w:r>
        <w:t>11.4.2 Abhängigkeiten und erforderliche Pakete</w:t>
      </w:r>
    </w:p>
    <w:p>
      <w:r>
        <w:t>Die SAP-Seite zur CLI-Paketverwaltung nennt erforderliche Pakete (</w:t>
      </w:r>
      <w:r>
        <w:rPr>
          <w:i/>
        </w:rPr>
        <w:t>required packages</w:t>
      </w:r>
      <w:r>
        <w:t>). Ein Paket kann also auf andere Pakete verweisen, deren Objekte es benötigt. Das gilt zum Beispiel für Ansichten (</w:t>
      </w:r>
      <w:r>
        <w:rPr>
          <w:i/>
        </w:rPr>
        <w:t>Views</w:t>
      </w:r>
      <w:r>
        <w:t>), die auf Tabellen aus einem Basispaket aufbauen.</w:t>
      </w:r>
    </w:p>
    <w:p>
      <w:r>
        <w:t>Für die Praxis heißt das: Ein Paket sollte erst exportiert werden, wenn es validiert ist und alle benötigten Pakete im Zielmandanten vorhanden sind oder gemeinsam importiert werden. Wie die Validierung im Einzelnen funktioniert, etwa Warnungen bei fehlenden abhängigen Objekten, ist nicht verifiziert.</w:t>
      </w:r>
    </w:p>
    <w:p>
      <w:pPr>
        <w:pStyle w:val="Heading3"/>
      </w:pPr>
      <w:r>
        <w:t>11.4.3 Export</w:t>
      </w:r>
    </w:p>
    <w:p>
      <w:r>
        <w:t>Beim Export wird das Paket in den privaten Cloud-Speicher bzw. das Content Network geschrieben. Dabei werden die Mandanten festgelegt, die das Paket importieren dürfen. Fortschritt und Ergebnis lassen sich über die Benachrichtigungen und die Exportzusammenfassung verfolgen (Community-Beitrag, siehe 11.3).</w:t>
      </w:r>
    </w:p>
    <w:p>
      <w:pPr>
        <w:pStyle w:val="Heading3"/>
      </w:pPr>
      <w:r>
        <w:t>11.4.4 Import</w:t>
      </w:r>
    </w:p>
    <w:p>
      <w:r>
        <w:t>Im Zielmandanten wählt der Administrator bzw. Bereichsadministrator ein freigegebenes Paket aus dem Content Network und importiert es. Zwei SAP-Hinweise beschreiben wichtige Grenzen:</w:t>
      </w:r>
    </w:p>
    <w:p>
      <w:pPr>
        <w:pStyle w:val="ListBullet"/>
      </w:pPr>
      <w:r>
        <w:rPr>
          <w:b/>
        </w:rPr>
        <w:t>Überschreiben von Objekten und Daten:</w:t>
      </w:r>
      <w:r>
        <w:t xml:space="preserve"> Beim Import gibt es die Option, Objekte und Daten zu überschreiben (</w:t>
      </w:r>
      <w:r>
        <w:rPr>
          <w:i/>
        </w:rPr>
        <w:t>overwrite objects and data</w:t>
      </w:r>
      <w:r>
        <w:t>, Formulierung laut SAP-Hinweis 3609213). Ist sie gewählt, werden auch die Zeitplaneinstellungen (</w:t>
      </w:r>
      <w:r>
        <w:rPr>
          <w:i/>
        </w:rPr>
        <w:t>Schedules</w:t>
      </w:r>
      <w:r>
        <w:t>) im Zielmandanten überschrieben.</w:t>
      </w:r>
    </w:p>
    <w:p>
      <w:pPr>
        <w:pStyle w:val="ListBullet"/>
      </w:pPr>
      <w:r>
        <w:rPr>
          <w:b/>
        </w:rPr>
        <w:t>Änderung der Deltaerfassung:</w:t>
      </w:r>
      <w:r>
        <w:t xml:space="preserve"> Die Eigenschaft Deltaerfassung (</w:t>
      </w:r>
      <w:r>
        <w:rPr>
          <w:i/>
        </w:rPr>
        <w:t>Delta Capture</w:t>
      </w:r>
      <w:r>
        <w:t>) einer lokalen Tabelle lässt sich nach der Bereitstellung (</w:t>
      </w:r>
      <w:r>
        <w:rPr>
          <w:i/>
        </w:rPr>
        <w:t>Deployment</w:t>
      </w:r>
      <w:r>
        <w:t>) nicht mehr ändern. Ein Import, der eine bestehende Tabelle mit abweichender Einstellung überschreiben soll, schlägt deshalb fehl (SAP-Hinweis 3700359).</w:t>
      </w:r>
    </w:p>
    <w:p>
      <w:r>
        <w:t>Weitere Importoptionen sind nicht verifiziert. Dazu gehören die Bereitstellung nach dem Import und die Zuordnung zu einem anderen Bereich.</w:t>
      </w:r>
    </w:p>
    <w:p>
      <w:pPr>
        <w:pStyle w:val="Heading3"/>
      </w:pPr>
      <w:r>
        <w:t>11.4.5 Content Network und Business Content</w:t>
      </w:r>
    </w:p>
    <w:p>
      <w:r>
        <w:t>Über das Content Network werden auch Inhalte bereitgestellt, die SAP oder Partner veröffentlicht haben. Laut SAP-Dokumentation können Administratoren und Bereichsadministratoren Business Content und Beispielinhalte über die App Semantisches Onboarding (</w:t>
      </w:r>
      <w:r>
        <w:rPr>
          <w:i/>
        </w:rPr>
        <w:t>Semantic Onboarding</w:t>
      </w:r>
      <w:r>
        <w:t>) importieren. Diese Inhalte werden in Kapitel 8 nicht erneut behandelt. Hier geht es um den Transportweg, nicht um den Katalog.</w:t>
      </w:r>
    </w:p>
    <w:p>
      <w:pPr>
        <w:pStyle w:val="Heading3"/>
      </w:pPr>
      <w:r>
        <w:t>11.4.6 Integration mit SAP Cloud Transport Management ⚠ abhängig von Lizenz/Freischaltung</w:t>
      </w:r>
    </w:p>
    <w:p>
      <w:r>
        <w:t>SAP Datasphere lässt sich mit dem SAP Cloud Transport Management Service auf der SAP Business Technology Platform (BTP) verbinden. Darüber werden Inhaltspakete über Systemlandschaften hinweg transportiert. Der Ablauf hat zwei Teile:</w:t>
      </w:r>
    </w:p>
    <w:p>
      <w:pPr>
        <w:pStyle w:val="ListNumber"/>
      </w:pPr>
      <w:r>
        <w:t>Das Cloud-Transport-Management-System konfigurieren: Landschaft, Transportknoten und Transportrouten.</w:t>
      </w:r>
    </w:p>
    <w:p>
      <w:pPr>
        <w:pStyle w:val="ListNumber"/>
      </w:pPr>
      <w:r>
        <w:t>Das konfigurierte System mit dem SAP-Datasphere-Mandanten verbinden.</w:t>
      </w:r>
    </w:p>
    <w:p>
      <w:r>
        <w:t>Für diese Integration ist ein BTP-Subaccount mit dem entsprechenden Service nötig.</w:t>
      </w:r>
    </w:p>
    <w:p>
      <w:r>
        <w:t>Welche Vorteile die Integration gegenüber dem reinen Content-Network-Transport bietet, etwa Genehmigungen und Importwarteschlangen, wird nur in Community-Beiträgen genannt. Diese Angaben sind nicht durch help.sap.com verifiziert.</w:t>
      </w:r>
    </w:p>
    <w:p>
      <w:pPr>
        <w:pStyle w:val="Heading3"/>
      </w:pPr>
      <w:r>
        <w:t>11.4.7 Object Store – Abgrenzung ⚠ abhängig von Lizenz/Freischaltung</w:t>
      </w:r>
    </w:p>
    <w:p>
      <w:r>
        <w:t>Im Kontext von SAP Business Data Cloud ist der Object Store ein dateibasierter Speicher auf Basis von SAP HANA Cloud, Data Lake Files. Er wird über eigene Dateibereiche genutzt (siehe Kapitel 4 und 6).</w:t>
      </w:r>
    </w:p>
    <w:p>
      <w:r>
        <w:t>Folgende Punkte sind nicht verifiziert:</w:t>
      </w:r>
    </w:p>
    <w:p>
      <w:pPr>
        <w:pStyle w:val="ListBullet"/>
      </w:pPr>
      <w:r>
        <w:t>ob und wie Objekte aus Dateibereichen über die Transport-App transportiert werden,</w:t>
      </w:r>
    </w:p>
    <w:p>
      <w:pPr>
        <w:pStyle w:val="ListBullet"/>
      </w:pPr>
      <w:r>
        <w:t>ob der private Cloud-Speicher des Exports technisch mit diesem Object Store zusammenhängt.</w:t>
      </w:r>
    </w:p>
    <w:p>
      <w:pPr>
        <w:pStyle w:val="Heading3"/>
      </w:pPr>
      <w:r>
        <w:t>11.4.8 Repository Explorer</w:t>
      </w:r>
    </w:p>
    <w:p>
      <w:r>
        <w:t>Der Repository Explorer gibt laut SAP-Dokumentation Zugriff auf alle SAP-Datasphere-Objekte. Folgende Funktionen sind dort belegt:</w:t>
      </w:r>
    </w:p>
    <w:p>
      <w:pPr>
        <w:pStyle w:val="ListBullet"/>
      </w:pPr>
      <w:r>
        <w:t>die Objektliste durchsuchen und filtern,</w:t>
      </w:r>
    </w:p>
    <w:p>
      <w:pPr>
        <w:pStyle w:val="ListBullet"/>
      </w:pPr>
      <w:r>
        <w:t>bestehende Objekte öffnen oder Aktionen darauf ausführen,</w:t>
      </w:r>
    </w:p>
    <w:p>
      <w:pPr>
        <w:pStyle w:val="ListBullet"/>
      </w:pPr>
      <w:r>
        <w:t>neue Objekte anlegen.</w:t>
      </w:r>
    </w:p>
    <w:p>
      <w:r>
        <w:t>Im Lifecycle-Kontext dient er dazu, vor dem Paketieren einen Überblick über den Objektbestand zu bekommen. Welche Aktionen im Einzelnen verfügbar sind, zum Beispiel Massenzuordnung zu Paketen, ist nicht verifiziert.</w:t>
      </w:r>
    </w:p>
    <w:p>
      <w:pPr>
        <w:pStyle w:val="Heading3"/>
      </w:pPr>
      <w:r>
        <w:t>11.4.9 Versionen und Wiederherstellung</w:t>
      </w:r>
    </w:p>
    <w:p>
      <w:r>
        <w:t>Jede Bereitstellung eines Objekts erzeugt eine neue Version im Repository. Frühere Versionen lassen sich jederzeit ansehen, und eine frühere Version kann wiederhergestellt werden (SAP-Seite „Reviewing and Restoring Object Versions“). Die Versionshistorie wirkt nur innerhalb eines Mandanten. Sie ersetzt keinen mandantenübergreifenden Transport.</w:t>
      </w:r>
    </w:p>
    <w:p>
      <w:r>
        <w:t>Nicht verifiziert ist, ob eine wiederhergestellte Version erneut bereitgestellt werden muss. Ebenso ist nicht belegt, wie viele Versionen aufbewahrt werden.</w:t>
      </w:r>
    </w:p>
    <w:p>
      <w:pPr>
        <w:pStyle w:val="Heading3"/>
      </w:pPr>
      <w:r>
        <w:t>11.4.10 Command Line Interface und APIs für CI/CD</w:t>
      </w:r>
    </w:p>
    <w:p>
      <w:pPr>
        <w:pStyle w:val="ListBullet"/>
      </w:pPr>
      <w:r>
        <w:rPr>
          <w:b/>
        </w:rPr>
        <w:t>Installation und Umbenennung:</w:t>
      </w:r>
      <w:r>
        <w:t xml:space="preserve"> Die CLI wird als npm-Paket </w:t>
      </w:r>
      <w:r>
        <w:rPr>
          <w:rFonts w:ascii="Consolas" w:hAnsi="Consolas"/>
        </w:rPr>
        <w:t>@sap/datasphere-cli</w:t>
      </w:r>
      <w:r>
        <w:t xml:space="preserve"> installiert. Das Modul hieß früher </w:t>
      </w:r>
      <w:r>
        <w:rPr>
          <w:rFonts w:ascii="Consolas" w:hAnsi="Consolas"/>
        </w:rPr>
        <w:t>dwc</w:t>
      </w:r>
      <w:r>
        <w:t xml:space="preserve">. Der Befehl </w:t>
      </w:r>
      <w:r>
        <w:rPr>
          <w:rFonts w:ascii="Consolas" w:hAnsi="Consolas"/>
        </w:rPr>
        <w:t>dwc</w:t>
      </w:r>
      <w:r>
        <w:t xml:space="preserve"> wurde Ende 2023 abgeschaltet; seitdem gilt </w:t>
      </w:r>
      <w:r>
        <w:rPr>
          <w:rFonts w:ascii="Consolas" w:hAnsi="Consolas"/>
        </w:rPr>
        <w:t>datasphere</w:t>
      </w:r>
      <w:r>
        <w:t>.</w:t>
      </w:r>
    </w:p>
    <w:p>
      <w:pPr>
        <w:pStyle w:val="ListBullet"/>
      </w:pPr>
      <w:r>
        <w:rPr>
          <w:b/>
        </w:rPr>
        <w:t>Initialisierung:</w:t>
      </w:r>
      <w:r>
        <w:t xml:space="preserve"> Bei der Initialisierung lädt die CLI vom Mandanten ein Servicedokument herunter. Es beschreibt, welche Befehle der Mandant versteht. Der verfügbare Befehlsumfang hängt deshalb vom Release des Mandanten ab.</w:t>
      </w:r>
    </w:p>
    <w:p>
      <w:pPr>
        <w:pStyle w:val="ListBullet"/>
      </w:pPr>
      <w:r>
        <w:rPr>
          <w:b/>
        </w:rPr>
        <w:t>Paketverwaltung:</w:t>
      </w:r>
      <w:r>
        <w:t xml:space="preserve"> Laut „Managing Packages via the Command Line“ lassen sich über die CLI erforderliche Pakete und Objekte einem Paket hinzufügen und das Paket in das Content Network exportieren.</w:t>
      </w:r>
    </w:p>
    <w:p>
      <w:r>
        <w:t>Mit diesen Befehlen lassen sich Transporte in CI/CD-Pipelines einbinden. Programmierschnittstellen für Datenzugriff und -verbrauch werden in Kapitel 12 beschrieben.</w:t>
      </w:r>
    </w:p>
    <w:p>
      <w:r>
        <w:t>Folgende Angaben sind nicht verifiziert:</w:t>
      </w:r>
    </w:p>
    <w:p>
      <w:pPr>
        <w:pStyle w:val="ListBullet"/>
      </w:pPr>
      <w:r>
        <w:t>die genaue Befehlssyntax,</w:t>
      </w:r>
    </w:p>
    <w:p>
      <w:pPr>
        <w:pStyle w:val="ListBullet"/>
      </w:pPr>
      <w:r>
        <w:t>ob der Import ebenfalls per CLI möglich ist,</w:t>
      </w:r>
    </w:p>
    <w:p>
      <w:pPr>
        <w:pStyle w:val="ListBullet"/>
      </w:pPr>
      <w:r>
        <w:t>welche REST-APIs es speziell für Transporte gibt.</w:t>
      </w:r>
    </w:p>
    <w:p>
      <w:pPr>
        <w:pStyle w:val="Heading2"/>
      </w:pPr>
      <w:r>
        <w:t>11.5 Typische Abläufe</w:t>
      </w:r>
    </w:p>
    <w:p>
      <w:r>
        <w:rPr>
          <w:b/>
        </w:rPr>
        <w:t>Ablauf A – Transport über das Content Network</w:t>
      </w:r>
    </w:p>
    <w:p>
      <w:pPr>
        <w:pStyle w:val="ListNumber"/>
      </w:pPr>
      <w:r>
        <w:t>Der Bereichsadministrator legt im Quellmandanten ein Paket an.</w:t>
      </w:r>
    </w:p>
    <w:p>
      <w:pPr>
        <w:pStyle w:val="ListNumber"/>
      </w:pPr>
      <w:r>
        <w:t>Modellierer ordnen ihre Objekte über das Feld Paket (</w:t>
      </w:r>
      <w:r>
        <w:rPr>
          <w:i/>
        </w:rPr>
        <w:t>Package</w:t>
      </w:r>
      <w:r>
        <w:t>) in den Editoren zu.</w:t>
      </w:r>
    </w:p>
    <w:p>
      <w:pPr>
        <w:pStyle w:val="ListNumber"/>
      </w:pPr>
      <w:r>
        <w:t>Der Bereichsadministrator prüft, ob alle benötigten Pakete eingetragen sind, und validiert das Paket.</w:t>
      </w:r>
    </w:p>
    <w:p>
      <w:pPr>
        <w:pStyle w:val="ListNumber"/>
      </w:pPr>
      <w:r>
        <w:t>Der Bereichsadministrator legt die Zielmandanten fest und exportiert das Paket.</w:t>
      </w:r>
    </w:p>
    <w:p>
      <w:pPr>
        <w:pStyle w:val="ListNumber"/>
      </w:pPr>
      <w:r>
        <w:t>Fortschritt und Ergebnis werden über die Benachrichtigungen und die Exportzusammenfassung geprüft.</w:t>
      </w:r>
    </w:p>
    <w:p>
      <w:pPr>
        <w:pStyle w:val="ListNumber"/>
      </w:pPr>
      <w:r>
        <w:t>Im Zielmandanten wird das Paket ausgewählt und importiert. Die Option zum Überschreiben von Objekten und Daten wird bewusst gesetzt oder nicht gesetzt (siehe 11.4.4).</w:t>
      </w:r>
    </w:p>
    <w:p>
      <w:pPr>
        <w:pStyle w:val="ListNumber"/>
      </w:pPr>
      <w:r>
        <w:t>Die importierten Objekte werden geprüft. Zeitpläne und Verbindungen werden bei Bedarf angepasst (Verbindungen siehe Kapitel 5).</w:t>
      </w:r>
    </w:p>
    <w:p>
      <w:r>
        <w:rPr>
          <w:b/>
        </w:rPr>
        <w:t>Ablauf B – Transport über SAP Cloud Transport Management ⚠</w:t>
      </w:r>
    </w:p>
    <w:p>
      <w:pPr>
        <w:pStyle w:val="ListNumber"/>
      </w:pPr>
      <w:r>
        <w:t>Im BTP-Subaccount wird SAP Cloud Transport Management mit Landschaft und Transportrouten konfiguriert, zum Beispiel Entwicklung → Test → Produktion.</w:t>
      </w:r>
    </w:p>
    <w:p>
      <w:pPr>
        <w:pStyle w:val="ListNumber"/>
      </w:pPr>
      <w:r>
        <w:t>Das System wird mit den SAP-Datasphere-Mandanten verbunden.</w:t>
      </w:r>
    </w:p>
    <w:p>
      <w:pPr>
        <w:pStyle w:val="ListNumber"/>
      </w:pPr>
      <w:r>
        <w:t>Pakete werden wie in Ablauf A angelegt und exportiert. Die Weiterleitung entlang der Route übernimmt der Service. Die genaue Bedienung in SAP Datasphere ist nicht verifiziert.</w:t>
      </w:r>
    </w:p>
    <w:p>
      <w:r>
        <w:rPr>
          <w:b/>
        </w:rPr>
        <w:t>Ablauf C – Frühere Objektversion wiederherstellen</w:t>
      </w:r>
    </w:p>
    <w:p>
      <w:pPr>
        <w:pStyle w:val="ListNumber"/>
      </w:pPr>
      <w:r>
        <w:t>Das Objekt im Editor öffnen.</w:t>
      </w:r>
    </w:p>
    <w:p>
      <w:pPr>
        <w:pStyle w:val="ListNumber"/>
      </w:pPr>
      <w:r>
        <w:t>Die Versionshistorie aufrufen und die Versionen vergleichen.</w:t>
      </w:r>
    </w:p>
    <w:p>
      <w:pPr>
        <w:pStyle w:val="ListNumber"/>
      </w:pPr>
      <w:r>
        <w:t>Die gewünschte Version wiederherstellen und, falls nötig, erneut bereitstellen (nicht verifiziert, siehe 11.4.9).</w:t>
      </w:r>
    </w:p>
    <w:p>
      <w:r>
        <w:rPr>
          <w:b/>
        </w:rPr>
        <w:t>Ablauf D – Automatisierung per CLI</w:t>
      </w:r>
    </w:p>
    <w:p>
      <w:pPr>
        <w:pStyle w:val="ListNumber"/>
      </w:pPr>
      <w:r>
        <w:rPr>
          <w:rFonts w:ascii="Consolas" w:hAnsi="Consolas"/>
        </w:rPr>
        <w:t>@sap/datasphere-cli</w:t>
      </w:r>
      <w:r>
        <w:t xml:space="preserve"> installieren.</w:t>
      </w:r>
    </w:p>
    <w:p>
      <w:pPr>
        <w:pStyle w:val="ListNumber"/>
      </w:pPr>
      <w:r>
        <w:t>Die CLI gegen den Mandanten initialisieren und das Servicedokument laden.</w:t>
      </w:r>
    </w:p>
    <w:p>
      <w:pPr>
        <w:pStyle w:val="ListNumber"/>
      </w:pPr>
      <w:r>
        <w:t>Per Befehl erforderliche Pakete und Objekte dem Paket hinzufügen.</w:t>
      </w:r>
    </w:p>
    <w:p>
      <w:pPr>
        <w:pStyle w:val="ListNumber"/>
      </w:pPr>
      <w:r>
        <w:t>Das Paket per Befehl in das Content Network exportieren.</w:t>
      </w:r>
    </w:p>
    <w:p>
      <w:pPr>
        <w:pStyle w:val="ListNumber"/>
      </w:pPr>
      <w:r>
        <w:t>Den Ablauf in eine CI/CD-Pipeline einbinden.</w:t>
      </w:r>
    </w:p>
    <w:p>
      <w:pPr>
        <w:pStyle w:val="Heading2"/>
      </w:pPr>
      <w:r>
        <w:t>11.6 Abhängigkeiten, Grenzen und Hinweise</w:t>
      </w:r>
    </w:p>
    <w:p>
      <w:pPr>
        <w:pStyle w:val="ListBullet"/>
      </w:pPr>
      <w:r>
        <w:rPr>
          <w:b/>
        </w:rPr>
        <w:t>Abhängigkeiten zuerst:</w:t>
      </w:r>
      <w:r>
        <w:t xml:space="preserve"> Pakete mit erforderlichen Paketen sollten erst transportiert werden, wenn die Basispakete im Ziel vorhanden sind.</w:t>
      </w:r>
    </w:p>
    <w:p>
      <w:pPr>
        <w:pStyle w:val="ListBullet"/>
      </w:pPr>
      <w:r>
        <w:rPr>
          <w:b/>
        </w:rPr>
        <w:t>Überschreiben:</w:t>
      </w:r>
      <w:r>
        <w:t xml:space="preserve"> Ein Import mit Überschreiben ändert auch die Zeitpläne im Ziel (SAP-Hinweis 3609213).</w:t>
      </w:r>
    </w:p>
    <w:p>
      <w:pPr>
        <w:pStyle w:val="ListBullet"/>
      </w:pPr>
      <w:r>
        <w:rPr>
          <w:b/>
        </w:rPr>
        <w:t>Unveränderliche Eigenschaften:</w:t>
      </w:r>
      <w:r>
        <w:t xml:space="preserve"> Die Deltaerfassung bereitgestellter lokaler Tabellen kann nicht per Import geändert werden (SAP-Hinweis 3700359).</w:t>
      </w:r>
    </w:p>
    <w:p>
      <w:pPr>
        <w:pStyle w:val="ListBullet"/>
      </w:pPr>
      <w:r>
        <w:rPr>
          <w:b/>
        </w:rPr>
        <w:t>Mandantenspezifische Einstellungen:</w:t>
      </w:r>
      <w:r>
        <w:t xml:space="preserve"> Ob Verbindungen, Bereichseinstellungen, Benutzer und Rollen mit transportiert werden, ist nicht verifiziert. Sie sollten im Zielmandanten getrennt gepflegt werden (siehe Kapitel 3, 4 und 5).</w:t>
      </w:r>
    </w:p>
    <w:p>
      <w:pPr>
        <w:pStyle w:val="ListBullet"/>
      </w:pPr>
      <w:r>
        <w:rPr>
          <w:b/>
        </w:rPr>
        <w:t>Daten und Metadaten:</w:t>
      </w:r>
      <w:r>
        <w:t xml:space="preserve"> Wie weit Daten über die Überschreiboption hinaus mit transportiert werden, ist nicht verifiziert.</w:t>
      </w:r>
    </w:p>
    <w:p>
      <w:pPr>
        <w:pStyle w:val="ListBullet"/>
      </w:pPr>
      <w:r>
        <w:rPr>
          <w:b/>
        </w:rPr>
        <w:t>Release-Unterschiede:</w:t>
      </w:r>
      <w:r>
        <w:t xml:space="preserve"> Ob Pakete zwischen Mandanten mit unterschiedlichem Releasestand transportiert werden können, ist nicht verifiziert. Da der CLI-Befehlsumfang aus dem Servicedokument des Mandanten stammt, sind Unterschiede zwischen Mandanten möglich.</w:t>
      </w:r>
    </w:p>
    <w:p>
      <w:pPr>
        <w:pStyle w:val="Heading2"/>
      </w:pPr>
      <w:r>
        <w:t>11.7 Empfehlungen für das mandantenübergreifende Lifecycle-Management</w:t>
      </w:r>
    </w:p>
    <w:p>
      <w:r>
        <w:t>Die folgenden Empfehlungen sind aus den belegten Funktionen abgeleitet. Eine offizielle SAP-Best-Practice-Quelle dafür ist nicht verifiziert.</w:t>
      </w:r>
    </w:p>
    <w:p>
      <w:pPr>
        <w:pStyle w:val="ListNumber"/>
      </w:pPr>
      <w:r>
        <w:t>Mindestens eine Landschaft aus Entwicklung, Test und Produktion einrichten. In der Produktion möglichst nicht modellieren.</w:t>
      </w:r>
    </w:p>
    <w:p>
      <w:pPr>
        <w:pStyle w:val="ListNumber"/>
      </w:pPr>
      <w:r>
        <w:t>Bereichsnamen in allen Mandanten einheitlich halten, damit importierte Objekte ihrem Bereich eindeutig zugeordnet werden (nicht verifiziert, ob das technisch vorausgesetzt wird).</w:t>
      </w:r>
    </w:p>
    <w:p>
      <w:pPr>
        <w:pStyle w:val="ListNumber"/>
      </w:pPr>
      <w:r>
        <w:t>Paketschnitt fachlich und nach Schichten planen, zum Beispiel ein Basispaket für Tabellen und Folgepakete für Ansichten und Modelle. Abhängigkeiten als erforderliche Pakete pflegen.</w:t>
      </w:r>
    </w:p>
    <w:p>
      <w:pPr>
        <w:pStyle w:val="ListNumber"/>
      </w:pPr>
      <w:r>
        <w:t>Die Überschreiboption beim Import nur nach Prüfung der Folgen für Zeitpläne und Daten verwenden.</w:t>
      </w:r>
    </w:p>
    <w:p>
      <w:pPr>
        <w:pStyle w:val="ListNumber"/>
      </w:pPr>
      <w:r>
        <w:t>Für Freigaben und Nachvollziehbarkeit SAP Cloud Transport Management prüfen ⚠.</w:t>
      </w:r>
    </w:p>
    <w:p>
      <w:pPr>
        <w:pStyle w:val="ListNumber"/>
      </w:pPr>
      <w:r>
        <w:t>Wiederkehrende Exporte per CLI automatisieren und mit CI/CD-Pipelines verbinden.</w:t>
      </w:r>
    </w:p>
    <w:p>
      <w:pPr>
        <w:pStyle w:val="ListNumber"/>
      </w:pPr>
      <w:r>
        <w:t>Die Versionshistorie innerhalb eines Mandanten zur Wiederherstellung nutzen, nicht als Ersatz für Transporte.</w:t>
      </w:r>
    </w:p>
    <w:p>
      <w:pPr>
        <w:pStyle w:val="Heading2"/>
      </w:pPr>
      <w:r>
        <w:t>11.8 Übersicht: Funktion – Zweck – benötigtes 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Benötigtes Privileg / Rolle</w:t>
            </w:r>
          </w:p>
        </w:tc>
      </w:tr>
      <w:tr>
        <w:tc>
          <w:tcPr>
            <w:tcW w:type="dxa" w:w="2880"/>
          </w:tcPr>
          <w:p>
            <w:r>
              <w:t>Paket anlegen</w:t>
            </w:r>
          </w:p>
        </w:tc>
        <w:tc>
          <w:tcPr>
            <w:tcW w:type="dxa" w:w="2880"/>
          </w:tcPr>
          <w:p>
            <w:r>
              <w:t>Zusammengehörige Objekte für den Transport bündeln</w:t>
            </w:r>
          </w:p>
        </w:tc>
        <w:tc>
          <w:tcPr>
            <w:tcW w:type="dxa" w:w="2880"/>
          </w:tcPr>
          <w:p>
            <w:r>
              <w:t>Bereichsadministrator-Privilegien</w:t>
            </w:r>
          </w:p>
        </w:tc>
      </w:tr>
      <w:tr>
        <w:tc>
          <w:tcPr>
            <w:tcW w:type="dxa" w:w="2880"/>
          </w:tcPr>
          <w:p>
            <w:r>
              <w:t>Objekt einem Paket zuordnen</w:t>
            </w:r>
          </w:p>
        </w:tc>
        <w:tc>
          <w:tcPr>
            <w:tcW w:type="dxa" w:w="2880"/>
          </w:tcPr>
          <w:p>
            <w:r>
              <w:t>Objekt über das Feld Paket (</w:t>
            </w:r>
            <w:r>
              <w:rPr>
                <w:i/>
              </w:rPr>
              <w:t>Package</w:t>
            </w:r>
            <w:r>
              <w:t>) in den Editor-Eigenschaften zuordnen</w:t>
            </w:r>
          </w:p>
        </w:tc>
        <w:tc>
          <w:tcPr>
            <w:tcW w:type="dxa" w:w="2880"/>
          </w:tcPr>
          <w:p>
            <w:r>
              <w:t>Modellierungsrechte im Bereich (genaues Privileg nicht verifiziert)</w:t>
            </w:r>
          </w:p>
        </w:tc>
      </w:tr>
      <w:tr>
        <w:tc>
          <w:tcPr>
            <w:tcW w:type="dxa" w:w="2880"/>
          </w:tcPr>
          <w:p>
            <w:r>
              <w:t>Export</w:t>
            </w:r>
          </w:p>
        </w:tc>
        <w:tc>
          <w:tcPr>
            <w:tcW w:type="dxa" w:w="2880"/>
          </w:tcPr>
          <w:p>
            <w:r>
              <w:t>Paket in Cloud-Speicher bzw. Content Network schreiben, Zielmandanten festlegen</w:t>
            </w:r>
          </w:p>
        </w:tc>
        <w:tc>
          <w:tcPr>
            <w:tcW w:type="dxa" w:w="2880"/>
          </w:tcPr>
          <w:p>
            <w:r>
              <w:t>Bereichsadministrator; laut Community auch Administrator</w:t>
            </w:r>
          </w:p>
        </w:tc>
      </w:tr>
      <w:tr>
        <w:tc>
          <w:tcPr>
            <w:tcW w:type="dxa" w:w="2880"/>
          </w:tcPr>
          <w:p>
            <w:r>
              <w:t>Import</w:t>
            </w:r>
          </w:p>
        </w:tc>
        <w:tc>
          <w:tcPr>
            <w:tcW w:type="dxa" w:w="2880"/>
          </w:tcPr>
          <w:p>
            <w:r>
              <w:t>Freigegebenes Paket im Zielmandanten einspielen</w:t>
            </w:r>
          </w:p>
        </w:tc>
        <w:tc>
          <w:tcPr>
            <w:tcW w:type="dxa" w:w="2880"/>
          </w:tcPr>
          <w:p>
            <w:r>
              <w:t>Administrator oder Bereichsadministrator (Community-Angabe, nicht offiziell verifiziert)</w:t>
            </w:r>
          </w:p>
        </w:tc>
      </w:tr>
      <w:tr>
        <w:tc>
          <w:tcPr>
            <w:tcW w:type="dxa" w:w="2880"/>
          </w:tcPr>
          <w:p>
            <w:r>
              <w:t>Business Content importieren</w:t>
            </w:r>
          </w:p>
        </w:tc>
        <w:tc>
          <w:tcPr>
            <w:tcW w:type="dxa" w:w="2880"/>
          </w:tcPr>
          <w:p>
            <w:r>
              <w:t>SAP-/Partnerinhalte über das Semantische Onboarding (</w:t>
            </w:r>
            <w:r>
              <w:rPr>
                <w:i/>
              </w:rPr>
              <w:t>Semantic Onboarding</w:t>
            </w:r>
            <w:r>
              <w:t>) übernehmen</w:t>
            </w:r>
          </w:p>
        </w:tc>
        <w:tc>
          <w:tcPr>
            <w:tcW w:type="dxa" w:w="2880"/>
          </w:tcPr>
          <w:p>
            <w:r>
              <w:t>Administrator oder Bereichsadministrator</w:t>
            </w:r>
          </w:p>
        </w:tc>
      </w:tr>
      <w:tr>
        <w:tc>
          <w:tcPr>
            <w:tcW w:type="dxa" w:w="2880"/>
          </w:tcPr>
          <w:p>
            <w:r>
              <w:t>SAP Cloud Transport Management ⚠</w:t>
            </w:r>
          </w:p>
        </w:tc>
        <w:tc>
          <w:tcPr>
            <w:tcW w:type="dxa" w:w="2880"/>
          </w:tcPr>
          <w:p>
            <w:r>
              <w:t>Transporte entlang definierter Landschaftsrouten</w:t>
            </w:r>
          </w:p>
        </w:tc>
        <w:tc>
          <w:tcPr>
            <w:tcW w:type="dxa" w:w="2880"/>
          </w:tcPr>
          <w:p>
            <w:r>
              <w:t>Mandantenadministrator und BTP-Rechte (nicht verifiziert)</w:t>
            </w:r>
          </w:p>
        </w:tc>
      </w:tr>
      <w:tr>
        <w:tc>
          <w:tcPr>
            <w:tcW w:type="dxa" w:w="2880"/>
          </w:tcPr>
          <w:p>
            <w:r>
              <w:t>Repository Explorer</w:t>
            </w:r>
          </w:p>
        </w:tc>
        <w:tc>
          <w:tcPr>
            <w:tcW w:type="dxa" w:w="2880"/>
          </w:tcPr>
          <w:p>
            <w:r>
              <w:t>Alle Objekte suchen, filtern, öffnen, anlegen</w:t>
            </w:r>
          </w:p>
        </w:tc>
        <w:tc>
          <w:tcPr>
            <w:tcW w:type="dxa" w:w="2880"/>
          </w:tcPr>
          <w:p>
            <w:r>
              <w:t>Lesezugriff auf den Bereich (nicht verifiziert)</w:t>
            </w:r>
          </w:p>
        </w:tc>
      </w:tr>
      <w:tr>
        <w:tc>
          <w:tcPr>
            <w:tcW w:type="dxa" w:w="2880"/>
          </w:tcPr>
          <w:p>
            <w:r>
              <w:t>Versionen ansehen und wiederherstellen</w:t>
            </w:r>
          </w:p>
        </w:tc>
        <w:tc>
          <w:tcPr>
            <w:tcW w:type="dxa" w:w="2880"/>
          </w:tcPr>
          <w:p>
            <w:r>
              <w:t>Frühere bereitgestellte Version wiederherstellen</w:t>
            </w:r>
          </w:p>
        </w:tc>
        <w:tc>
          <w:tcPr>
            <w:tcW w:type="dxa" w:w="2880"/>
          </w:tcPr>
          <w:p>
            <w:r>
              <w:t>Modellierungsrechte (nicht verifiziert)</w:t>
            </w:r>
          </w:p>
        </w:tc>
      </w:tr>
      <w:tr>
        <w:tc>
          <w:tcPr>
            <w:tcW w:type="dxa" w:w="2880"/>
          </w:tcPr>
          <w:p>
            <w:r>
              <w:t>CLI-Paketverwaltung</w:t>
            </w:r>
          </w:p>
        </w:tc>
        <w:tc>
          <w:tcPr>
            <w:tcW w:type="dxa" w:w="2880"/>
          </w:tcPr>
          <w:p>
            <w:r>
              <w:t>Pakete per Skript befüllen und exportieren</w:t>
            </w:r>
          </w:p>
        </w:tc>
        <w:tc>
          <w:tcPr>
            <w:tcW w:type="dxa" w:w="2880"/>
          </w:tcPr>
          <w:p>
            <w:r>
              <w:t>Gleiche Rechte wie in der Oberfläche (nicht verifiziert)</w:t>
            </w:r>
          </w:p>
        </w:tc>
      </w:tr>
    </w:tbl>
    <w:p>
      <w:pPr>
        <w:pStyle w:val="Heading1"/>
      </w:pPr>
      <w:r>
        <w:t>12. Datenverbrauch und Schnittstellen</w:t>
      </w:r>
    </w:p>
    <w:p>
      <w:pPr>
        <w:pStyle w:val="Heading2"/>
      </w:pPr>
      <w:r>
        <w:t>12.1 Zweck und Einordnung</w:t>
      </w:r>
    </w:p>
    <w:p>
      <w:r>
        <w:t>SAP Datasphere modelliert Daten nicht nur, sondern stellt sie auch für nachgelagerte Werkzeuge bereit. Diese Bereitstellung heißt in der Dokumentation „Datenverbrauch“ (</w:t>
      </w:r>
      <w:r>
        <w:rPr>
          <w:i/>
        </w:rPr>
        <w:t>Consuming Data Exposed by SAP Datasphere</w:t>
      </w:r>
      <w:r>
        <w:t>). Dafür gibt es vier Wege:</w:t>
      </w:r>
    </w:p>
    <w:p>
      <w:pPr>
        <w:pStyle w:val="ListNumber"/>
      </w:pPr>
      <w:r>
        <w:rPr>
          <w:b/>
        </w:rPr>
        <w:t>Live-Zugriff aus SAP-Analysewerkzeugen</w:t>
      </w:r>
      <w:r>
        <w:t>: SAP Analytics Cloud und das Microsoft-Excel-Add-in von SAP Analytics Cloud.</w:t>
      </w:r>
    </w:p>
    <w:p>
      <w:pPr>
        <w:pStyle w:val="ListNumber"/>
      </w:pPr>
      <w:r>
        <w:rPr>
          <w:b/>
        </w:rPr>
        <w:t>SQL-Zugriff</w:t>
      </w:r>
      <w:r>
        <w:t xml:space="preserve"> über einen Datenbankbenutzer (</w:t>
      </w:r>
      <w:r>
        <w:rPr>
          <w:i/>
        </w:rPr>
        <w:t>Database User</w:t>
      </w:r>
      <w:r>
        <w:t>) bzw. ein Open-SQL-Schema (</w:t>
      </w:r>
      <w:r>
        <w:rPr>
          <w:i/>
        </w:rPr>
        <w:t>Open SQL Schema</w:t>
      </w:r>
      <w:r>
        <w:t>) per ODBC/JDBC, z. B. für Microsoft Power BI.</w:t>
      </w:r>
    </w:p>
    <w:p>
      <w:pPr>
        <w:pStyle w:val="ListNumber"/>
      </w:pPr>
      <w:r>
        <w:rPr>
          <w:b/>
        </w:rPr>
        <w:t>REST-Zugriff</w:t>
      </w:r>
      <w:r>
        <w:t xml:space="preserve"> über die OData-API (</w:t>
      </w:r>
      <w:r>
        <w:rPr>
          <w:i/>
        </w:rPr>
        <w:t>OData API</w:t>
      </w:r>
      <w:r>
        <w:t>) mit OAuth-Authentifizierung.</w:t>
      </w:r>
    </w:p>
    <w:p>
      <w:pPr>
        <w:pStyle w:val="ListNumber"/>
      </w:pPr>
      <w:r>
        <w:rPr>
          <w:b/>
        </w:rPr>
        <w:t>Physische Weitergabe</w:t>
      </w:r>
      <w:r>
        <w:t xml:space="preserve"> über Replikationsflüsse (</w:t>
      </w:r>
      <w:r>
        <w:rPr>
          <w:i/>
        </w:rPr>
        <w:t>Replication Flows</w:t>
      </w:r>
      <w:r>
        <w:t>) an Ziele außerhalb von SAP (Premium Outbound Integration) und über den Austausch von Datenprodukten mit SAP Databricks innerhalb von SAP Business Data Cloud.</w:t>
      </w:r>
    </w:p>
    <w:p>
      <w:r>
        <w:t>Wie Views, analytische Modelle und Replikationsflüsse modelliert werden, steht in Kapitel 6. Datenprodukte und Katalog behandelt Kapitel 8, Datenzugriffskontrollen Kapitel 9. Dieses Kapitel beschreibt nur die Schnittstellen nach außen.</w:t>
      </w:r>
    </w:p>
    <w:p>
      <w:pPr>
        <w:pStyle w:val="Heading2"/>
      </w:pPr>
      <w:r>
        <w:t>12.2 Aufruf und Navigation</w:t>
      </w:r>
    </w:p>
    <w:p>
      <w:r>
        <w:t>Für die Datenbereitstellung gibt es in der Seitenleiste keinen eigenen Bereich. Die Einstellungen liegen an mehreren Stellen:</w:t>
      </w:r>
    </w:p>
    <w:p>
      <w:pPr>
        <w:pStyle w:val="ListBullet"/>
      </w:pPr>
      <w:r>
        <w:rPr>
          <w:b/>
        </w:rPr>
        <w:t>Freigabe einzelner Objekte</w:t>
      </w:r>
      <w:r>
        <w:t>: im jeweiligen Editor des Datenbausteins (</w:t>
      </w:r>
      <w:r>
        <w:rPr>
          <w:i/>
        </w:rPr>
        <w:t>Data Builder</w:t>
      </w:r>
      <w:r>
        <w:t xml:space="preserve">, Kapitel 6), über die Eigenschaft </w:t>
      </w:r>
      <w:r>
        <w:rPr>
          <w:i/>
        </w:rPr>
        <w:t>Expose for Consumption</w:t>
      </w:r>
      <w:r>
        <w:t>. Den genauen Schaltertext und die Position im Eigenschaftsbereich konnte ich an einer help.sap.com-Seite nicht verifizieren.</w:t>
      </w:r>
    </w:p>
    <w:p>
      <w:pPr>
        <w:pStyle w:val="ListBullet"/>
      </w:pPr>
      <w:r>
        <w:rPr>
          <w:b/>
        </w:rPr>
        <w:t>Datenbankbenutzer und Open-SQL-Schemas</w:t>
      </w:r>
      <w:r>
        <w:t>: in der Bereichsverwaltung (</w:t>
      </w:r>
      <w:r>
        <w:rPr>
          <w:i/>
        </w:rPr>
        <w:t>Space Management</w:t>
      </w:r>
      <w:r>
        <w:t>, Kapitel 4). Diese Benutzer legen Bereichsadministratoren an.</w:t>
      </w:r>
    </w:p>
    <w:p>
      <w:pPr>
        <w:pStyle w:val="ListBullet"/>
      </w:pPr>
      <w:r>
        <w:rPr>
          <w:b/>
        </w:rPr>
        <w:t>OAuth-Clients für die OData-API</w:t>
      </w:r>
      <w:r>
        <w:t>: in der Systemkonfiguration (Kapitel 3). Die genaue Registerkarte ist nicht verifiziert.</w:t>
      </w:r>
    </w:p>
    <w:p>
      <w:pPr>
        <w:pStyle w:val="ListBullet"/>
      </w:pPr>
      <w:r>
        <w:rPr>
          <w:b/>
        </w:rPr>
        <w:t>Kapazität für Premium Outbound Integration</w:t>
      </w:r>
      <w:r>
        <w:t>: in der Mandantenkonfiguration (</w:t>
      </w:r>
      <w:r>
        <w:rPr>
          <w:i/>
        </w:rPr>
        <w:t>Tenant Configuration</w:t>
      </w:r>
      <w:r>
        <w:t>, Kapitel 3). ⚠ abhängig von Lizenz/Freischaltung</w:t>
      </w:r>
    </w:p>
    <w:p>
      <w:pPr>
        <w:pStyle w:val="ListBullet"/>
      </w:pPr>
      <w:r>
        <w:rPr>
          <w:b/>
        </w:rPr>
        <w:t>Verbindungen in SAP Analytics Cloud</w:t>
      </w:r>
      <w:r>
        <w:t>: Diese Verbindungen werden nicht in Datasphere, sondern in SAP Analytics Cloud angelegt.</w:t>
      </w:r>
    </w:p>
    <w:p>
      <w:pPr>
        <w:pStyle w:val="Heading2"/>
      </w:pPr>
      <w:r>
        <w:t>12.3 Freigabe für den Verbrauch (Expose for Consumption)</w:t>
      </w:r>
    </w:p>
    <w:p>
      <w:r>
        <w:t>Externe Werkzeuge sehen nur Objekte, die für den Verbrauch freigegeben sind. Laut SAP-Dokumentation können Werkzeuge über ein Open-SQL-Schema „Perspektiven und Views, die für den Verbrauch freigegeben sind“ lesen. Für die OData-API heißt es, sie liefere „als Views oder analytische Modelle freigegebene Daten“.</w:t>
      </w:r>
    </w:p>
    <w:p>
      <w:r>
        <w:t>Wichtige Hinweise:</w:t>
      </w:r>
    </w:p>
    <w:p>
      <w:pPr>
        <w:pStyle w:val="ListBullet"/>
      </w:pPr>
      <w:r>
        <w:t>Die Freigabe gilt für das einzelne Objekt und muss im Editor gesetzt und anschließend bereitgestellt (</w:t>
      </w:r>
      <w:r>
        <w:rPr>
          <w:i/>
        </w:rPr>
        <w:t>deploy</w:t>
      </w:r>
      <w:r>
        <w:t>) werden.</w:t>
      </w:r>
    </w:p>
    <w:p>
      <w:pPr>
        <w:pStyle w:val="ListBullet"/>
      </w:pPr>
      <w:r>
        <w:t>Ob analytische Modelle (</w:t>
      </w:r>
      <w:r>
        <w:rPr>
          <w:i/>
        </w:rPr>
        <w:t>Analytic Model</w:t>
      </w:r>
      <w:r>
        <w:t>) automatisch freigegeben sind, habe ich nicht verifiziert.</w:t>
      </w:r>
    </w:p>
    <w:p>
      <w:pPr>
        <w:pStyle w:val="ListBullet"/>
      </w:pPr>
      <w:r>
        <w:t>Datenzugriffskontrollen (</w:t>
      </w:r>
      <w:r>
        <w:rPr>
          <w:i/>
        </w:rPr>
        <w:t>Data Access Controls</w:t>
      </w:r>
      <w:r>
        <w:t>) wirken auch beim Verbrauch (Kapitel 9). Die Einzelheiten je Schnittstelle sind nicht verifiziert.</w:t>
      </w:r>
    </w:p>
    <w:p>
      <w:pPr>
        <w:pStyle w:val="Heading2"/>
      </w:pPr>
      <w:r>
        <w:t>12.4 Konsumierung in SAP Analytics Cloud</w:t>
      </w:r>
    </w:p>
    <w:p>
      <w:pPr>
        <w:pStyle w:val="Heading3"/>
      </w:pPr>
      <w:r>
        <w:t>12.4.1 Live-Verbindung</w:t>
      </w:r>
    </w:p>
    <w:p>
      <w:r>
        <w:t>In SAP Analytics Cloud lassen sich Live-Datenverbindungen (</w:t>
      </w:r>
      <w:r>
        <w:rPr>
          <w:i/>
        </w:rPr>
        <w:t>Live Data Connections</w:t>
      </w:r>
      <w:r>
        <w:t>) zu SAP-Datasphere-Systemen anlegen. Darüber sind diese Objekte zugänglich:</w:t>
      </w:r>
    </w:p>
    <w:p>
      <w:pPr>
        <w:pStyle w:val="ListBullet"/>
      </w:pPr>
      <w:r>
        <w:t>analytische Datensätze (</w:t>
      </w:r>
      <w:r>
        <w:rPr>
          <w:i/>
        </w:rPr>
        <w:t>Analytical Dataset</w:t>
      </w:r>
      <w:r>
        <w:t>),</w:t>
      </w:r>
    </w:p>
    <w:p>
      <w:pPr>
        <w:pStyle w:val="ListBullet"/>
      </w:pPr>
      <w:r>
        <w:t>analytische Modelle (</w:t>
      </w:r>
      <w:r>
        <w:rPr>
          <w:i/>
        </w:rPr>
        <w:t>Analytic Model</w:t>
      </w:r>
      <w:r>
        <w:t>),</w:t>
      </w:r>
    </w:p>
    <w:p>
      <w:pPr>
        <w:pStyle w:val="ListBullet"/>
      </w:pPr>
      <w:r>
        <w:t>Perspektiven (</w:t>
      </w:r>
      <w:r>
        <w:rPr>
          <w:i/>
        </w:rPr>
        <w:t>Perspective</w:t>
      </w:r>
      <w:r>
        <w:t>).</w:t>
      </w:r>
    </w:p>
    <w:p>
      <w:r>
        <w:t>Die Daten verbleiben in Datasphere und werden bei jeder Abfrage live gelesen.</w:t>
      </w:r>
    </w:p>
    <w:p>
      <w:r>
        <w:rPr>
          <w:b/>
        </w:rPr>
        <w:t>Typischer Ablauf</w:t>
      </w:r>
      <w:r>
        <w:t xml:space="preserve"> (Menüpfade in SAP Analytics Cloud nicht verifiziert):</w:t>
      </w:r>
    </w:p>
    <w:p>
      <w:pPr>
        <w:pStyle w:val="ListNumber"/>
      </w:pPr>
      <w:r>
        <w:t>Analytisches Modell im Datenbaustein erstellen und bereitstellen (Kapitel 6).</w:t>
      </w:r>
    </w:p>
    <w:p>
      <w:pPr>
        <w:pStyle w:val="ListNumber"/>
      </w:pPr>
      <w:r>
        <w:t>In SAP Analytics Cloud eine Live-Datenverbindung vom Typ SAP Datasphere anlegen.</w:t>
      </w:r>
    </w:p>
    <w:p>
      <w:pPr>
        <w:pStyle w:val="ListNumber"/>
      </w:pPr>
      <w:r>
        <w:t>Beim Anlegen einer Story bzw. eines Modells diese Verbindung wählen und das analytische Modell oder die Perspektive auswählen.</w:t>
      </w:r>
    </w:p>
    <w:p>
      <w:pPr>
        <w:pStyle w:val="Heading3"/>
      </w:pPr>
      <w:r>
        <w:t>12.4.2 Importverbindung über die OData-API</w:t>
      </w:r>
    </w:p>
    <w:p>
      <w:r>
        <w:t>Alternativ kann man in SAP Analytics Cloud eine Importverbindung (</w:t>
      </w:r>
      <w:r>
        <w:rPr>
          <w:i/>
        </w:rPr>
        <w:t>import data connection</w:t>
      </w:r>
      <w:r>
        <w:t>) anlegen. Sie liest Daten über die OData-API und speichert sie in einem SAP-Analytics-Cloud-Modell. Im Unterschied zur Live-Verbindung werden die Daten kopiert und müssen über geplante Ladeläufe aktualisiert werden.</w:t>
      </w:r>
    </w:p>
    <w:p>
      <w:pPr>
        <w:pStyle w:val="Heading3"/>
      </w:pPr>
      <w:r>
        <w:t>12.4.3 Empfehlung zur Semantik</w:t>
      </w:r>
    </w:p>
    <w:p>
      <w:r>
        <w:t xml:space="preserve">Die Dokumentation zum Excel-Add-in empfiehlt, analytische Datensätze auf die neue semantische Verwendung </w:t>
      </w:r>
      <w:r>
        <w:rPr>
          <w:i/>
        </w:rPr>
        <w:t>Fact</w:t>
      </w:r>
      <w:r>
        <w:t xml:space="preserve"> umzustellen und View-Daten über analytische Modelle bereitzustellen. Das deutet darauf hin, dass das analytische Modell der bevorzugte Weg für den Verbrauch ist.</w:t>
      </w:r>
    </w:p>
    <w:p>
      <w:pPr>
        <w:pStyle w:val="Heading2"/>
      </w:pPr>
      <w:r>
        <w:t>12.5 Microsoft-Excel-Add-in ⚠ abhängig von Lizenz/Freischaltung</w:t>
      </w:r>
    </w:p>
    <w:p>
      <w:r>
        <w:t>Daten aus Datasphere lassen sich über das Add-in „SAP Analytics Cloud, add-in for Microsoft Excel“ in Excel nutzen. Voraussetzung ist eine Live-Verbindung von SAP Analytics Cloud zu SAP Datasphere. Verfügbar sind analytische Modelle und Perspektiven.</w:t>
      </w:r>
    </w:p>
    <w:p>
      <w:pPr>
        <w:pStyle w:val="ListBullet"/>
      </w:pPr>
      <w:r>
        <w:rPr>
          <w:b/>
        </w:rPr>
        <w:t>Ergebnisgrenze</w:t>
      </w:r>
      <w:r>
        <w:t>: Das Add-in nutzt den Standardwert der SAP HANA Multi-Dimensional Services (MDS) von 1 000 000 Ergebnissätzen.</w:t>
      </w:r>
    </w:p>
    <w:p>
      <w:pPr>
        <w:pStyle w:val="ListBullet"/>
      </w:pPr>
      <w:r>
        <w:rPr>
          <w:b/>
        </w:rPr>
        <w:t>SAP Analysis for Microsoft Office</w:t>
      </w:r>
      <w:r>
        <w:t xml:space="preserve">: Laut SAP-KBA 3297935 unterstützt dieses Werkzeug als Datasphere-Quelle nur Views mit der semantischen Verwendung </w:t>
      </w:r>
      <w:r>
        <w:rPr>
          <w:i/>
        </w:rPr>
        <w:t>Analytical Dataset</w:t>
      </w:r>
      <w:r>
        <w:t>, aber keine analytischen Modelle. Das ist nicht an help.sap.com verifiziert.</w:t>
      </w:r>
    </w:p>
    <w:p>
      <w:pPr>
        <w:pStyle w:val="ListBullet"/>
      </w:pPr>
      <w:r>
        <w:rPr>
          <w:b/>
        </w:rPr>
        <w:t>Lizenz</w:t>
      </w:r>
      <w:r>
        <w:t>: Die Nutzung setzt einen SAP-Analytics-Cloud-Mandanten voraus. Die genauen Lizenzbedingungen sind nicht verifiziert.</w:t>
      </w:r>
    </w:p>
    <w:p>
      <w:pPr>
        <w:pStyle w:val="Heading2"/>
      </w:pPr>
      <w:r>
        <w:t>12.6 Fremd-BI über Datenbankbenutzer und Open-SQL-Schema (ODBC/JDBC)</w:t>
      </w:r>
    </w:p>
    <w:p>
      <w:pPr>
        <w:pStyle w:val="Heading3"/>
      </w:pPr>
      <w:r>
        <w:t>12.6.1 Funktion</w:t>
      </w:r>
    </w:p>
    <w:p>
      <w:r>
        <w:t>Bereichsadministratoren können Datenbankbenutzer anlegen. Diese Benutzer können:</w:t>
      </w:r>
    </w:p>
    <w:p>
      <w:pPr>
        <w:pStyle w:val="ListBullet"/>
      </w:pPr>
      <w:r>
        <w:t>die vom Bereich freigegebenen Daten lesen,</w:t>
      </w:r>
    </w:p>
    <w:p>
      <w:pPr>
        <w:pStyle w:val="ListBullet"/>
      </w:pPr>
      <w:r>
        <w:t>Daten in Open-SQL-Schemas schreiben, die dem Bereich zugeordnet sind.</w:t>
      </w:r>
    </w:p>
    <w:p>
      <w:r>
        <w:t>Der Zugriff läuft per ODBC auf die SAP-HANA-Cloud-Laufzeitdatenbank. Clients, Werkzeuge und Anwendungen, ausdrücklich auch Microsoft Power BI, lesen darüber freigegebene Perspektiven und Views per ODBC/JDBC.</w:t>
      </w:r>
    </w:p>
    <w:p>
      <w:pPr>
        <w:pStyle w:val="Heading3"/>
      </w:pPr>
      <w:r>
        <w:t>12.6.2 Wichtigste Optionen</w:t>
      </w:r>
    </w:p>
    <w:p>
      <w:r>
        <w:t xml:space="preserve">Die Berechtigungen des Datenbankbenutzers stellt man im Dialog </w:t>
      </w:r>
      <w:r>
        <w:rPr>
          <w:i/>
        </w:rPr>
        <w:t>Edit Privileges</w:t>
      </w:r>
      <w:r>
        <w:t xml:space="preserve"> ein (Dialogtext laut SAP-KBA 3428316, nicht an help.sap.com verifiziert):</w:t>
      </w:r>
    </w:p>
    <w:p>
      <w:pPr>
        <w:pStyle w:val="ListBullet"/>
      </w:pPr>
      <w:r>
        <w:t>Lesezugriff auf die freigegebenen Objekte des Bereichs,</w:t>
      </w:r>
    </w:p>
    <w:p>
      <w:pPr>
        <w:pStyle w:val="ListBullet"/>
      </w:pPr>
      <w:r>
        <w:t xml:space="preserve">Schreibzugriff über die Option </w:t>
      </w:r>
      <w:r>
        <w:rPr>
          <w:i/>
        </w:rPr>
        <w:t>Enable Write Access (SQL, DDL, DML)</w:t>
      </w:r>
      <w:r>
        <w:t>: Externe Werkzeuge können dann im eigenen Open-SQL-Schema Objekte anlegen und Daten schreiben.</w:t>
      </w:r>
    </w:p>
    <w:p>
      <w:r>
        <w:t>Wie man Datenbankbenutzer in der Bereichsverwaltung anlegt, beschreibt Kapitel 4.</w:t>
      </w:r>
    </w:p>
    <w:p>
      <w:pPr>
        <w:pStyle w:val="Heading3"/>
      </w:pPr>
      <w:r>
        <w:t>12.6.3 Typischer Ablauf</w:t>
      </w:r>
    </w:p>
    <w:p>
      <w:pPr>
        <w:pStyle w:val="ListNumber"/>
      </w:pPr>
      <w:r>
        <w:t>Benötigte Views bzw. Perspektiven für den Verbrauch freigeben (Abschnitt 12.3).</w:t>
      </w:r>
    </w:p>
    <w:p>
      <w:pPr>
        <w:pStyle w:val="ListNumber"/>
      </w:pPr>
      <w:r>
        <w:t>Als Bereichsadministrator in der Bereichsverwaltung einen Datenbankbenutzer mit Lesezugriff anlegen (Kapitel 4).</w:t>
      </w:r>
    </w:p>
    <w:p>
      <w:pPr>
        <w:pStyle w:val="ListNumber"/>
      </w:pPr>
      <w:r>
        <w:t>Hostname, Port, Benutzername und Kennwort aus den Benutzerdetails übernehmen.</w:t>
      </w:r>
    </w:p>
    <w:p>
      <w:pPr>
        <w:pStyle w:val="ListNumber"/>
      </w:pPr>
      <w:r>
        <w:t>Die IP-Adresse des Clients in die Positivliste aufnehmen. Diese Voraussetzung ist nicht verifiziert (Kapitel 3).</w:t>
      </w:r>
    </w:p>
    <w:p>
      <w:pPr>
        <w:pStyle w:val="ListNumber"/>
      </w:pPr>
      <w:r>
        <w:t>Im BI-Werkzeug eine ODBC- oder JDBC-Verbindung zu SAP HANA anlegen und die freigegebenen Objekte auswählen.</w:t>
      </w:r>
    </w:p>
    <w:p>
      <w:pPr>
        <w:pStyle w:val="Heading2"/>
      </w:pPr>
      <w:r>
        <w:t>12.7 OData Consumption API</w:t>
      </w:r>
    </w:p>
    <w:p>
      <w:pPr>
        <w:pStyle w:val="Heading3"/>
      </w:pPr>
      <w:r>
        <w:t>12.7.1 Funktion</w:t>
      </w:r>
    </w:p>
    <w:p>
      <w:r>
        <w:t>Über die OData-API lesen SAP Analytics Cloud und andere OData-fähige Clients, Werkzeuge und Anwendungen die freigegebenen Views und analytischen Modelle. Die Authentifizierung läuft über einen OAuth-Client.</w:t>
      </w:r>
    </w:p>
    <w:p>
      <w:pPr>
        <w:pStyle w:val="Heading3"/>
      </w:pPr>
      <w:r>
        <w:t>12.7.2 Relationale und analytische Variante</w:t>
      </w:r>
    </w:p>
    <w:p>
      <w:r>
        <w:t>Die API hat eine relationale Variante (zeilenbasierter Zugriff auf Views) und eine analytische Variante (aggregierter Zugriff auf analytische Modelle). Beide Varianten sind in der SAP Community beschrieben. URL-Struktur, unterstützte OData-Optionen und Seitengrößen konnte ich an help.sap.com nicht verifizieren.</w:t>
      </w:r>
    </w:p>
    <w:p>
      <w:pPr>
        <w:pStyle w:val="Heading3"/>
      </w:pPr>
      <w:r>
        <w:t>12.7.3 Authentifizierung</w:t>
      </w:r>
    </w:p>
    <w:p>
      <w:r>
        <w:t xml:space="preserve">Laut SAP-KBA 3563695 braucht man in Datasphere einen OAuth-2.0-Client mit dem Verwendungszweck </w:t>
      </w:r>
      <w:r>
        <w:rPr>
          <w:i/>
        </w:rPr>
        <w:t>Interactive Usage</w:t>
      </w:r>
      <w:r>
        <w:t xml:space="preserve">, weil die Verbindung einen gültigen SAML-basierten Benutzerkontext benötigt. Dabei wird der OAuth-Ablauf </w:t>
      </w:r>
      <w:r>
        <w:rPr>
          <w:i/>
        </w:rPr>
        <w:t>authorization_code</w:t>
      </w:r>
      <w:r>
        <w:t xml:space="preserve"> verwendet. Ob ein technischer Zugriff ohne Benutzerkontext unterstützt wird, ist nicht verifiziert.</w:t>
      </w:r>
    </w:p>
    <w:p>
      <w:pPr>
        <w:pStyle w:val="Heading3"/>
      </w:pPr>
      <w:r>
        <w:t>12.7.4 Typischer Ablauf</w:t>
      </w:r>
    </w:p>
    <w:p>
      <w:pPr>
        <w:pStyle w:val="ListNumber"/>
      </w:pPr>
      <w:r>
        <w:t>Objekt für den Verbrauch freigeben (Abschnitt 12.3).</w:t>
      </w:r>
    </w:p>
    <w:p>
      <w:pPr>
        <w:pStyle w:val="ListNumber"/>
      </w:pPr>
      <w:r>
        <w:t xml:space="preserve">Als Administrator einen OAuth-Client mit dem Zweck </w:t>
      </w:r>
      <w:r>
        <w:rPr>
          <w:i/>
        </w:rPr>
        <w:t>Interactive Usage</w:t>
      </w:r>
      <w:r>
        <w:t xml:space="preserve"> anlegen. Redirect-URI des Clients eintragen (Kapitel 3).</w:t>
      </w:r>
    </w:p>
    <w:p>
      <w:pPr>
        <w:pStyle w:val="ListNumber"/>
      </w:pPr>
      <w:r>
        <w:t>Client-ID und Secret sowie Autorisierungs- und Token-URL an den Entwickler des Clients übergeben.</w:t>
      </w:r>
    </w:p>
    <w:p>
      <w:pPr>
        <w:pStyle w:val="ListNumber"/>
      </w:pPr>
      <w:r>
        <w:t xml:space="preserve">Im Client das Token über den Ablauf </w:t>
      </w:r>
      <w:r>
        <w:rPr>
          <w:i/>
        </w:rPr>
        <w:t>authorization_code</w:t>
      </w:r>
      <w:r>
        <w:t xml:space="preserve"> holen und die Service-URL des Objekts aufrufen.</w:t>
      </w:r>
    </w:p>
    <w:p>
      <w:pPr>
        <w:pStyle w:val="Heading2"/>
      </w:pPr>
      <w:r>
        <w:t>12.8 Outbound über Replikationsflüsse (Premium Outbound Integration) ⚠ abhängig von Lizenz/Freischaltung</w:t>
      </w:r>
    </w:p>
    <w:p>
      <w:pPr>
        <w:pStyle w:val="Heading3"/>
      </w:pPr>
      <w:r>
        <w:t>12.8.1 Funktion</w:t>
      </w:r>
    </w:p>
    <w:p>
      <w:r>
        <w:t>Für einen Replikationsfluss mit einem Ziel außerhalb von SAP braucht man die Premium Outbound Integration. Ohne diese Funktion kann ein solcher Replikationsfluss nicht gestartet werden. Den Replikationsfluss selbst modelliert man im Datenbaustein (Kapitel 6).</w:t>
      </w:r>
    </w:p>
    <w:p>
      <w:r>
        <w:t>Laut Praxisbeiträgen kommen als Ziele unter anderem in Frage:</w:t>
      </w:r>
    </w:p>
    <w:p>
      <w:pPr>
        <w:pStyle w:val="ListBullet"/>
      </w:pPr>
      <w:r>
        <w:t>Google BigQuery,</w:t>
      </w:r>
    </w:p>
    <w:p>
      <w:pPr>
        <w:pStyle w:val="ListBullet"/>
      </w:pPr>
      <w:r>
        <w:t>Apache Kafka,</w:t>
      </w:r>
    </w:p>
    <w:p>
      <w:pPr>
        <w:pStyle w:val="ListBullet"/>
      </w:pPr>
      <w:r>
        <w:t>Microsoft Azure Data Lake Storage Gen2,</w:t>
      </w:r>
    </w:p>
    <w:p>
      <w:pPr>
        <w:pStyle w:val="ListBullet"/>
      </w:pPr>
      <w:r>
        <w:t>Amazon S3,</w:t>
      </w:r>
    </w:p>
    <w:p>
      <w:pPr>
        <w:pStyle w:val="ListBullet"/>
      </w:pPr>
      <w:r>
        <w:t>Google Cloud Storage.</w:t>
      </w:r>
    </w:p>
    <w:p>
      <w:r>
        <w:t>Die vollständige, aktuelle Zielliste ist nicht an help.sap.com verifiziert.</w:t>
      </w:r>
    </w:p>
    <w:p>
      <w:pPr>
        <w:pStyle w:val="Heading3"/>
      </w:pPr>
      <w:r>
        <w:t>12.8.2 Kapazität und Abrechnung</w:t>
      </w:r>
    </w:p>
    <w:p>
      <w:pPr>
        <w:pStyle w:val="ListBullet"/>
      </w:pPr>
      <w:r>
        <w:rPr>
          <w:b/>
        </w:rPr>
        <w:t>Freischaltung</w:t>
      </w:r>
      <w:r>
        <w:t>: Ein Ziel außerhalb von SAP funktioniert nur, wenn in der Mandantenkonfiguration Blöcke (</w:t>
      </w:r>
      <w:r>
        <w:rPr>
          <w:i/>
        </w:rPr>
        <w:t>blocks</w:t>
      </w:r>
      <w:r>
        <w:t>) für Premium Outbound Integration zugewiesen sind (Kapitel 3).</w:t>
      </w:r>
    </w:p>
    <w:p>
      <w:pPr>
        <w:pStyle w:val="ListBullet"/>
      </w:pPr>
      <w:r>
        <w:rPr>
          <w:b/>
        </w:rPr>
        <w:t>Fehler bei aufgebrauchtem Volumen</w:t>
      </w:r>
      <w:r>
        <w:t>: Ist das monatliche Outbound-Volumen verbraucht, startet der Lauf nicht. Die Fehlermeldung verweist darauf, dass ein Administrator die Premium-Outbound-Blöcke erhöhen kann (Wortlaut laut SAP-KBA 3456481).</w:t>
      </w:r>
    </w:p>
    <w:p>
      <w:pPr>
        <w:pStyle w:val="ListBullet"/>
      </w:pPr>
      <w:r>
        <w:rPr>
          <w:b/>
        </w:rPr>
        <w:t>Überwachung</w:t>
      </w:r>
      <w:r>
        <w:t>: Die Überwachung zeigt das Gesamtvolumen aller Replikationsflussläufe mit Premium Outbound Integration der letzten 360 Tage (Kapitel 10).</w:t>
      </w:r>
    </w:p>
    <w:p>
      <w:pPr>
        <w:pStyle w:val="Heading3"/>
      </w:pPr>
      <w:r>
        <w:t>12.8.3 Hinweise</w:t>
      </w:r>
    </w:p>
    <w:p>
      <w:r>
        <w:t>Nicht alle Datentypen werden von jedem Ziel unterstützt. Laut einem Community-Beitrag unterstützt Google BigQuery zum Beispiel DECFLOAT16, DECFLOAT34 und UINT64 nicht. Das ist nicht an help.sap.com verifiziert.</w:t>
      </w:r>
    </w:p>
    <w:p>
      <w:pPr>
        <w:pStyle w:val="Heading2"/>
      </w:pPr>
      <w:r>
        <w:t>12.9 Integration mit SAP Databricks und SAP Business Data Cloud ⚠ abhängig von Lizenz/Freischaltung</w:t>
      </w:r>
    </w:p>
    <w:p>
      <w:r>
        <w:t>Im Rahmen von SAP Business Data Cloud gibt es zwei Richtungen für den Austausch von Datenprodukten (Kapitel 8):</w:t>
      </w:r>
    </w:p>
    <w:p>
      <w:pPr>
        <w:pStyle w:val="ListBullet"/>
      </w:pPr>
      <w:r>
        <w:rPr>
          <w:b/>
        </w:rPr>
        <w:t>Von BDC nach SAP Databricks</w:t>
      </w:r>
      <w:r>
        <w:t>: Datenprodukte aus dem Katalog von SAP Business Data Cloud werden für SAP Databricks freigegeben. Alternativ legt man in SAP Databricks aus dem zugehörigen Delta Share einen Katalog an.</w:t>
      </w:r>
    </w:p>
    <w:p>
      <w:pPr>
        <w:pStyle w:val="ListBullet"/>
      </w:pPr>
      <w:r>
        <w:rPr>
          <w:b/>
        </w:rPr>
        <w:t>Von SAP Databricks nach BDC</w:t>
      </w:r>
      <w:r>
        <w:t>: Datenprodukte aus SAP Databricks werden mit einem Python-SDK in SAP Business Data Cloud veröffentlicht. Danach finden andere Anwendungen sie, z. B. SAP Datasphere.</w:t>
      </w:r>
    </w:p>
    <w:p>
      <w:r>
        <w:t xml:space="preserve">SAP-Referenzarchitekturen beschreiben außerdem einen beidseitigen Austausch mit Databricks über </w:t>
      </w:r>
      <w:r>
        <w:rPr>
          <w:i/>
        </w:rPr>
        <w:t>BDC Connect</w:t>
      </w:r>
      <w:r>
        <w:t xml:space="preserve"> und Delta Sharing sowie die Föderation von Delta-Lake-Daten nach SAP Datasphere. Konkrete Oberflächenschritte in Datasphere sind nicht verifiziert. Die Funktion setzt eine BDC-Bereitstellung mit SAP Databricks voraus.</w:t>
      </w:r>
    </w:p>
    <w:p>
      <w:pPr>
        <w:pStyle w:val="Heading2"/>
      </w:pPr>
      <w:r>
        <w:t>12.10 Abhängigkeiten, Grenzen, Hinweise</w:t>
      </w:r>
    </w:p>
    <w:p>
      <w:pPr>
        <w:pStyle w:val="ListBullet"/>
      </w:pPr>
      <w:r>
        <w:rPr>
          <w:b/>
        </w:rPr>
        <w:t>Freigabe</w:t>
      </w:r>
      <w:r>
        <w:t>: Ohne Freigabe für den Verbrauch sehen weder SQL-Benutzer noch OData-Clients ein Objekt (Abschnitt 12.3).</w:t>
      </w:r>
    </w:p>
    <w:p>
      <w:pPr>
        <w:pStyle w:val="ListBullet"/>
      </w:pPr>
      <w:r>
        <w:rPr>
          <w:b/>
        </w:rPr>
        <w:t>Semantik je Werkzeug</w:t>
      </w:r>
      <w:r>
        <w:t>:</w:t>
      </w:r>
    </w:p>
    <w:p>
      <w:pPr>
        <w:pStyle w:val="ListBullet"/>
      </w:pPr>
      <w:r>
        <w:t xml:space="preserve">SAP-Analytics-Cloud-Live: </w:t>
      </w:r>
      <w:r>
        <w:rPr>
          <w:i/>
        </w:rPr>
        <w:t>Analytical Dataset</w:t>
      </w:r>
      <w:r>
        <w:t xml:space="preserve">, </w:t>
      </w:r>
      <w:r>
        <w:rPr>
          <w:i/>
        </w:rPr>
        <w:t>Analytic Model</w:t>
      </w:r>
      <w:r>
        <w:t xml:space="preserve">, </w:t>
      </w:r>
      <w:r>
        <w:rPr>
          <w:i/>
        </w:rPr>
        <w:t>Perspective</w:t>
      </w:r>
    </w:p>
    <w:p>
      <w:pPr>
        <w:pStyle w:val="ListBullet"/>
      </w:pPr>
      <w:r>
        <w:t xml:space="preserve">Excel-Add-in: </w:t>
      </w:r>
      <w:r>
        <w:rPr>
          <w:i/>
        </w:rPr>
        <w:t>Analytic Model</w:t>
      </w:r>
      <w:r>
        <w:t xml:space="preserve">, </w:t>
      </w:r>
      <w:r>
        <w:rPr>
          <w:i/>
        </w:rPr>
        <w:t>Perspective</w:t>
      </w:r>
    </w:p>
    <w:p>
      <w:pPr>
        <w:pStyle w:val="ListBullet"/>
      </w:pPr>
      <w:r>
        <w:t xml:space="preserve">Analysis for Office: nur </w:t>
      </w:r>
      <w:r>
        <w:rPr>
          <w:i/>
        </w:rPr>
        <w:t>Analytical Dataset</w:t>
      </w:r>
      <w:r>
        <w:t xml:space="preserve"> (nicht verifiziert)</w:t>
      </w:r>
    </w:p>
    <w:p>
      <w:pPr>
        <w:pStyle w:val="ListBullet"/>
      </w:pPr>
      <w:r>
        <w:t>ODBC/JDBC: Views und Perspektiven</w:t>
      </w:r>
    </w:p>
    <w:p>
      <w:pPr>
        <w:pStyle w:val="ListBullet"/>
      </w:pPr>
      <w:r>
        <w:rPr>
          <w:b/>
        </w:rPr>
        <w:t>Grenze im Excel-Add-in</w:t>
      </w:r>
      <w:r>
        <w:t>: 1 000 000 Ergebnissätze (MDS-Standardwert).</w:t>
      </w:r>
    </w:p>
    <w:p>
      <w:pPr>
        <w:pStyle w:val="ListBullet"/>
      </w:pPr>
      <w:r>
        <w:rPr>
          <w:b/>
        </w:rPr>
        <w:t>OData</w:t>
      </w:r>
      <w:r>
        <w:t>: braucht einen OAuth-Client mit Benutzerkontext. Grenzen für Seitengröße und Durchsatz sind nicht verifiziert.</w:t>
      </w:r>
    </w:p>
    <w:p>
      <w:pPr>
        <w:pStyle w:val="ListBullet"/>
      </w:pPr>
      <w:r>
        <w:rPr>
          <w:b/>
        </w:rPr>
        <w:t>Premium Outbound</w:t>
      </w:r>
      <w:r>
        <w:t>: Kosten hängen am Volumen und an der Lizenz. Läufe brechen ab, wenn das Volumen aufgebraucht ist.</w:t>
      </w:r>
    </w:p>
    <w:p>
      <w:pPr>
        <w:pStyle w:val="ListBullet"/>
      </w:pPr>
      <w:r>
        <w:rPr>
          <w:b/>
        </w:rPr>
        <w:t>Dateibereiche (*file spaces*)</w:t>
      </w:r>
      <w:r>
        <w:t xml:space="preserve"> mit dem Speichertyp SAP HANA Data Lake Files haben eigene Einschränkungen. Welche Verbrauchswege dort möglich sind, ist nicht verifiziert.</w:t>
      </w:r>
    </w:p>
    <w:p>
      <w:pPr>
        <w:pStyle w:val="ListBullet"/>
      </w:pPr>
      <w:r>
        <w:rPr>
          <w:b/>
        </w:rPr>
        <w:t>Änderungen an der Oberfläche</w:t>
      </w:r>
      <w:r>
        <w:t>: SAP ändert die Oberfläche von Datasphere und SAP Analytics Cloud vierteljährlich. Schalter- und Menütexte sollte man vor der Nutzung in der aktuellen Hilfe prüfen.</w:t>
      </w:r>
    </w:p>
    <w:p>
      <w:pPr>
        <w:pStyle w:val="Heading2"/>
      </w:pPr>
      <w:r>
        <w:t>12.11 Übersicht: Funktion – Zweck – benötigtes Privileg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Funktion</w:t>
            </w:r>
          </w:p>
        </w:tc>
        <w:tc>
          <w:tcPr>
            <w:tcW w:type="dxa" w:w="2880"/>
          </w:tcPr>
          <w:p>
            <w:r>
              <w:rPr>
                <w:b/>
              </w:rPr>
              <w:t>Zweck</w:t>
            </w:r>
          </w:p>
        </w:tc>
        <w:tc>
          <w:tcPr>
            <w:tcW w:type="dxa" w:w="2880"/>
          </w:tcPr>
          <w:p>
            <w:r>
              <w:rPr>
                <w:b/>
              </w:rPr>
              <w:t>Benötigtes Privileg/Rolle</w:t>
            </w:r>
          </w:p>
        </w:tc>
      </w:tr>
      <w:tr>
        <w:tc>
          <w:tcPr>
            <w:tcW w:type="dxa" w:w="2880"/>
          </w:tcPr>
          <w:p>
            <w:r>
              <w:rPr>
                <w:i/>
              </w:rPr>
              <w:t>Expose for Consumption</w:t>
            </w:r>
          </w:p>
        </w:tc>
        <w:tc>
          <w:tcPr>
            <w:tcW w:type="dxa" w:w="2880"/>
          </w:tcPr>
          <w:p>
            <w:r>
              <w:t>Objekt für externe Werkzeuge freigeben</w:t>
            </w:r>
          </w:p>
        </w:tc>
        <w:tc>
          <w:tcPr>
            <w:tcW w:type="dxa" w:w="2880"/>
          </w:tcPr>
          <w:p>
            <w:r>
              <w:t>Modellierungsrechte im Bereich (Privileg nicht verifiziert)</w:t>
            </w:r>
          </w:p>
        </w:tc>
      </w:tr>
      <w:tr>
        <w:tc>
          <w:tcPr>
            <w:tcW w:type="dxa" w:w="2880"/>
          </w:tcPr>
          <w:p>
            <w:r>
              <w:t>Live-Verbindung SAP Analytics Cloud</w:t>
            </w:r>
          </w:p>
        </w:tc>
        <w:tc>
          <w:tcPr>
            <w:tcW w:type="dxa" w:w="2880"/>
          </w:tcPr>
          <w:p>
            <w:r>
              <w:t>Live-Analyse analytischer Modelle</w:t>
            </w:r>
          </w:p>
        </w:tc>
        <w:tc>
          <w:tcPr>
            <w:tcW w:type="dxa" w:w="2880"/>
          </w:tcPr>
          <w:p>
            <w:r>
              <w:t>Recht zum Anlegen von Verbindungen in SAP Analytics Cloud (nicht verifiziert)</w:t>
            </w:r>
          </w:p>
        </w:tc>
      </w:tr>
      <w:tr>
        <w:tc>
          <w:tcPr>
            <w:tcW w:type="dxa" w:w="2880"/>
          </w:tcPr>
          <w:p>
            <w:r>
              <w:t>Excel-Add-in ⚠</w:t>
            </w:r>
          </w:p>
        </w:tc>
        <w:tc>
          <w:tcPr>
            <w:tcW w:type="dxa" w:w="2880"/>
          </w:tcPr>
          <w:p>
            <w:r>
              <w:t>Analyse in Excel über die SAP-Analytics-Cloud-Verbindung</w:t>
            </w:r>
          </w:p>
        </w:tc>
        <w:tc>
          <w:tcPr>
            <w:tcW w:type="dxa" w:w="2880"/>
          </w:tcPr>
          <w:p>
            <w:r>
              <w:t>Lesezugriff über SAP Analytics Cloud (nicht verifiziert)</w:t>
            </w:r>
          </w:p>
        </w:tc>
      </w:tr>
      <w:tr>
        <w:tc>
          <w:tcPr>
            <w:tcW w:type="dxa" w:w="2880"/>
          </w:tcPr>
          <w:p>
            <w:r>
              <w:t>Datenbankbenutzer/Open-SQL-Schema</w:t>
            </w:r>
          </w:p>
        </w:tc>
        <w:tc>
          <w:tcPr>
            <w:tcW w:type="dxa" w:w="2880"/>
          </w:tcPr>
          <w:p>
            <w:r>
              <w:t>ODBC/JDBC-Lesezugriff, optional Schreibzugriff</w:t>
            </w:r>
          </w:p>
        </w:tc>
        <w:tc>
          <w:tcPr>
            <w:tcW w:type="dxa" w:w="2880"/>
          </w:tcPr>
          <w:p>
            <w:r>
              <w:t>Bereichsadministrator</w:t>
            </w:r>
          </w:p>
        </w:tc>
      </w:tr>
      <w:tr>
        <w:tc>
          <w:tcPr>
            <w:tcW w:type="dxa" w:w="2880"/>
          </w:tcPr>
          <w:p>
            <w:r>
              <w:t>OAuth-Client für die OData-API</w:t>
            </w:r>
          </w:p>
        </w:tc>
        <w:tc>
          <w:tcPr>
            <w:tcW w:type="dxa" w:w="2880"/>
          </w:tcPr>
          <w:p>
            <w:r>
              <w:t>REST-Zugriff auf Views und Modelle</w:t>
            </w:r>
          </w:p>
        </w:tc>
        <w:tc>
          <w:tcPr>
            <w:tcW w:type="dxa" w:w="2880"/>
          </w:tcPr>
          <w:p>
            <w:r>
              <w:t>Administrator (Privileg nicht verifiziert)</w:t>
            </w:r>
          </w:p>
        </w:tc>
      </w:tr>
      <w:tr>
        <w:tc>
          <w:tcPr>
            <w:tcW w:type="dxa" w:w="2880"/>
          </w:tcPr>
          <w:p>
            <w:r>
              <w:t>Premium Outbound ⚠</w:t>
            </w:r>
          </w:p>
        </w:tc>
        <w:tc>
          <w:tcPr>
            <w:tcW w:type="dxa" w:w="2880"/>
          </w:tcPr>
          <w:p>
            <w:r>
              <w:t>Replikation an Ziele außerhalb von SAP</w:t>
            </w:r>
          </w:p>
        </w:tc>
        <w:tc>
          <w:tcPr>
            <w:tcW w:type="dxa" w:w="2880"/>
          </w:tcPr>
          <w:p>
            <w:r>
              <w:t>Administrator für die Mandantenkonfiguration; Modellierer des Replikationsflusses</w:t>
            </w:r>
          </w:p>
        </w:tc>
      </w:tr>
      <w:tr>
        <w:tc>
          <w:tcPr>
            <w:tcW w:type="dxa" w:w="2880"/>
          </w:tcPr>
          <w:p>
            <w:r>
              <w:t>Austausch mit SAP Databricks ⚠</w:t>
            </w:r>
          </w:p>
        </w:tc>
        <w:tc>
          <w:tcPr>
            <w:tcW w:type="dxa" w:w="2880"/>
          </w:tcPr>
          <w:p>
            <w:r>
              <w:t>Datenprodukte zwischen BDC und Databricks austauschen</w:t>
            </w:r>
          </w:p>
        </w:tc>
        <w:tc>
          <w:tcPr>
            <w:tcW w:type="dxa" w:w="2880"/>
          </w:tcPr>
          <w:p>
            <w:r>
              <w:t>BDC- und Databricks-Berechtigungen (nicht verifiziert)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