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tl w:val="0"/>
        </w:rPr>
        <w:t>Experience</w:t>
      </w:r>
    </w:p>
    <w:p>
      <w:pPr>
        <w:pStyle w:val="Body"/>
      </w:pPr>
      <w:r>
        <w:rPr>
          <w:rtl w:val="0"/>
        </w:rPr>
        <w:t xml:space="preserve">We have over five decades of private markets, management consulting, investment banking, and other relevant experience. </w:t>
      </w:r>
    </w:p>
    <w:p>
      <w:pPr>
        <w:pStyle w:val="Body"/>
      </w:pPr>
    </w:p>
    <w:p>
      <w:pPr>
        <w:pStyle w:val="Body"/>
      </w:pPr>
      <w:r>
        <w:rPr>
          <w:rtl w:val="0"/>
        </w:rPr>
        <w:t>We have built trusted relationships with GPs and LPs globally</w:t>
      </w:r>
    </w:p>
    <w:p>
      <w:pPr>
        <w:pStyle w:val="Body"/>
      </w:pPr>
    </w:p>
    <w:p>
      <w:pPr>
        <w:pStyle w:val="Body"/>
      </w:pPr>
      <w:r>
        <w:rPr>
          <w:rtl w:val="0"/>
          <w:lang w:val="it-IT"/>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p>
    <w:p>
      <w:pPr>
        <w:pStyle w:val="Body"/>
      </w:pPr>
    </w:p>
    <w:p>
      <w:pPr>
        <w:pStyle w:val="Body"/>
      </w:pPr>
      <w:r>
        <w:rPr>
          <w:rtl w:val="0"/>
        </w:rPr>
        <w:t>Our experience working with CPPIB, TPG, OMERS, CIBC, BCG and Korn Ferry</w:t>
      </w:r>
    </w:p>
    <w:p>
      <w:pPr>
        <w:pStyle w:val="Body"/>
      </w:pPr>
    </w:p>
    <w:p>
      <w:pPr>
        <w:pStyle w:val="Body"/>
      </w:pPr>
      <w:r>
        <w:rPr>
          <w:rtl w:val="0"/>
          <w:lang w:val="it-IT"/>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p>
    <w:p>
      <w:pPr>
        <w:pStyle w:val="Body"/>
      </w:pPr>
    </w:p>
    <w:p>
      <w:pPr>
        <w:pStyle w:val="Body"/>
      </w:pPr>
      <w:r>
        <w:rPr>
          <w:rtl w:val="0"/>
        </w:rPr>
        <w:t>“</w:t>
      </w:r>
      <w:r>
        <w:rPr>
          <w:rtl w:val="0"/>
        </w:rPr>
        <w:t>All members of my search committee were impressed by the level of Caldwell Partners</w:t>
      </w:r>
      <w:r>
        <w:rPr>
          <w:rtl w:val="0"/>
        </w:rPr>
        <w:t xml:space="preserve">’ </w:t>
      </w:r>
      <w:r>
        <w:rPr>
          <w:rtl w:val="0"/>
        </w:rPr>
        <w:t>professionalism, attention to detail and ability to keep us on track.</w:t>
      </w:r>
      <w:r>
        <w:rPr>
          <w:rtl w:val="0"/>
        </w:rPr>
        <w:t xml:space="preserve">” </w:t>
      </w:r>
    </w:p>
    <w:p>
      <w:pPr>
        <w:pStyle w:val="Body"/>
      </w:pPr>
    </w:p>
    <w:p>
      <w:pPr>
        <w:pStyle w:val="Body"/>
      </w:pPr>
      <w:r>
        <w:rPr>
          <w:rtl w:val="0"/>
        </w:rPr>
        <w:t>Kevin Chan</w:t>
      </w:r>
    </w:p>
    <w:p>
      <w:pPr>
        <w:pStyle w:val="Body"/>
      </w:pPr>
      <w:r>
        <w:rPr>
          <w:rtl w:val="0"/>
        </w:rPr>
        <w:t>Consulting Manager</w:t>
      </w:r>
    </w:p>
    <w:p>
      <w:pPr>
        <w:pStyle w:val="Body"/>
      </w:pPr>
      <w:r>
        <w:rPr>
          <w:rtl w:val="0"/>
        </w:rPr>
        <w:t>Dynamic Funds</w:t>
      </w:r>
    </w:p>
    <w:p>
      <w:pPr>
        <w:pStyle w:val="Body"/>
      </w:pPr>
    </w:p>
    <w:p>
      <w:pPr>
        <w:pStyle w:val="Body"/>
      </w:pPr>
      <w:r>
        <w:rPr>
          <w:rtl w:val="0"/>
        </w:rPr>
        <w:t>Key Experience</w:t>
      </w:r>
    </w:p>
    <w:p>
      <w:pPr>
        <w:pStyle w:val="Body"/>
      </w:pPr>
    </w:p>
    <w:p>
      <w:pPr>
        <w:pStyle w:val="Body"/>
      </w:pPr>
      <w:r>
        <w:rPr>
          <w:rtl w:val="0"/>
        </w:rPr>
        <w:t>27+ Years Private Markets Experience</w:t>
      </w:r>
    </w:p>
    <w:p>
      <w:pPr>
        <w:pStyle w:val="Body"/>
      </w:pPr>
    </w:p>
    <w:p>
      <w:pPr>
        <w:pStyle w:val="Body"/>
      </w:pPr>
      <w:r>
        <w:rPr>
          <w:rtl w:val="0"/>
        </w:rPr>
        <w:t>23+ Years Additional Relevant Experience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