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GP Strategic Advisory</w:t>
      </w:r>
    </w:p>
    <w:p>
      <w:pPr>
        <w:pStyle w:val="Body"/>
      </w:pPr>
    </w:p>
    <w:p>
      <w:pPr>
        <w:pStyle w:val="Body"/>
      </w:pPr>
      <w:r>
        <w:rPr>
          <w:rtl w:val="0"/>
        </w:rPr>
        <w:t>“</w:t>
      </w:r>
      <w:r>
        <w:rPr>
          <w:rtl w:val="0"/>
        </w:rPr>
        <w:t>Lorem ipsum dolor sit amet, consectetur adipiscing elit.</w:t>
      </w:r>
      <w:r>
        <w:rPr>
          <w:rtl w:val="0"/>
        </w:rPr>
        <w:t>”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Practice Areas</w:t>
      </w:r>
    </w:p>
    <w:p>
      <w:pPr>
        <w:pStyle w:val="Body"/>
      </w:pPr>
    </w:p>
    <w:p>
      <w:pPr>
        <w:pStyle w:val="Body"/>
      </w:pPr>
      <w:r>
        <w:rPr>
          <w:rtl w:val="0"/>
        </w:rPr>
        <w:t>Our solutions provide a sophisticated investor assessment of an unbiased viewpoint on the key elements of a GP</w:t>
      </w:r>
      <w:r>
        <w:rPr>
          <w:rtl w:val="0"/>
        </w:rPr>
        <w:t>’</w:t>
      </w:r>
      <w:r>
        <w:rPr>
          <w:rtl w:val="0"/>
        </w:rPr>
        <w:t>s organization.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Franchise Creation &amp; Building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Firm/Fund Formation Roadmap</w:t>
      </w:r>
    </w:p>
    <w:p>
      <w:pPr>
        <w:pStyle w:val="Body"/>
      </w:pPr>
    </w:p>
    <w:p>
      <w:pPr>
        <w:pStyle w:val="Body"/>
      </w:pPr>
      <w:r>
        <w:rPr>
          <w:rtl w:val="0"/>
        </w:rPr>
        <w:t>Platform Scaling Strategies</w:t>
      </w:r>
    </w:p>
    <w:p>
      <w:pPr>
        <w:pStyle w:val="Body"/>
      </w:pPr>
    </w:p>
    <w:p>
      <w:pPr>
        <w:pStyle w:val="Body"/>
      </w:pPr>
      <w:r>
        <w:rPr>
          <w:rtl w:val="0"/>
        </w:rPr>
        <w:t>Business/Product Line Extension - Assessment &amp; Positioning</w:t>
      </w:r>
      <w:r>
        <w:rPr>
          <w:rtl w:val="0"/>
        </w:rPr>
        <w:t xml:space="preserve">• </w:t>
      </w:r>
      <w:r>
        <w:rPr>
          <w:rtl w:val="0"/>
          <w:lang w:val="de-DE"/>
        </w:rPr>
        <w:t>Firm/Fund Formation Roadmap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Fundraising Readiness</w:t>
      </w:r>
    </w:p>
    <w:p>
      <w:pPr>
        <w:pStyle w:val="Body"/>
      </w:pPr>
    </w:p>
    <w:p>
      <w:pPr>
        <w:pStyle w:val="Body"/>
      </w:pPr>
      <w:r>
        <w:rPr>
          <w:rtl w:val="0"/>
        </w:rPr>
        <w:t>Pre-fundraising Diagnostic &amp; Launch Support</w:t>
      </w:r>
    </w:p>
    <w:p>
      <w:pPr>
        <w:pStyle w:val="Body"/>
      </w:pPr>
    </w:p>
    <w:p>
      <w:pPr>
        <w:pStyle w:val="Body"/>
      </w:pPr>
      <w:r>
        <w:rPr>
          <w:rtl w:val="0"/>
        </w:rPr>
        <w:t>Placement Agent Selection &amp; Oversight</w:t>
      </w:r>
    </w:p>
    <w:p>
      <w:pPr>
        <w:pStyle w:val="Body"/>
      </w:pPr>
    </w:p>
    <w:p>
      <w:pPr>
        <w:pStyle w:val="Body"/>
      </w:pPr>
      <w:r>
        <w:rPr>
          <w:rtl w:val="0"/>
        </w:rPr>
        <w:t>“</w:t>
      </w:r>
      <w:r>
        <w:rPr>
          <w:rtl w:val="0"/>
        </w:rPr>
        <w:t>Hot Topic</w:t>
      </w:r>
      <w:r>
        <w:rPr>
          <w:rtl w:val="0"/>
        </w:rPr>
        <w:t xml:space="preserve">” </w:t>
      </w:r>
      <w:r>
        <w:rPr>
          <w:rtl w:val="0"/>
        </w:rPr>
        <w:t>Action Plans (e.g. ESG, Diversity, SMAs)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Investor Engagement &amp; Management</w:t>
      </w:r>
    </w:p>
    <w:p>
      <w:pPr>
        <w:pStyle w:val="Body"/>
      </w:pPr>
    </w:p>
    <w:p>
      <w:pPr>
        <w:pStyle w:val="Body"/>
      </w:pPr>
      <w:r>
        <w:rPr>
          <w:rtl w:val="0"/>
        </w:rPr>
        <w:t>Investor Perception Surveys</w:t>
      </w:r>
    </w:p>
    <w:p>
      <w:pPr>
        <w:pStyle w:val="Body"/>
      </w:pPr>
    </w:p>
    <w:p>
      <w:pPr>
        <w:pStyle w:val="Body"/>
      </w:pPr>
      <w:r>
        <w:rPr>
          <w:rtl w:val="0"/>
        </w:rPr>
        <w:t>IR &amp; Communications Program - Design &amp; Support</w:t>
      </w:r>
    </w:p>
    <w:p>
      <w:pPr>
        <w:pStyle w:val="Body"/>
      </w:pPr>
    </w:p>
    <w:p>
      <w:pPr>
        <w:pStyle w:val="Body"/>
      </w:pPr>
      <w:r>
        <w:rPr>
          <w:rtl w:val="0"/>
        </w:rPr>
        <w:t>Focus LP Solutions (e.g. LPAC Engagement,  Co-investment)</w:t>
      </w:r>
    </w:p>
    <w:p>
      <w:pPr>
        <w:pStyle w:val="Body"/>
      </w:pPr>
    </w:p>
    <w:p>
      <w:pPr>
        <w:pStyle w:val="Body"/>
      </w:pPr>
      <w:r>
        <w:rPr>
          <w:rtl w:val="0"/>
        </w:rPr>
        <w:t>Our Value Proposition</w:t>
      </w:r>
    </w:p>
    <w:p>
      <w:pPr>
        <w:pStyle w:val="Body"/>
      </w:pPr>
      <w:r>
        <w:rPr>
          <w:rtl w:val="0"/>
        </w:rPr>
        <w:t>Franchise Creation &amp; Building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Platform Scaling Strategies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Business/Product Line Extension - Assessment &amp; Positioning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Firm 360 Evaluation &amp; Strategic Priority Setting</w:t>
      </w:r>
    </w:p>
    <w:p>
      <w:pPr>
        <w:pStyle w:val="Body"/>
      </w:pPr>
    </w:p>
    <w:p>
      <w:pPr>
        <w:pStyle w:val="Body"/>
      </w:pPr>
      <w:r>
        <w:rPr>
          <w:rtl w:val="0"/>
        </w:rPr>
        <w:t>Fundraising Readiness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Pre-fundraising Diagnostic &amp; Launch Support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Placement Agent Selection &amp; Oversight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“</w:t>
      </w:r>
      <w:r>
        <w:rPr>
          <w:rtl w:val="0"/>
        </w:rPr>
        <w:t>Hot Topic</w:t>
      </w:r>
      <w:r>
        <w:rPr>
          <w:rtl w:val="0"/>
        </w:rPr>
        <w:t xml:space="preserve">” </w:t>
      </w:r>
      <w:r>
        <w:rPr>
          <w:rtl w:val="0"/>
        </w:rPr>
        <w:t>Action Plans (e.g. ESG, Diversity, SMAs)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Investor Engagement &amp; Management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Investor Perception Surveys</w:t>
      </w:r>
    </w:p>
    <w:p>
      <w:pPr>
        <w:pStyle w:val="Body"/>
      </w:pPr>
      <w:r>
        <w:rPr>
          <w:rtl w:val="0"/>
        </w:rPr>
        <w:t xml:space="preserve">• </w:t>
      </w:r>
      <w:r>
        <w:rPr>
          <w:rtl w:val="0"/>
        </w:rPr>
        <w:t>IR &amp; Communications Program - Design &amp; Support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Focus LP Solutions (e.g. LPAC Engagement,  Co-investment)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