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 xml:space="preserve">Our Insights.Your Advantage. 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>We are a differentiated strategic advisor to GP</w:t>
      </w:r>
      <w:r>
        <w:rPr>
          <w:color w:val="000000"/>
          <w:rtl w:val="0"/>
        </w:rPr>
        <w:t>’</w:t>
      </w:r>
      <w:r>
        <w:rPr>
          <w:color w:val="000000"/>
          <w:rtl w:val="0"/>
          <w:lang w:val="en-US"/>
        </w:rPr>
        <w:t>s and LP</w:t>
      </w:r>
      <w:r>
        <w:rPr>
          <w:color w:val="000000"/>
          <w:rtl w:val="0"/>
        </w:rPr>
        <w:t>’</w:t>
      </w:r>
      <w:r>
        <w:rPr>
          <w:color w:val="000000"/>
          <w:rtl w:val="0"/>
          <w:lang w:val="en-US"/>
        </w:rPr>
        <w:t>s in the global private markets industry</w:t>
      </w:r>
    </w:p>
    <w:p>
      <w:pPr>
        <w:pStyle w:val="Body"/>
        <w:rPr>
          <w:color w:val="000000"/>
        </w:rPr>
      </w:pP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 xml:space="preserve">Acuity Partners Private Markets Advisory </w:t>
      </w:r>
    </w:p>
    <w:p>
      <w:pPr>
        <w:pStyle w:val="Body"/>
        <w:rPr>
          <w:color w:val="000000"/>
        </w:rPr>
      </w:pP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>Sophisticated Institutional Investor Perspective</w:t>
      </w:r>
    </w:p>
    <w:p>
      <w:pPr>
        <w:pStyle w:val="Body"/>
        <w:rPr>
          <w:color w:val="000000"/>
        </w:rPr>
      </w:pP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>Depth &amp; Breadth of Private Markets Experience</w:t>
      </w:r>
    </w:p>
    <w:p>
      <w:pPr>
        <w:pStyle w:val="Body"/>
        <w:rPr>
          <w:color w:val="000000"/>
        </w:rPr>
      </w:pP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>Extensive Networks and Trusted Relationships With Both GP</w:t>
      </w:r>
      <w:r>
        <w:rPr>
          <w:color w:val="000000"/>
          <w:rtl w:val="0"/>
        </w:rPr>
        <w:t>’</w:t>
      </w:r>
      <w:r>
        <w:rPr>
          <w:color w:val="000000"/>
          <w:rtl w:val="0"/>
          <w:lang w:val="en-US"/>
        </w:rPr>
        <w:t>s &amp; LP</w:t>
      </w:r>
      <w:r>
        <w:rPr>
          <w:color w:val="000000"/>
          <w:rtl w:val="0"/>
        </w:rPr>
        <w:t>’</w:t>
      </w:r>
      <w:r>
        <w:rPr>
          <w:color w:val="000000"/>
          <w:rtl w:val="0"/>
        </w:rPr>
        <w:t>s</w:t>
      </w:r>
    </w:p>
    <w:p>
      <w:pPr>
        <w:pStyle w:val="Body"/>
        <w:rPr>
          <w:color w:val="000000"/>
        </w:rPr>
      </w:pP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>Read Our Story</w:t>
      </w:r>
    </w:p>
    <w:p>
      <w:pPr>
        <w:pStyle w:val="Body"/>
        <w:rPr>
          <w:color w:val="000000"/>
        </w:rPr>
      </w:pPr>
    </w:p>
    <w:p>
      <w:pPr>
        <w:pStyle w:val="Body"/>
        <w:rPr>
          <w:color w:val="000000"/>
        </w:rPr>
      </w:pPr>
    </w:p>
    <w:p>
      <w:pPr>
        <w:pStyle w:val="Body"/>
        <w:rPr>
          <w:color w:val="000000"/>
        </w:rPr>
      </w:pPr>
      <w:r>
        <w:rPr>
          <w:color w:val="000000"/>
          <w:rtl w:val="0"/>
        </w:rPr>
        <w:t>“</w:t>
      </w:r>
      <w:r>
        <w:rPr>
          <w:color w:val="000000"/>
          <w:rtl w:val="0"/>
          <w:lang w:val="en-US"/>
        </w:rPr>
        <w:t>All members of my search committee were impressed by the level of Caldwell Partners</w:t>
      </w:r>
      <w:r>
        <w:rPr>
          <w:color w:val="000000"/>
          <w:rtl w:val="0"/>
        </w:rPr>
        <w:t xml:space="preserve">’ </w:t>
      </w:r>
      <w:r>
        <w:rPr>
          <w:color w:val="000000"/>
          <w:rtl w:val="0"/>
          <w:lang w:val="en-US"/>
        </w:rPr>
        <w:t>professionalism, attention to detail and ability to keep us on track.</w:t>
      </w:r>
      <w:r>
        <w:rPr>
          <w:color w:val="000000"/>
          <w:rtl w:val="0"/>
        </w:rPr>
        <w:t>”</w:t>
      </w:r>
    </w:p>
    <w:p>
      <w:pPr>
        <w:pStyle w:val="Body"/>
        <w:rPr>
          <w:color w:val="000000"/>
        </w:rPr>
      </w:pPr>
    </w:p>
    <w:p>
      <w:pPr>
        <w:pStyle w:val="Body"/>
        <w:rPr>
          <w:color w:val="000000"/>
        </w:rPr>
      </w:pPr>
      <w:r>
        <w:rPr>
          <w:color w:val="000000"/>
          <w:rtl w:val="0"/>
        </w:rPr>
        <w:t>Chris Lalata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>Managing Partner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>NEI Investments</w:t>
      </w:r>
    </w:p>
    <w:p>
      <w:pPr>
        <w:pStyle w:val="Body"/>
        <w:rPr>
          <w:color w:val="000000"/>
        </w:rPr>
      </w:pP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>Career Highlights</w:t>
      </w:r>
    </w:p>
    <w:p>
      <w:pPr>
        <w:pStyle w:val="Body"/>
      </w:pPr>
      <w:r>
        <w:rPr>
          <w:rtl w:val="0"/>
        </w:rPr>
        <w:t>Over $20 billion</w:t>
      </w:r>
    </w:p>
    <w:p>
      <w:pPr>
        <w:pStyle w:val="Body"/>
      </w:pPr>
      <w:r>
        <w:rPr>
          <w:rtl w:val="0"/>
        </w:rPr>
        <w:t>of capital commitments</w:t>
      </w:r>
      <w:r>
        <w:rPr>
          <w:rFonts w:ascii="Roboto" w:hAnsi="Roboto"/>
          <w:rtl w:val="0"/>
        </w:rPr>
        <w:t xml:space="preserve"> </w:t>
      </w:r>
      <w:r>
        <w:rPr>
          <w:rtl w:val="0"/>
        </w:rPr>
        <w:t xml:space="preserve">personally led on a global basis </w:t>
      </w:r>
    </w:p>
    <w:p>
      <w:pPr>
        <w:pStyle w:val="Body"/>
      </w:pPr>
      <w:r>
        <w:rPr>
          <w:rtl w:val="0"/>
        </w:rPr>
        <w:t>Built a large</w:t>
      </w:r>
    </w:p>
    <w:p>
      <w:pPr>
        <w:pStyle w:val="Body"/>
      </w:pPr>
      <w:r>
        <w:rPr>
          <w:rtl w:val="0"/>
        </w:rPr>
        <w:t>institutional private investment programs at CPPIB</w:t>
      </w:r>
    </w:p>
    <w:p>
      <w:pPr>
        <w:pStyle w:val="Body"/>
      </w:pPr>
    </w:p>
    <w:p>
      <w:pPr>
        <w:pStyle w:val="Body"/>
      </w:pPr>
      <w:r>
        <w:rPr>
          <w:rtl w:val="0"/>
          <w:lang w:val="nl-NL"/>
        </w:rPr>
        <w:t>Held over 100</w:t>
      </w:r>
    </w:p>
    <w:p>
      <w:pPr>
        <w:pStyle w:val="Body"/>
      </w:pPr>
      <w:r>
        <w:rPr>
          <w:rtl w:val="0"/>
        </w:rPr>
        <w:t xml:space="preserve">Limited Partner Advisory </w:t>
      </w:r>
    </w:p>
    <w:p>
      <w:pPr>
        <w:pStyle w:val="Body"/>
      </w:pPr>
      <w:r>
        <w:rPr>
          <w:rtl w:val="0"/>
        </w:rPr>
        <w:t>Committee</w:t>
      </w:r>
      <w:r>
        <w:rPr>
          <w:rFonts w:ascii="Roboto" w:hAnsi="Roboto"/>
          <w:b w:val="1"/>
          <w:bCs w:val="1"/>
          <w:rtl w:val="0"/>
        </w:rPr>
        <w:t xml:space="preserve"> </w:t>
      </w:r>
      <w:r>
        <w:rPr>
          <w:rtl w:val="0"/>
        </w:rPr>
        <w:t>[LPAC] seats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Led 40+ </w:t>
      </w:r>
    </w:p>
    <w:p>
      <w:pPr>
        <w:pStyle w:val="Body"/>
      </w:pPr>
      <w:r>
        <w:rPr>
          <w:rtl w:val="0"/>
        </w:rPr>
        <w:t xml:space="preserve">private investment </w:t>
      </w:r>
    </w:p>
    <w:p>
      <w:pPr>
        <w:pStyle w:val="Body"/>
      </w:pPr>
      <w:r>
        <w:rPr>
          <w:rtl w:val="0"/>
        </w:rPr>
        <w:t>strategy papers/projects</w:t>
      </w:r>
    </w:p>
    <w:p>
      <w:pPr>
        <w:pStyle w:val="Body"/>
      </w:pPr>
    </w:p>
    <w:p>
      <w:pPr>
        <w:pStyle w:val="Body"/>
      </w:pPr>
      <w:r>
        <w:rPr>
          <w:rtl w:val="0"/>
        </w:rPr>
        <w:t>27+ years</w:t>
      </w:r>
    </w:p>
    <w:p>
      <w:pPr>
        <w:pStyle w:val="Body"/>
      </w:pPr>
      <w:r>
        <w:rPr>
          <w:rtl w:val="0"/>
        </w:rPr>
        <w:t>combined LP&amp;GP experience at CPPIB | TPG | OMERS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