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LP Strategic Advisory</w:t>
      </w:r>
    </w:p>
    <w:p>
      <w:pPr>
        <w:pStyle w:val="Body"/>
      </w:pPr>
    </w:p>
    <w:p>
      <w:pPr>
        <w:pStyle w:val="Body"/>
      </w:pPr>
      <w:r>
        <w:rPr>
          <w:rtl w:val="0"/>
        </w:rPr>
        <w:t>“</w:t>
      </w:r>
      <w:r>
        <w:rPr>
          <w:rtl w:val="0"/>
        </w:rPr>
        <w:t>Lorem ipsum dolor sit amet, consectetur adipiscing elit.</w:t>
      </w:r>
      <w:r>
        <w:rPr>
          <w:rtl w:val="0"/>
        </w:rPr>
        <w:t>”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Portfolio Design &amp; Development</w:t>
      </w:r>
    </w:p>
    <w:p>
      <w:pPr>
        <w:pStyle w:val="Body"/>
      </w:pPr>
      <w:r>
        <w:rPr>
          <w:rtl w:val="0"/>
        </w:rPr>
        <w:t>Program Design Strategy Papers</w:t>
      </w:r>
    </w:p>
    <w:p>
      <w:pPr>
        <w:pStyle w:val="Body"/>
      </w:pPr>
      <w:r>
        <w:rPr>
          <w:rtl w:val="0"/>
        </w:rPr>
        <w:t>Asset Class and/or Geographical Business Plans</w:t>
      </w:r>
    </w:p>
    <w:p>
      <w:pPr>
        <w:pStyle w:val="Body"/>
      </w:pPr>
      <w:r>
        <w:rPr>
          <w:rtl w:val="0"/>
        </w:rPr>
        <w:t>Capital Allocation Studies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Portfolio Construction &amp; Management</w:t>
      </w:r>
    </w:p>
    <w:p>
      <w:pPr>
        <w:pStyle w:val="Body"/>
      </w:pPr>
      <w:r>
        <w:rPr>
          <w:rtl w:val="0"/>
        </w:rPr>
        <w:t>Segmentation &amp; Mapping</w:t>
      </w:r>
    </w:p>
    <w:p>
      <w:pPr>
        <w:pStyle w:val="Body"/>
      </w:pPr>
      <w:r>
        <w:rPr>
          <w:rtl w:val="0"/>
          <w:lang w:val="it-IT"/>
        </w:rPr>
        <w:t>Portfolio &amp; Liquidity Forecasting</w:t>
      </w:r>
    </w:p>
    <w:p>
      <w:pPr>
        <w:pStyle w:val="Body"/>
      </w:pPr>
      <w:r>
        <w:rPr>
          <w:rtl w:val="0"/>
        </w:rPr>
        <w:t>Manager Benchmarking &amp; Selection</w:t>
      </w:r>
    </w:p>
    <w:p>
      <w:pPr>
        <w:pStyle w:val="Body"/>
      </w:pPr>
    </w:p>
    <w:p>
      <w:pPr>
        <w:pStyle w:val="Body"/>
      </w:pPr>
      <w:r>
        <w:rPr>
          <w:rtl w:val="0"/>
        </w:rPr>
        <w:t>Investment Process</w:t>
      </w:r>
    </w:p>
    <w:p>
      <w:pPr>
        <w:pStyle w:val="Body"/>
      </w:pPr>
      <w:r>
        <w:rPr>
          <w:rtl w:val="0"/>
        </w:rPr>
        <w:t>Investment Process &amp; Approvals Framework</w:t>
      </w:r>
    </w:p>
    <w:p>
      <w:pPr>
        <w:pStyle w:val="Body"/>
      </w:pPr>
      <w:r>
        <w:rPr>
          <w:rtl w:val="0"/>
        </w:rPr>
        <w:t>Due Diligence Best Practices</w:t>
      </w:r>
    </w:p>
    <w:p>
      <w:pPr>
        <w:pStyle w:val="Body"/>
      </w:pPr>
      <w:r>
        <w:rPr>
          <w:rtl w:val="0"/>
        </w:rPr>
        <w:t>Investment Documentation &amp; Presentation  Approaches</w:t>
      </w:r>
    </w:p>
    <w:p>
      <w:pPr>
        <w:pStyle w:val="Body"/>
      </w:pPr>
    </w:p>
    <w:p>
      <w:pPr>
        <w:pStyle w:val="Body"/>
      </w:pPr>
      <w:r>
        <w:rPr>
          <w:rtl w:val="0"/>
        </w:rPr>
        <w:t>Our Value Proposition</w:t>
      </w:r>
    </w:p>
    <w:p>
      <w:pPr>
        <w:pStyle w:val="Body"/>
      </w:pPr>
    </w:p>
    <w:p>
      <w:pPr>
        <w:pStyle w:val="Body"/>
      </w:pPr>
      <w:r>
        <w:rPr>
          <w:rtl w:val="0"/>
        </w:rPr>
        <w:t>Portfolio Design &amp; Development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Program Design Strategy Papers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Asset Class and/or Geographical Business Plans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Capital Allocation Studies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Portfolio Construction &amp; Management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Segmentation &amp; Mapping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  <w:lang w:val="it-IT"/>
        </w:rPr>
        <w:t>Portfolio &amp; Liquidity Forecasting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Manager Benchmarking &amp; Selection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Quarterly and Annual Reporting Constructs</w:t>
      </w:r>
    </w:p>
    <w:p>
      <w:pPr>
        <w:pStyle w:val="Body"/>
      </w:pPr>
    </w:p>
    <w:p>
      <w:pPr>
        <w:pStyle w:val="Body"/>
      </w:pPr>
      <w:r>
        <w:rPr>
          <w:rtl w:val="0"/>
        </w:rPr>
        <w:t>Investment Process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Investment Process &amp; Approvals Framework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Due Diligence Best Practices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Investment Documentation &amp; Presentation Approaches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