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before="100"/>
        <w:jc w:val="center"/>
      </w:pPr>
      <w:r>
        <w:rPr>
          <w:rFonts w:ascii="Calibri" w:cs="Calibri" w:eastAsia="Calibri" w:hAnsi="Calibri"/>
          <w:b/>
          <w:bCs/>
          <w:color w:val="E17A5F"/>
          <w:spacing w:val="30"/>
          <w:sz w:val="20"/>
          <w:szCs w:val="20"/>
        </w:rPr>
        <w:t xml:space="preserve">VERIFIED CONSULTING</w:t>
      </w:r>
    </w:p>
    <w:p>
      <w:pPr>
        <w:spacing w:after="30" w:before="60"/>
        <w:jc w:val="center"/>
      </w:pPr>
      <w:r>
        <w:rPr>
          <w:rFonts w:ascii="Georgia" w:cs="Georgia" w:eastAsia="Georgia" w:hAnsi="Georgia"/>
          <w:b/>
          <w:bCs/>
          <w:color w:val="1A2B6D"/>
          <w:sz w:val="36"/>
          <w:szCs w:val="36"/>
        </w:rPr>
        <w:t xml:space="preserve">Project Change Log</w:t>
      </w:r>
    </w:p>
    <w:p>
      <w:pPr>
        <w:spacing w:after="60"/>
        <w:jc w:val="center"/>
      </w:pPr>
      <w:r>
        <w:rPr>
          <w:rFonts w:ascii="Georgia" w:cs="Georgia" w:eastAsia="Georgia" w:hAnsi="Georgia"/>
          <w:i/>
          <w:iCs/>
          <w:color w:val="7FCAC3"/>
          <w:sz w:val="21"/>
          <w:szCs w:val="21"/>
        </w:rPr>
        <w:t xml:space="preserve">Documentation history — for case study and build write-up purposes</w:t>
      </w:r>
    </w:p>
    <w:p>
      <w:pPr>
        <w:spacing w:after="200"/>
        <w:jc w:val="center"/>
      </w:pPr>
      <w:r>
        <w:rPr>
          <w:rFonts w:ascii="Cambria" w:cs="Cambria" w:eastAsia="Cambria" w:hAnsi="Cambria"/>
          <w:color w:val="6B6B6B"/>
          <w:sz w:val="19"/>
          <w:szCs w:val="19"/>
        </w:rPr>
        <w:t xml:space="preserve">July 8 – September 12,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E8E3" w:val="clear"/>
            <w:tcMar>
              <w:top w:type="dxa" w:w="130"/>
              <w:left w:type="dxa" w:w="170"/>
              <w:bottom w:type="dxa" w:w="130"/>
              <w:right w:type="dxa" w:w="170"/>
            </w:tcMar>
          </w:tcPr>
          <w:p>
            <w:pPr>
              <w:spacing w:after="50"/>
            </w:pPr>
            <w:r>
              <w:rPr>
                <w:rFonts w:ascii="Calibri" w:cs="Calibri" w:eastAsia="Calibri" w:hAnsi="Calibri"/>
                <w:b/>
                <w:bCs/>
                <w:color w:val="1A2B6D"/>
                <w:sz w:val="20"/>
                <w:szCs w:val="20"/>
              </w:rPr>
              <w:t xml:space="preserve">Purpose of this document</w:t>
            </w:r>
          </w:p>
          <w:p>
            <w:r>
              <w:rPr>
                <w:rFonts w:ascii="Cambria" w:cs="Cambria" w:eastAsia="Cambria" w:hAnsi="Cambria"/>
                <w:color w:val="333333"/>
                <w:sz w:val="20"/>
                <w:szCs w:val="20"/>
              </w:rPr>
              <w:t xml:space="preserve">A chronological record of what changed across every project document, why, and what triggered each change — real client conversations, technical research, self-corrections, and repo verification. Intended as raw material for a case study or portfolio write-up on the build process itself, not just the final product.</w:t>
            </w:r>
          </w:p>
        </w:tc>
      </w:tr>
    </w:tbl>
    <w:p>
      <w:pPr>
        <w:spacing w:after="150"/>
      </w:pPr>
    </w:p>
    <w:p>
      <w:pPr>
        <w:pStyle w:val="Heading1"/>
        <w:pBdr>
          <w:bottom w:val="single" w:color="E17A5F" w:sz="6" w:space="4"/>
        </w:pBdr>
        <w:spacing w:after="150" w:before="320"/>
      </w:pPr>
      <w:r>
        <w:rPr>
          <w:rFonts w:ascii="Georgia" w:cs="Georgia" w:eastAsia="Georgia" w:hAnsi="Georgia"/>
          <w:b/>
          <w:bCs/>
          <w:color w:val="1A2B6D"/>
          <w:sz w:val="27"/>
          <w:szCs w:val="27"/>
        </w:rPr>
        <w:t xml:space="preserve">How to Read This Log</w:t>
      </w:r>
    </w:p>
    <w:p>
      <w:pPr>
        <w:spacing w:after="100"/>
      </w:pPr>
      <w:r>
        <w:rPr>
          <w:rFonts w:ascii="Cambria" w:cs="Cambria" w:eastAsia="Cambria" w:hAnsi="Cambria"/>
          <w:b w:val="false"/>
          <w:bCs w:val="false"/>
          <w:i w:val="false"/>
          <w:iCs w:val="false"/>
          <w:color w:val="2B2B2B"/>
          <w:sz w:val="21"/>
          <w:szCs w:val="21"/>
        </w:rPr>
        <w:t xml:space="preserve">Organized chronologically by theme, not by document — most real decisions touched multiple documents at once (a client answer would update the PRD, the build plan, and sometimes the client-facing summary in the same session). Each entry notes what triggered it and what actually changed.</w:t>
      </w:r>
    </w:p>
    <w:p>
      <w:pPr>
        <w:pageBreakBefore/>
      </w:pPr>
    </w:p>
    <w:p>
      <w:pPr>
        <w:pStyle w:val="Heading1"/>
        <w:pBdr>
          <w:bottom w:val="single" w:color="E17A5F" w:sz="6" w:space="4"/>
        </w:pBdr>
        <w:spacing w:after="150" w:before="320"/>
      </w:pPr>
      <w:r>
        <w:rPr>
          <w:rFonts w:ascii="Georgia" w:cs="Georgia" w:eastAsia="Georgia" w:hAnsi="Georgia"/>
          <w:b/>
          <w:bCs/>
          <w:color w:val="1A2B6D"/>
          <w:sz w:val="27"/>
          <w:szCs w:val="27"/>
        </w:rPr>
        <w:t xml:space="preserve">Phase 1 — Discovery &amp; Initial PRD (Jul 8–31)</w:t>
      </w:r>
    </w:p>
    <w:p>
      <w:pPr>
        <w:pStyle w:val="Heading2"/>
        <w:spacing w:after="90" w:before="200"/>
      </w:pPr>
      <w:r>
        <w:rPr>
          <w:rFonts w:ascii="Georgia" w:cs="Georgia" w:eastAsia="Georgia" w:hAnsi="Georgia"/>
          <w:b/>
          <w:bCs/>
          <w:color w:val="E17A5F"/>
          <w:sz w:val="22"/>
          <w:szCs w:val="22"/>
        </w:rPr>
        <w:t xml:space="preserve">What happened</w:t>
      </w:r>
    </w:p>
    <w:p>
      <w:pPr>
        <w:pStyle w:val="ListParagraph"/>
        <w:numPr>
          <w:ilvl w:val="0"/>
          <w:numId w:val="2"/>
        </w:numPr>
        <w:spacing w:after="70"/>
      </w:pPr>
      <w:r>
        <w:rPr>
          <w:rFonts w:ascii="Cambria" w:cs="Cambria" w:eastAsia="Cambria" w:hAnsi="Cambria"/>
          <w:sz w:val="20"/>
          <w:szCs w:val="20"/>
        </w:rPr>
        <w:t xml:space="preserve">Initial Mini PRD drafted (Jul 8), then substantially revised across three live client sessions (Jul 24, 27, 31)</w:t>
      </w:r>
    </w:p>
    <w:p>
      <w:pPr>
        <w:pStyle w:val="ListParagraph"/>
        <w:numPr>
          <w:ilvl w:val="0"/>
          <w:numId w:val="2"/>
        </w:numPr>
        <w:spacing w:after="70"/>
      </w:pPr>
      <w:r>
        <w:rPr>
          <w:rFonts w:ascii="Cambria" w:cs="Cambria" w:eastAsia="Cambria" w:hAnsi="Cambria"/>
          <w:sz w:val="20"/>
          <w:szCs w:val="20"/>
        </w:rPr>
        <w:t xml:space="preserve">Core problem statement locked: automation scoped to finding, valuing, and assembling coverage — not landing it. This distinction came directly from Tenyse's own words in the Jul 24 session and was verified against the raw transcript later when it was questioned.</w:t>
      </w:r>
    </w:p>
    <w:p>
      <w:pPr>
        <w:pStyle w:val="ListParagraph"/>
        <w:numPr>
          <w:ilvl w:val="0"/>
          <w:numId w:val="2"/>
        </w:numPr>
        <w:spacing w:after="70"/>
      </w:pPr>
      <w:r>
        <w:rPr>
          <w:rFonts w:ascii="Cambria" w:cs="Cambria" w:eastAsia="Cambria" w:hAnsi="Cambria"/>
          <w:sz w:val="20"/>
          <w:szCs w:val="20"/>
        </w:rPr>
        <w:t xml:space="preserve">Data model established: placements, clients, campaigns, AVE, lead time (pitch-sent + landed dates, computed on read, never stored — so it can't drift)</w:t>
      </w:r>
    </w:p>
    <w:p>
      <w:pPr>
        <w:pStyle w:val="ListParagraph"/>
        <w:numPr>
          <w:ilvl w:val="0"/>
          <w:numId w:val="2"/>
        </w:numPr>
        <w:spacing w:after="70"/>
      </w:pPr>
      <w:r>
        <w:rPr>
          <w:rFonts w:ascii="Cambria" w:cs="Cambria" w:eastAsia="Cambria" w:hAnsi="Cambria"/>
          <w:sz w:val="20"/>
          <w:szCs w:val="20"/>
        </w:rPr>
        <w:t xml:space="preserve">Canva integration direction set: Bulk Create (Path A, Teams-compatible) vs. Autofill (Path B, tier unverified) — flagged as an open risk, not yet resolved</w:t>
      </w:r>
    </w:p>
    <w:p>
      <w:pPr>
        <w:pStyle w:val="Heading2"/>
        <w:spacing w:after="90" w:before="200"/>
      </w:pPr>
      <w:r>
        <w:rPr>
          <w:rFonts w:ascii="Georgia" w:cs="Georgia" w:eastAsia="Georgia" w:hAnsi="Georgia"/>
          <w:b/>
          <w:bCs/>
          <w:color w:val="E17A5F"/>
          <w:sz w:val="22"/>
          <w:szCs w:val="22"/>
        </w:rPr>
        <w:t xml:space="preserve">Why it changed</w:t>
      </w:r>
    </w:p>
    <w:p>
      <w:pPr>
        <w:spacing w:after="100"/>
      </w:pPr>
      <w:r>
        <w:rPr>
          <w:rFonts w:ascii="Cambria" w:cs="Cambria" w:eastAsia="Cambria" w:hAnsi="Cambria"/>
          <w:b w:val="false"/>
          <w:bCs w:val="false"/>
          <w:i/>
          <w:iCs/>
          <w:color w:val="6B6B6B"/>
          <w:sz w:val="21"/>
          <w:szCs w:val="21"/>
        </w:rPr>
        <w:t xml:space="preserve">Early passes conflated "research" (her real pain point — finding published mentions) with pitching/outreach work she never asked to have automated. Corrected once the actual transcript was checked directly rather than relying on a summarized recollection.</w:t>
      </w:r>
    </w:p>
    <w:p>
      <w:pPr>
        <w:pStyle w:val="Heading1"/>
        <w:pBdr>
          <w:bottom w:val="single" w:color="E17A5F" w:sz="6" w:space="4"/>
        </w:pBdr>
        <w:spacing w:after="150" w:before="320"/>
      </w:pPr>
      <w:r>
        <w:rPr>
          <w:rFonts w:ascii="Georgia" w:cs="Georgia" w:eastAsia="Georgia" w:hAnsi="Georgia"/>
          <w:b/>
          <w:bCs/>
          <w:color w:val="1A2B6D"/>
          <w:sz w:val="27"/>
          <w:szCs w:val="27"/>
        </w:rPr>
        <w:t xml:space="preserve">Phase 2 — Compressed Timeline &amp; Sprint Planning (Aug 1)</w:t>
      </w:r>
    </w:p>
    <w:p>
      <w:pPr>
        <w:pStyle w:val="ListParagraph"/>
        <w:numPr>
          <w:ilvl w:val="0"/>
          <w:numId w:val="2"/>
        </w:numPr>
        <w:spacing w:after="70"/>
      </w:pPr>
      <w:r>
        <w:rPr>
          <w:rFonts w:ascii="Cambria" w:cs="Cambria" w:eastAsia="Cambria" w:hAnsi="Cambria"/>
          <w:sz w:val="20"/>
          <w:szCs w:val="20"/>
        </w:rPr>
        <w:t xml:space="preserve">Deadline compressed from ~10 weeks to 4 (Aug 28 feature-complete gate) — required an explicit, ranked cut list rather than assuming everything still fit</w:t>
      </w:r>
    </w:p>
    <w:p>
      <w:pPr>
        <w:pStyle w:val="ListParagraph"/>
        <w:numPr>
          <w:ilvl w:val="0"/>
          <w:numId w:val="2"/>
        </w:numPr>
        <w:spacing w:after="70"/>
      </w:pPr>
      <w:r>
        <w:rPr>
          <w:rFonts w:ascii="Cambria" w:cs="Cambria" w:eastAsia="Cambria" w:hAnsi="Cambria"/>
          <w:sz w:val="20"/>
          <w:szCs w:val="20"/>
        </w:rPr>
        <w:t xml:space="preserve">Repo review found the client-side dashboard already built as a full componentized UI — shifted Week 1's real priority from "build the dashboard" to "wire it to real data"</w:t>
      </w:r>
    </w:p>
    <w:p>
      <w:pPr>
        <w:pStyle w:val="ListParagraph"/>
        <w:numPr>
          <w:ilvl w:val="0"/>
          <w:numId w:val="2"/>
        </w:numPr>
        <w:spacing w:after="70"/>
      </w:pPr>
      <w:r>
        <w:rPr>
          <w:rFonts w:ascii="Cambria" w:cs="Cambria" w:eastAsia="Cambria" w:hAnsi="Cambria"/>
          <w:sz w:val="20"/>
          <w:szCs w:val="20"/>
        </w:rPr>
        <w:t xml:space="preserve">Storage architecture decided: Supabase (hot data) + Tenyse's existing Google One 2TB (cold archive, $0 marginal cost) — after ruling out Google Drive as the live database entirely (latency, no query capability, would require building a second database just to hold folder-mapping data)</w:t>
      </w:r>
    </w:p>
    <w:p>
      <w:pPr>
        <w:pStyle w:val="Heading1"/>
        <w:pBdr>
          <w:bottom w:val="single" w:color="E17A5F" w:sz="6" w:space="4"/>
        </w:pBdr>
        <w:spacing w:after="150" w:before="320"/>
      </w:pPr>
      <w:r>
        <w:rPr>
          <w:rFonts w:ascii="Georgia" w:cs="Georgia" w:eastAsia="Georgia" w:hAnsi="Georgia"/>
          <w:b/>
          <w:bCs/>
          <w:color w:val="1A2B6D"/>
          <w:sz w:val="27"/>
          <w:szCs w:val="27"/>
        </w:rPr>
        <w:t xml:space="preserve">Phase 3 — Official Program Alignment (Aug 1–7)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E8E3" w:val="clear"/>
            <w:tcMar>
              <w:top w:type="dxa" w:w="130"/>
              <w:left w:type="dxa" w:w="170"/>
              <w:bottom w:type="dxa" w:w="130"/>
              <w:right w:type="dxa" w:w="170"/>
            </w:tcMar>
          </w:tcPr>
          <w:p>
            <w:pPr>
              <w:spacing w:after="50"/>
            </w:pPr>
            <w:r>
              <w:rPr>
                <w:rFonts w:ascii="Calibri" w:cs="Calibri" w:eastAsia="Calibri" w:hAnsi="Calibri"/>
                <w:b/>
                <w:bCs/>
                <w:color w:val="3D6B4F"/>
                <w:sz w:val="20"/>
                <w:szCs w:val="20"/>
              </w:rPr>
              <w:t xml:space="preserve">Trigger: official Pursuit deliverables doc uploaded</w:t>
            </w:r>
          </w:p>
          <w:p>
            <w:r>
              <w:rPr>
                <w:rFonts w:ascii="Cambria" w:cs="Cambria" w:eastAsia="Cambria" w:hAnsi="Cambria"/>
                <w:color w:val="333333"/>
                <w:sz w:val="20"/>
                <w:szCs w:val="20"/>
              </w:rPr>
              <w:t xml:space="preserve">The build plan was restructured entirely around Pursuit's actual weekly deliverables (not an internally invented schedule), extending the real timeline through Sept 23 Demo Day rather than treating Aug 28 as the true end. Standing non-negotiables (CC Stef on all communications, daily standup, blocker-flagging within 3 days) became permanent fixtures in the build plan.</w:t>
            </w:r>
          </w:p>
        </w:tc>
      </w:tr>
    </w:tbl>
    <w:p>
      <w:pPr>
        <w:pStyle w:val="ListParagraph"/>
        <w:numPr>
          <w:ilvl w:val="0"/>
          <w:numId w:val="2"/>
        </w:numPr>
        <w:spacing w:after="70"/>
      </w:pPr>
      <w:r>
        <w:rPr>
          <w:rFonts w:ascii="Cambria" w:cs="Cambria" w:eastAsia="Cambria" w:hAnsi="Cambria"/>
          <w:sz w:val="20"/>
          <w:szCs w:val="20"/>
        </w:rPr>
        <w:t xml:space="preserve">PRD gaps closed: Required Access status table (received/promised/not yet raised), Data Inventory table — both explicitly required by the official program, neither existed before</w:t>
      </w:r>
    </w:p>
    <w:p>
      <w:pPr>
        <w:pStyle w:val="ListParagraph"/>
        <w:numPr>
          <w:ilvl w:val="0"/>
          <w:numId w:val="2"/>
        </w:numPr>
        <w:spacing w:after="70"/>
      </w:pPr>
      <w:r>
        <w:rPr>
          <w:rFonts w:ascii="Cambria" w:cs="Cambria" w:eastAsia="Cambria" w:hAnsi="Cambria"/>
          <w:sz w:val="20"/>
          <w:szCs w:val="20"/>
        </w:rPr>
        <w:t xml:space="preserve">Account ownership corrected: every service account must be created under Tenyse's name from day one, not the builder's — a real process correction, not just documentation</w:t>
      </w:r>
    </w:p>
    <w:p>
      <w:pPr>
        <w:pStyle w:val="ListParagraph"/>
        <w:numPr>
          <w:ilvl w:val="0"/>
          <w:numId w:val="2"/>
        </w:numPr>
        <w:spacing w:after="70"/>
      </w:pPr>
      <w:r>
        <w:rPr>
          <w:rFonts w:ascii="Cambria" w:cs="Cambria" w:eastAsia="Cambria" w:hAnsi="Cambria"/>
          <w:sz w:val="20"/>
          <w:szCs w:val="20"/>
        </w:rPr>
        <w:t xml:space="preserve">Canva Autofill definitively ruled out (Aug 7) — verified directly against Canva's own developer docs, not just assumed. Closed a risk that had been open since the very first PRD.</w:t>
      </w:r>
    </w:p>
    <w:p>
      <w:pPr>
        <w:pageBreakBefore/>
      </w:pPr>
    </w:p>
    <w:p>
      <w:pPr>
        <w:pStyle w:val="Heading1"/>
        <w:pBdr>
          <w:bottom w:val="single" w:color="E17A5F" w:sz="6" w:space="4"/>
        </w:pBdr>
        <w:spacing w:after="150" w:before="320"/>
      </w:pPr>
      <w:r>
        <w:rPr>
          <w:rFonts w:ascii="Georgia" w:cs="Georgia" w:eastAsia="Georgia" w:hAnsi="Georgia"/>
          <w:b/>
          <w:bCs/>
          <w:color w:val="1A2B6D"/>
          <w:sz w:val="27"/>
          <w:szCs w:val="27"/>
        </w:rPr>
        <w:t xml:space="preserve">Phase 4 — Real Client Materials Change the Picture (Aug 1)</w:t>
      </w:r>
    </w:p>
    <w:p>
      <w:pPr>
        <w:pStyle w:val="Heading2"/>
        <w:spacing w:after="90" w:before="200"/>
      </w:pPr>
      <w:r>
        <w:rPr>
          <w:rFonts w:ascii="Georgia" w:cs="Georgia" w:eastAsia="Georgia" w:hAnsi="Georgia"/>
          <w:b/>
          <w:bCs/>
          <w:color w:val="E17A5F"/>
          <w:sz w:val="22"/>
          <w:szCs w:val="22"/>
        </w:rPr>
        <w:t xml:space="preserve">A single batch of screenshots corrected several assumptions at once</w:t>
      </w:r>
    </w:p>
    <w:p>
      <w:pPr>
        <w:pStyle w:val="ListParagraph"/>
        <w:numPr>
          <w:ilvl w:val="0"/>
          <w:numId w:val="2"/>
        </w:numPr>
        <w:spacing w:after="70"/>
      </w:pPr>
      <w:r>
        <w:rPr>
          <w:rFonts w:ascii="Cambria" w:cs="Cambria" w:eastAsia="Cambria" w:hAnsi="Cambria"/>
          <w:sz w:val="20"/>
          <w:szCs w:val="20"/>
        </w:rPr>
        <w:t xml:space="preserve">AVE data sources: her reports cited Meltwater, CoverageBook, SimilarWeb, NewsEdge — reframed from "a gap to fill" to "validation of the core problem," since these are exactly the $30–50K/year tools this build exists to make unnecessary</w:t>
      </w:r>
    </w:p>
    <w:p>
      <w:pPr>
        <w:pStyle w:val="ListParagraph"/>
        <w:numPr>
          <w:ilvl w:val="0"/>
          <w:numId w:val="2"/>
        </w:numPr>
        <w:spacing w:after="70"/>
      </w:pPr>
      <w:r>
        <w:rPr>
          <w:rFonts w:ascii="Cambria" w:cs="Cambria" w:eastAsia="Cambria" w:hAnsi="Cambria"/>
          <w:sz w:val="20"/>
          <w:szCs w:val="20"/>
        </w:rPr>
        <w:t xml:space="preserve">Found a likely template artifact: two different clients showed identical $492,198 AVE / 14.2M reach figures — flagged for calibration purposes, later deliberately excluded from the client-facing document as not worth raising</w:t>
      </w:r>
    </w:p>
    <w:p>
      <w:pPr>
        <w:pStyle w:val="ListParagraph"/>
        <w:numPr>
          <w:ilvl w:val="0"/>
          <w:numId w:val="2"/>
        </w:numPr>
        <w:spacing w:after="70"/>
      </w:pPr>
      <w:r>
        <w:rPr>
          <w:rFonts w:ascii="Cambria" w:cs="Cambria" w:eastAsia="Cambria" w:hAnsi="Cambria"/>
          <w:sz w:val="20"/>
          <w:szCs w:val="20"/>
        </w:rPr>
        <w:t xml:space="preserve">Confirmed field definitions sourced directly from her own materials (Publicity Value, not AVE; Potential/Audience Reach; Tone &amp; Sentiment) rather than inferred</w:t>
      </w:r>
    </w:p>
    <w:p>
      <w:pPr>
        <w:pStyle w:val="ListParagraph"/>
        <w:numPr>
          <w:ilvl w:val="0"/>
          <w:numId w:val="2"/>
        </w:numPr>
        <w:spacing w:after="70"/>
      </w:pPr>
      <w:r>
        <w:rPr>
          <w:rFonts w:ascii="Cambria" w:cs="Cambria" w:eastAsia="Cambria" w:hAnsi="Cambria"/>
          <w:sz w:val="20"/>
          <w:szCs w:val="20"/>
        </w:rPr>
        <w:t xml:space="preserve">Discovered a real scope question never asked before: some of her past work was social-media-only, no press placements at all — later resolved directly (Aug 10): she no longer takes these</w:t>
      </w:r>
    </w:p>
    <w:p>
      <w:pPr>
        <w:pStyle w:val="Heading1"/>
        <w:pBdr>
          <w:bottom w:val="single" w:color="E17A5F" w:sz="6" w:space="4"/>
        </w:pBdr>
        <w:spacing w:after="150" w:before="320"/>
      </w:pPr>
      <w:r>
        <w:rPr>
          <w:rFonts w:ascii="Georgia" w:cs="Georgia" w:eastAsia="Georgia" w:hAnsi="Georgia"/>
          <w:b/>
          <w:bCs/>
          <w:color w:val="1A2B6D"/>
          <w:sz w:val="27"/>
          <w:szCs w:val="27"/>
        </w:rPr>
        <w:t xml:space="preserve">Phase 5 — Two Parallel Documents (Aug 1)</w:t>
      </w:r>
    </w:p>
    <w:p>
      <w:pPr>
        <w:spacing w:after="100"/>
      </w:pPr>
      <w:r>
        <w:rPr>
          <w:rFonts w:ascii="Cambria" w:cs="Cambria" w:eastAsia="Cambria" w:hAnsi="Cambria"/>
          <w:b w:val="false"/>
          <w:bCs w:val="false"/>
          <w:i w:val="false"/>
          <w:iCs w:val="false"/>
          <w:color w:val="2B2B2B"/>
          <w:sz w:val="21"/>
          <w:szCs w:val="21"/>
        </w:rPr>
        <w:t xml:space="preserve">Split the single PRD into two: a technical version for Stef, and a plain-language version for Tenyse — stripped of engineering detail, with two sections explicitly flagged "please review" since Pursuit's program requires the client's own words on Goals and Deliverables, not the builder's.</w:t>
      </w:r>
    </w:p>
    <w:p>
      <w:pPr>
        <w:pStyle w:val="ListParagraph"/>
        <w:numPr>
          <w:ilvl w:val="0"/>
          <w:numId w:val="2"/>
        </w:numPr>
        <w:spacing w:after="70"/>
      </w:pPr>
      <w:r>
        <w:rPr>
          <w:rFonts w:ascii="Cambria" w:cs="Cambria" w:eastAsia="Cambria" w:hAnsi="Cambria"/>
          <w:sz w:val="20"/>
          <w:szCs w:val="20"/>
        </w:rPr>
        <w:t xml:space="preserve">The client sent back her own edits, incorporated directly — including a deliberate decision to drop a question (about Meltwater/CoverageBook subscriptions) that felt too in-the-weeds for that document, kept as an internal-only note instead</w:t>
      </w:r>
    </w:p>
    <w:p>
      <w:pPr>
        <w:pStyle w:val="Heading1"/>
        <w:pBdr>
          <w:bottom w:val="single" w:color="E17A5F" w:sz="6" w:space="4"/>
        </w:pBdr>
        <w:spacing w:after="150" w:before="320"/>
      </w:pPr>
      <w:r>
        <w:rPr>
          <w:rFonts w:ascii="Georgia" w:cs="Georgia" w:eastAsia="Georgia" w:hAnsi="Georgia"/>
          <w:b/>
          <w:bCs/>
          <w:color w:val="1A2B6D"/>
          <w:sz w:val="27"/>
          <w:szCs w:val="27"/>
        </w:rPr>
        <w:t xml:space="preserve">Phase 6 — Repo Verification Becomes a Recurring Practice (Aug 3–14)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E8E3" w:val="clear"/>
            <w:tcMar>
              <w:top w:type="dxa" w:w="130"/>
              <w:left w:type="dxa" w:w="170"/>
              <w:bottom w:type="dxa" w:w="130"/>
              <w:right w:type="dxa" w:w="170"/>
            </w:tcMar>
          </w:tcPr>
          <w:p>
            <w:pPr>
              <w:spacing w:after="50"/>
            </w:pPr>
            <w:r>
              <w:rPr>
                <w:rFonts w:ascii="Calibri" w:cs="Calibri" w:eastAsia="Calibri" w:hAnsi="Calibri"/>
                <w:b/>
                <w:bCs/>
                <w:color w:val="E17A5F"/>
                <w:sz w:val="20"/>
                <w:szCs w:val="20"/>
              </w:rPr>
              <w:t xml:space="preserve">A pattern worth naming for the case study</w:t>
            </w:r>
          </w:p>
          <w:p>
            <w:r>
              <w:rPr>
                <w:rFonts w:ascii="Cambria" w:cs="Cambria" w:eastAsia="Cambria" w:hAnsi="Cambria"/>
                <w:color w:val="333333"/>
                <w:sz w:val="20"/>
                <w:szCs w:val="20"/>
              </w:rPr>
              <w:t xml:space="preserve">Multiple times, a status update (from VS Code sessions or from the builder's own memory) described work as "done" that turned out to be built and tested locally but never pushed to GitHub. Caught each time by checking the actual repo directly rather than trusting the report — including once catching a claim ("access to a live database") that had already gone out publicly and needed a correction posted.</w:t>
            </w:r>
          </w:p>
        </w:tc>
      </w:tr>
    </w:tbl>
    <w:p>
      <w:pPr>
        <w:pStyle w:val="ListParagraph"/>
        <w:numPr>
          <w:ilvl w:val="0"/>
          <w:numId w:val="2"/>
        </w:numPr>
        <w:spacing w:after="70"/>
      </w:pPr>
      <w:r>
        <w:rPr>
          <w:rFonts w:ascii="Cambria" w:cs="Cambria" w:eastAsia="Cambria" w:hAnsi="Cambria"/>
          <w:sz w:val="20"/>
          <w:szCs w:val="20"/>
        </w:rPr>
        <w:t xml:space="preserve">Aug 7–8: backend architecture (RLS, campaign_milestones table, Supabase-integrated routes) sat local-only for 2 days before being caught and pushed</w:t>
      </w:r>
    </w:p>
    <w:p>
      <w:pPr>
        <w:pStyle w:val="ListParagraph"/>
        <w:numPr>
          <w:ilvl w:val="0"/>
          <w:numId w:val="2"/>
        </w:numPr>
        <w:spacing w:after="70"/>
      </w:pPr>
      <w:r>
        <w:rPr>
          <w:rFonts w:ascii="Cambria" w:cs="Cambria" w:eastAsia="Cambria" w:hAnsi="Cambria"/>
          <w:sz w:val="20"/>
          <w:szCs w:val="20"/>
        </w:rPr>
        <w:t xml:space="preserve">Aug 11–13: a full day of AVE agent, prompt template, and coaching toggle work sat entirely uncommitted — confirmed via direct repo check before it went into a check-in</w:t>
      </w:r>
    </w:p>
    <w:p>
      <w:pPr>
        <w:pStyle w:val="ListParagraph"/>
        <w:numPr>
          <w:ilvl w:val="0"/>
          <w:numId w:val="2"/>
        </w:numPr>
        <w:spacing w:after="70"/>
      </w:pPr>
      <w:r>
        <w:rPr>
          <w:rFonts w:ascii="Cambria" w:cs="Cambria" w:eastAsia="Cambria" w:hAnsi="Cambria"/>
          <w:sz w:val="20"/>
          <w:szCs w:val="20"/>
        </w:rPr>
        <w:t xml:space="preserve">Aug 17: the reverse finding — verification showed real progress (executive summary approval gate, AVE storage layer) had actually landed on GitHub since the last check, updating the picture positively</w:t>
      </w:r>
    </w:p>
    <w:p>
      <w:pPr>
        <w:pageBreakBefore/>
      </w:pPr>
    </w:p>
    <w:p>
      <w:pPr>
        <w:pStyle w:val="Heading1"/>
        <w:pBdr>
          <w:bottom w:val="single" w:color="E17A5F" w:sz="6" w:space="4"/>
        </w:pBdr>
        <w:spacing w:after="150" w:before="320"/>
      </w:pPr>
      <w:r>
        <w:rPr>
          <w:rFonts w:ascii="Georgia" w:cs="Georgia" w:eastAsia="Georgia" w:hAnsi="Georgia"/>
          <w:b/>
          <w:bCs/>
          <w:color w:val="1A2B6D"/>
          <w:sz w:val="27"/>
          <w:szCs w:val="27"/>
        </w:rPr>
        <w:t xml:space="preserve">Phase 7 — Client Session Resolves Several Open Threads at Once (Aug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1A2B6D" w:val="clear"/>
            <w:tcMar>
              <w:top w:type="dxa" w:w="90"/>
              <w:left w:type="dxa" w:w="100"/>
              <w:bottom w:type="dxa" w:w="90"/>
              <w:right w:type="dxa" w:w="100"/>
            </w:tcMar>
          </w:tcPr>
          <w:p>
            <w:r>
              <w:rPr>
                <w:rFonts w:ascii="Calibri" w:cs="Calibri" w:eastAsia="Calibri" w:hAnsi="Calibri"/>
                <w:b/>
                <w:bCs/>
                <w:color w:val="FFFFFF"/>
                <w:sz w:val="18"/>
                <w:szCs w:val="18"/>
              </w:rPr>
              <w:t xml:space="preserve">Question</w:t>
            </w:r>
          </w:p>
        </w:tc>
        <w:tc>
          <w:tcPr>
            <w:tcW w:type="dxa" w:w="6880"/>
            <w:shd w:fill="1A2B6D" w:val="clear"/>
            <w:tcMar>
              <w:top w:type="dxa" w:w="90"/>
              <w:left w:type="dxa" w:w="100"/>
              <w:bottom w:type="dxa" w:w="90"/>
              <w:right w:type="dxa" w:w="100"/>
            </w:tcMar>
          </w:tcPr>
          <w:p>
            <w:r>
              <w:rPr>
                <w:rFonts w:ascii="Calibri" w:cs="Calibri" w:eastAsia="Calibri" w:hAnsi="Calibri"/>
                <w:b/>
                <w:bCs/>
                <w:color w:val="FFFFFF"/>
                <w:sz w:val="18"/>
                <w:szCs w:val="18"/>
              </w:rPr>
              <w:t xml:space="preserve">Resolution</w:t>
            </w:r>
          </w:p>
        </w:tc>
      </w:tr>
      <w:tr>
        <w:tc>
          <w:tcPr>
            <w:tcW w:type="dxa" w:w="3200"/>
            <w:tcMar>
              <w:top w:type="dxa" w:w="90"/>
              <w:left w:type="dxa" w:w="100"/>
              <w:bottom w:type="dxa" w:w="90"/>
              <w:right w:type="dxa" w:w="100"/>
            </w:tcMar>
          </w:tcPr>
          <w:p>
            <w:r>
              <w:rPr>
                <w:rFonts w:ascii="Cambria" w:cs="Cambria" w:eastAsia="Cambria" w:hAnsi="Cambria"/>
                <w:sz w:val="18"/>
                <w:szCs w:val="18"/>
              </w:rPr>
              <w:t xml:space="preserve">Social-media-only clients?</w:t>
            </w:r>
          </w:p>
        </w:tc>
        <w:tc>
          <w:tcPr>
            <w:tcW w:type="dxa" w:w="6880"/>
            <w:tcMar>
              <w:top w:type="dxa" w:w="90"/>
              <w:left w:type="dxa" w:w="100"/>
              <w:bottom w:type="dxa" w:w="90"/>
              <w:right w:type="dxa" w:w="100"/>
            </w:tcMar>
          </w:tcPr>
          <w:p>
            <w:r>
              <w:rPr>
                <w:rFonts w:ascii="Cambria" w:cs="Cambria" w:eastAsia="Cambria" w:hAnsi="Cambria"/>
                <w:sz w:val="18"/>
                <w:szCs w:val="18"/>
              </w:rPr>
              <w:t xml:space="preserve">No — she confirmed she no longer takes these</w:t>
            </w:r>
          </w:p>
        </w:tc>
      </w:tr>
      <w:tr>
        <w:tc>
          <w:tcPr>
            <w:tcW w:type="dxa" w:w="3200"/>
            <w:tcMar>
              <w:top w:type="dxa" w:w="90"/>
              <w:left w:type="dxa" w:w="100"/>
              <w:bottom w:type="dxa" w:w="90"/>
              <w:right w:type="dxa" w:w="100"/>
            </w:tcMar>
          </w:tcPr>
          <w:p>
            <w:r>
              <w:rPr>
                <w:rFonts w:ascii="Cambria" w:cs="Cambria" w:eastAsia="Cambria" w:hAnsi="Cambria"/>
                <w:sz w:val="18"/>
                <w:szCs w:val="18"/>
              </w:rPr>
              <w:t xml:space="preserve">Coverage Books subscription?</w:t>
            </w:r>
          </w:p>
        </w:tc>
        <w:tc>
          <w:tcPr>
            <w:tcW w:type="dxa" w:w="6880"/>
            <w:tcMar>
              <w:top w:type="dxa" w:w="90"/>
              <w:left w:type="dxa" w:w="100"/>
              <w:bottom w:type="dxa" w:w="90"/>
              <w:right w:type="dxa" w:w="100"/>
            </w:tcMar>
          </w:tcPr>
          <w:p>
            <w:r>
              <w:rPr>
                <w:rFonts w:ascii="Cambria" w:cs="Cambria" w:eastAsia="Cambria" w:hAnsi="Cambria"/>
                <w:sz w:val="18"/>
                <w:szCs w:val="18"/>
              </w:rPr>
              <w:t xml:space="preserve">Confirmed her own past subscription, not partner-provided</w:t>
            </w:r>
          </w:p>
        </w:tc>
      </w:tr>
      <w:tr>
        <w:tc>
          <w:tcPr>
            <w:tcW w:type="dxa" w:w="3200"/>
            <w:tcMar>
              <w:top w:type="dxa" w:w="90"/>
              <w:left w:type="dxa" w:w="100"/>
              <w:bottom w:type="dxa" w:w="90"/>
              <w:right w:type="dxa" w:w="100"/>
            </w:tcMar>
          </w:tcPr>
          <w:p>
            <w:r>
              <w:rPr>
                <w:rFonts w:ascii="Cambria" w:cs="Cambria" w:eastAsia="Cambria" w:hAnsi="Cambria"/>
                <w:sz w:val="18"/>
                <w:szCs w:val="18"/>
              </w:rPr>
              <w:t xml:space="preserve">Supabase free-tier pause interval?</w:t>
            </w:r>
          </w:p>
        </w:tc>
        <w:tc>
          <w:tcPr>
            <w:tcW w:type="dxa" w:w="6880"/>
            <w:tcMar>
              <w:top w:type="dxa" w:w="90"/>
              <w:left w:type="dxa" w:w="100"/>
              <w:bottom w:type="dxa" w:w="90"/>
              <w:right w:type="dxa" w:w="100"/>
            </w:tcMar>
          </w:tcPr>
          <w:p>
            <w:r>
              <w:rPr>
                <w:rFonts w:ascii="Cambria" w:cs="Cambria" w:eastAsia="Cambria" w:hAnsi="Cambria"/>
                <w:sz w:val="18"/>
                <w:szCs w:val="18"/>
              </w:rPr>
              <w:t xml:space="preserve">Corrected from a stated "two weeks" to the real 7 days</w:t>
            </w:r>
          </w:p>
        </w:tc>
      </w:tr>
      <w:tr>
        <w:tc>
          <w:tcPr>
            <w:tcW w:type="dxa" w:w="3200"/>
            <w:tcMar>
              <w:top w:type="dxa" w:w="90"/>
              <w:left w:type="dxa" w:w="100"/>
              <w:bottom w:type="dxa" w:w="90"/>
              <w:right w:type="dxa" w:w="100"/>
            </w:tcMar>
          </w:tcPr>
          <w:p>
            <w:r>
              <w:rPr>
                <w:rFonts w:ascii="Cambria" w:cs="Cambria" w:eastAsia="Cambria" w:hAnsi="Cambria"/>
                <w:sz w:val="18"/>
                <w:szCs w:val="18"/>
              </w:rPr>
              <w:t xml:space="preserve">Base44 + Supabase compatible?</w:t>
            </w:r>
          </w:p>
        </w:tc>
        <w:tc>
          <w:tcPr>
            <w:tcW w:type="dxa" w:w="6880"/>
            <w:tcMar>
              <w:top w:type="dxa" w:w="90"/>
              <w:left w:type="dxa" w:w="100"/>
              <w:bottom w:type="dxa" w:w="90"/>
              <w:right w:type="dxa" w:w="100"/>
            </w:tcMar>
          </w:tcPr>
          <w:p>
            <w:r>
              <w:rPr>
                <w:rFonts w:ascii="Cambria" w:cs="Cambria" w:eastAsia="Cambria" w:hAnsi="Cambria"/>
                <w:sz w:val="18"/>
                <w:szCs w:val="18"/>
              </w:rPr>
              <w:t xml:space="preserve">Yes, confirmed — as long as the API connection is set up correctly</w:t>
            </w:r>
          </w:p>
        </w:tc>
      </w:tr>
      <w:tr>
        <w:tc>
          <w:tcPr>
            <w:tcW w:type="dxa" w:w="3200"/>
            <w:tcMar>
              <w:top w:type="dxa" w:w="90"/>
              <w:left w:type="dxa" w:w="100"/>
              <w:bottom w:type="dxa" w:w="90"/>
              <w:right w:type="dxa" w:w="100"/>
            </w:tcMar>
          </w:tcPr>
          <w:p>
            <w:r>
              <w:rPr>
                <w:rFonts w:ascii="Cambria" w:cs="Cambria" w:eastAsia="Cambria" w:hAnsi="Cambria"/>
                <w:sz w:val="18"/>
                <w:szCs w:val="18"/>
              </w:rPr>
              <w:t xml:space="preserve">Coaching program in scope?</w:t>
            </w:r>
          </w:p>
        </w:tc>
        <w:tc>
          <w:tcPr>
            <w:tcW w:type="dxa" w:w="6880"/>
            <w:tcMar>
              <w:top w:type="dxa" w:w="90"/>
              <w:left w:type="dxa" w:w="100"/>
              <w:bottom w:type="dxa" w:w="90"/>
              <w:right w:type="dxa" w:w="100"/>
            </w:tcMar>
          </w:tcPr>
          <w:p>
            <w:r>
              <w:rPr>
                <w:rFonts w:ascii="Cambria" w:cs="Cambria" w:eastAsia="Cambria" w:hAnsi="Cambria"/>
                <w:sz w:val="18"/>
                <w:szCs w:val="18"/>
              </w:rPr>
              <w:t xml:space="preserve">A real reversal of earlier deferred scope — narrowed specifically to a non-functional prototype toggle page before Aug 28, full V1 build after</w:t>
            </w:r>
          </w:p>
        </w:tc>
      </w:tr>
    </w:tbl>
    <w:p>
      <w:pPr>
        <w:spacing w:after="100"/>
      </w:pPr>
      <w:r>
        <w:rPr>
          <w:rFonts w:ascii="Cambria" w:cs="Cambria" w:eastAsia="Cambria" w:hAnsi="Cambria"/>
          <w:b w:val="false"/>
          <w:bCs w:val="false"/>
          <w:i/>
          <w:iCs/>
          <w:color w:val="6B6B6B"/>
          <w:sz w:val="21"/>
          <w:szCs w:val="21"/>
        </w:rPr>
        <w:t xml:space="preserve">The coaching program moment is worth noting for a case study specifically: the client sent a genuinely detailed, well-architected V1 spec unprompted. Rather than either building all of it (timeline risk) or rejecting it outright, the resolution was a narrow, explicit scope boundary — communicated back to her in writing so expectations matched reality on both sides.</w:t>
      </w:r>
    </w:p>
    <w:p>
      <w:pPr>
        <w:pStyle w:val="Heading1"/>
        <w:pBdr>
          <w:bottom w:val="single" w:color="E17A5F" w:sz="6" w:space="4"/>
        </w:pBdr>
        <w:spacing w:after="150" w:before="320"/>
      </w:pPr>
      <w:r>
        <w:rPr>
          <w:rFonts w:ascii="Georgia" w:cs="Georgia" w:eastAsia="Georgia" w:hAnsi="Georgia"/>
          <w:b/>
          <w:bCs/>
          <w:color w:val="1A2B6D"/>
          <w:sz w:val="27"/>
          <w:szCs w:val="27"/>
        </w:rPr>
        <w:t xml:space="preserve">Phase 8 — Technical Deep Dives, Explained Then Applied (Aug 3–17)</w:t>
      </w:r>
    </w:p>
    <w:p>
      <w:pPr>
        <w:spacing w:after="100"/>
      </w:pPr>
      <w:r>
        <w:rPr>
          <w:rFonts w:ascii="Cambria" w:cs="Cambria" w:eastAsia="Cambria" w:hAnsi="Cambria"/>
          <w:b w:val="false"/>
          <w:bCs w:val="false"/>
          <w:i w:val="false"/>
          <w:iCs w:val="false"/>
          <w:color w:val="2B2B2B"/>
          <w:sz w:val="21"/>
          <w:szCs w:val="21"/>
        </w:rPr>
        <w:t xml:space="preserve">Several technical concepts were worked through in plain language before being turned into architecture decisions — useful case study material on the reasoning process itself, not just the outcome.</w:t>
      </w:r>
    </w:p>
    <w:p>
      <w:pPr>
        <w:pStyle w:val="ListParagraph"/>
        <w:numPr>
          <w:ilvl w:val="0"/>
          <w:numId w:val="2"/>
        </w:numPr>
        <w:spacing w:after="70"/>
      </w:pPr>
      <w:r>
        <w:rPr>
          <w:rFonts w:ascii="Cambria" w:cs="Cambria" w:eastAsia="Cambria" w:hAnsi="Cambria"/>
          <w:sz w:val="20"/>
          <w:szCs w:val="20"/>
        </w:rPr>
        <w:t xml:space="preserve">Row Level Security explained mechanically (policies enforced at the database layer, fail-safe by default) before being written into the schema</w:t>
      </w:r>
    </w:p>
    <w:p>
      <w:pPr>
        <w:pStyle w:val="ListParagraph"/>
        <w:numPr>
          <w:ilvl w:val="0"/>
          <w:numId w:val="2"/>
        </w:numPr>
        <w:spacing w:after="70"/>
      </w:pPr>
      <w:r>
        <w:rPr>
          <w:rFonts w:ascii="Cambria" w:cs="Cambria" w:eastAsia="Cambria" w:hAnsi="Cambria"/>
          <w:sz w:val="20"/>
          <w:szCs w:val="20"/>
        </w:rPr>
        <w:t xml:space="preserve">The full "why not build this on Google Drive" case worked out in real technical detail — latency math, the custom access-control layer that would be required, the realization that a mapping database would still be needed — landing on a confident, reusable explanation rather than just "it won't work"</w:t>
      </w:r>
    </w:p>
    <w:p>
      <w:pPr>
        <w:pStyle w:val="ListParagraph"/>
        <w:numPr>
          <w:ilvl w:val="0"/>
          <w:numId w:val="2"/>
        </w:numPr>
        <w:spacing w:after="70"/>
      </w:pPr>
      <w:r>
        <w:rPr>
          <w:rFonts w:ascii="Cambria" w:cs="Cambria" w:eastAsia="Cambria" w:hAnsi="Cambria"/>
          <w:sz w:val="20"/>
          <w:szCs w:val="20"/>
        </w:rPr>
        <w:t xml:space="preserve">AI provider decision (Aug 17): Claude primary, GPT fallback, Gemini deliberately deferred — reasoned through as a tradeoff between redundancy and maintenance cost for a solo-client tool, not a default choice</w:t>
      </w:r>
    </w:p>
    <w:p>
      <w:pPr>
        <w:pStyle w:val="ListParagraph"/>
        <w:numPr>
          <w:ilvl w:val="0"/>
          <w:numId w:val="2"/>
        </w:numPr>
        <w:spacing w:after="70"/>
      </w:pPr>
      <w:r>
        <w:rPr>
          <w:rFonts w:ascii="Cambria" w:cs="Cambria" w:eastAsia="Cambria" w:hAnsi="Cambria"/>
          <w:sz w:val="20"/>
          <w:szCs w:val="20"/>
        </w:rPr>
        <w:t xml:space="preserve">Perplexity scoped narrowly to AVE research only, explicitly rejected for Discovery Agent — reasoned from the actual shape of each task (synthesis vs. enumeration), not just "more AI is better"</w:t>
      </w:r>
    </w:p>
    <w:p>
      <w:pPr>
        <w:pStyle w:val="Heading1"/>
        <w:pBdr>
          <w:bottom w:val="single" w:color="E17A5F" w:sz="6" w:space="4"/>
        </w:pBdr>
        <w:spacing w:after="150" w:before="320"/>
      </w:pPr>
      <w:r>
        <w:rPr>
          <w:rFonts w:ascii="Georgia" w:cs="Georgia" w:eastAsia="Georgia" w:hAnsi="Georgia"/>
          <w:b/>
          <w:bCs/>
          <w:color w:val="1A2B6D"/>
          <w:sz w:val="27"/>
          <w:szCs w:val="27"/>
        </w:rPr>
        <w:t xml:space="preserve">Phase 9 — Accuracy Corrections, Documented Rather Than Hidden</w:t>
      </w:r>
    </w:p>
    <w:p>
      <w:pPr>
        <w:spacing w:after="100"/>
      </w:pPr>
      <w:r>
        <w:rPr>
          <w:rFonts w:ascii="Cambria" w:cs="Cambria" w:eastAsia="Cambria" w:hAnsi="Cambria"/>
          <w:b w:val="false"/>
          <w:bCs w:val="false"/>
          <w:i w:val="false"/>
          <w:iCs w:val="false"/>
          <w:color w:val="2B2B2B"/>
          <w:sz w:val="21"/>
          <w:szCs w:val="21"/>
        </w:rPr>
        <w:t xml:space="preserve">Several moments where a claim was caught and corrected before or after reaching Stef — kept visible here rather than smoothed over, since the correction process is itself part of the honest build practice this project maintained throughout.</w:t>
      </w:r>
    </w:p>
    <w:p>
      <w:pPr>
        <w:pStyle w:val="ListParagraph"/>
        <w:numPr>
          <w:ilvl w:val="0"/>
          <w:numId w:val="2"/>
        </w:numPr>
        <w:spacing w:after="70"/>
      </w:pPr>
      <w:r>
        <w:rPr>
          <w:rFonts w:ascii="Cambria" w:cs="Cambria" w:eastAsia="Cambria" w:hAnsi="Cambria"/>
          <w:sz w:val="20"/>
          <w:szCs w:val="20"/>
        </w:rPr>
        <w:t xml:space="preserve">"5 agents" corrected to "3 agents + 5 shared AI writing functions" — caught by re-reading the PRD's own text against a status update before it went out</w:t>
      </w:r>
    </w:p>
    <w:p>
      <w:pPr>
        <w:pStyle w:val="ListParagraph"/>
        <w:numPr>
          <w:ilvl w:val="0"/>
          <w:numId w:val="2"/>
        </w:numPr>
        <w:spacing w:after="70"/>
      </w:pPr>
      <w:r>
        <w:rPr>
          <w:rFonts w:ascii="Cambria" w:cs="Cambria" w:eastAsia="Cambria" w:hAnsi="Cambria"/>
          <w:sz w:val="20"/>
          <w:szCs w:val="20"/>
        </w:rPr>
        <w:t xml:space="preserve">Canva CSV export column mapping repeatedly labeled as inferred/placeholder, never presented as confirmed — including active, deliberate exclusion of low-confidence fields (social metrics) from anything treated as reliable</w:t>
      </w:r>
    </w:p>
    <w:p>
      <w:pPr>
        <w:pStyle w:val="ListParagraph"/>
        <w:numPr>
          <w:ilvl w:val="0"/>
          <w:numId w:val="2"/>
        </w:numPr>
        <w:spacing w:after="70"/>
      </w:pPr>
      <w:r>
        <w:rPr>
          <w:rFonts w:ascii="Cambria" w:cs="Cambria" w:eastAsia="Cambria" w:hAnsi="Cambria"/>
          <w:sz w:val="20"/>
          <w:szCs w:val="20"/>
        </w:rPr>
        <w:t xml:space="preserve">A guessed media-kit URL was wrong twice in a row — led to abandoning URL-guessing entirely in favor of pointing to the outlet's own site navigation as the reliable source</w:t>
      </w:r>
    </w:p>
    <w:p>
      <w:pPr>
        <w:pStyle w:val="ListParagraph"/>
        <w:numPr>
          <w:ilvl w:val="0"/>
          <w:numId w:val="2"/>
        </w:numPr>
        <w:spacing w:after="70"/>
      </w:pPr>
      <w:r>
        <w:rPr>
          <w:rFonts w:ascii="Cambria" w:cs="Cambria" w:eastAsia="Cambria" w:hAnsi="Cambria"/>
          <w:sz w:val="20"/>
          <w:szCs w:val="20"/>
        </w:rPr>
        <w:t xml:space="preserve">Hours logged vs. hours expected gap identified directly (75 expected vs. 35 logged at the 3-week mark) rather than left unexamined</w:t>
      </w:r>
    </w:p>
    <w:p>
      <w:pPr>
        <w:pageBreakBefore/>
      </w:pPr>
    </w:p>
    <w:p>
      <w:pPr>
        <w:pStyle w:val="Heading1"/>
        <w:pBdr>
          <w:bottom w:val="single" w:color="E17A5F" w:sz="6" w:space="4"/>
        </w:pBdr>
        <w:spacing w:after="150" w:before="320"/>
      </w:pPr>
      <w:r>
        <w:rPr>
          <w:rFonts w:ascii="Georgia" w:cs="Georgia" w:eastAsia="Georgia" w:hAnsi="Georgia"/>
          <w:b/>
          <w:bCs/>
          <w:color w:val="1A2B6D"/>
          <w:sz w:val="27"/>
          <w:szCs w:val="27"/>
        </w:rPr>
        <w:t xml:space="preserve">Documents Maintained Throughout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600"/>
        <w:gridCol w:w="2680"/>
      </w:tblGrid>
      <w:tr>
        <w:tc>
          <w:tcPr>
            <w:tcW w:type="dxa" w:w="2800"/>
            <w:shd w:fill="1A2B6D" w:val="clear"/>
            <w:tcMar>
              <w:top w:type="dxa" w:w="90"/>
              <w:left w:type="dxa" w:w="100"/>
              <w:bottom w:type="dxa" w:w="90"/>
              <w:right w:type="dxa" w:w="100"/>
            </w:tcMar>
          </w:tcPr>
          <w:p>
            <w:r>
              <w:rPr>
                <w:rFonts w:ascii="Calibri" w:cs="Calibri" w:eastAsia="Calibri" w:hAnsi="Calibri"/>
                <w:b/>
                <w:bCs/>
                <w:color w:val="FFFFFF"/>
                <w:sz w:val="18"/>
                <w:szCs w:val="18"/>
              </w:rPr>
              <w:t xml:space="preserve">Document</w:t>
            </w:r>
          </w:p>
        </w:tc>
        <w:tc>
          <w:tcPr>
            <w:tcW w:type="dxa" w:w="4600"/>
            <w:shd w:fill="1A2B6D" w:val="clear"/>
            <w:tcMar>
              <w:top w:type="dxa" w:w="90"/>
              <w:left w:type="dxa" w:w="100"/>
              <w:bottom w:type="dxa" w:w="90"/>
              <w:right w:type="dxa" w:w="100"/>
            </w:tcMar>
          </w:tcPr>
          <w:p>
            <w:r>
              <w:rPr>
                <w:rFonts w:ascii="Calibri" w:cs="Calibri" w:eastAsia="Calibri" w:hAnsi="Calibri"/>
                <w:b/>
                <w:bCs/>
                <w:color w:val="FFFFFF"/>
                <w:sz w:val="18"/>
                <w:szCs w:val="18"/>
              </w:rPr>
              <w:t xml:space="preserve">Purpose</w:t>
            </w:r>
          </w:p>
        </w:tc>
        <w:tc>
          <w:tcPr>
            <w:tcW w:type="dxa" w:w="2680"/>
            <w:shd w:fill="1A2B6D" w:val="clear"/>
            <w:tcMar>
              <w:top w:type="dxa" w:w="90"/>
              <w:left w:type="dxa" w:w="100"/>
              <w:bottom w:type="dxa" w:w="90"/>
              <w:right w:type="dxa" w:w="100"/>
            </w:tcMar>
          </w:tcPr>
          <w:p>
            <w:r>
              <w:rPr>
                <w:rFonts w:ascii="Calibri" w:cs="Calibri" w:eastAsia="Calibri" w:hAnsi="Calibri"/>
                <w:b/>
                <w:bCs/>
                <w:color w:val="FFFFFF"/>
                <w:sz w:val="18"/>
                <w:szCs w:val="18"/>
              </w:rPr>
              <w:t xml:space="preserve">Update cadence</w:t>
            </w:r>
          </w:p>
        </w:tc>
      </w:tr>
      <w:tr>
        <w:tc>
          <w:tcPr>
            <w:tcW w:type="dxa" w:w="2800"/>
            <w:tcMar>
              <w:top w:type="dxa" w:w="90"/>
              <w:left w:type="dxa" w:w="100"/>
              <w:bottom w:type="dxa" w:w="90"/>
              <w:right w:type="dxa" w:w="100"/>
            </w:tcMar>
          </w:tcPr>
          <w:p>
            <w:r>
              <w:rPr>
                <w:rFonts w:ascii="Cambria" w:cs="Cambria" w:eastAsia="Cambria" w:hAnsi="Cambria"/>
                <w:sz w:val="18"/>
                <w:szCs w:val="18"/>
              </w:rPr>
              <w:t xml:space="preserve">Final PRD (technical)</w:t>
            </w:r>
          </w:p>
        </w:tc>
        <w:tc>
          <w:tcPr>
            <w:tcW w:type="dxa" w:w="4600"/>
            <w:tcMar>
              <w:top w:type="dxa" w:w="90"/>
              <w:left w:type="dxa" w:w="100"/>
              <w:bottom w:type="dxa" w:w="90"/>
              <w:right w:type="dxa" w:w="100"/>
            </w:tcMar>
          </w:tcPr>
          <w:p>
            <w:r>
              <w:rPr>
                <w:rFonts w:ascii="Cambria" w:cs="Cambria" w:eastAsia="Cambria" w:hAnsi="Cambria"/>
                <w:sz w:val="18"/>
                <w:szCs w:val="18"/>
              </w:rPr>
              <w:t xml:space="preserve">Full architecture, agent specs, tech stack — for Stef and internal reference</w:t>
            </w:r>
          </w:p>
        </w:tc>
        <w:tc>
          <w:tcPr>
            <w:tcW w:type="dxa" w:w="2680"/>
            <w:tcMar>
              <w:top w:type="dxa" w:w="90"/>
              <w:left w:type="dxa" w:w="100"/>
              <w:bottom w:type="dxa" w:w="90"/>
              <w:right w:type="dxa" w:w="100"/>
            </w:tcMar>
          </w:tcPr>
          <w:p>
            <w:r>
              <w:rPr>
                <w:rFonts w:ascii="Cambria" w:cs="Cambria" w:eastAsia="Cambria" w:hAnsi="Cambria"/>
                <w:sz w:val="18"/>
                <w:szCs w:val="18"/>
              </w:rPr>
              <w:t xml:space="preserve">Updated at every major technical or scope decision</w:t>
            </w:r>
          </w:p>
        </w:tc>
      </w:tr>
      <w:tr>
        <w:tc>
          <w:tcPr>
            <w:tcW w:type="dxa" w:w="2800"/>
            <w:tcMar>
              <w:top w:type="dxa" w:w="90"/>
              <w:left w:type="dxa" w:w="100"/>
              <w:bottom w:type="dxa" w:w="90"/>
              <w:right w:type="dxa" w:w="100"/>
            </w:tcMar>
          </w:tcPr>
          <w:p>
            <w:r>
              <w:rPr>
                <w:rFonts w:ascii="Cambria" w:cs="Cambria" w:eastAsia="Cambria" w:hAnsi="Cambria"/>
                <w:sz w:val="18"/>
                <w:szCs w:val="18"/>
              </w:rPr>
              <w:t xml:space="preserve">PRD for Tenyse (client-facing)</w:t>
            </w:r>
          </w:p>
        </w:tc>
        <w:tc>
          <w:tcPr>
            <w:tcW w:type="dxa" w:w="4600"/>
            <w:tcMar>
              <w:top w:type="dxa" w:w="90"/>
              <w:left w:type="dxa" w:w="100"/>
              <w:bottom w:type="dxa" w:w="90"/>
              <w:right w:type="dxa" w:w="100"/>
            </w:tcMar>
          </w:tcPr>
          <w:p>
            <w:r>
              <w:rPr>
                <w:rFonts w:ascii="Cambria" w:cs="Cambria" w:eastAsia="Cambria" w:hAnsi="Cambria"/>
                <w:sz w:val="18"/>
                <w:szCs w:val="18"/>
              </w:rPr>
              <w:t xml:space="preserve">Plain-language walkthrough, no jargon, explicit "please review" sections</w:t>
            </w:r>
          </w:p>
        </w:tc>
        <w:tc>
          <w:tcPr>
            <w:tcW w:type="dxa" w:w="2680"/>
            <w:tcMar>
              <w:top w:type="dxa" w:w="90"/>
              <w:left w:type="dxa" w:w="100"/>
              <w:bottom w:type="dxa" w:w="90"/>
              <w:right w:type="dxa" w:w="100"/>
            </w:tcMar>
          </w:tcPr>
          <w:p>
            <w:r>
              <w:rPr>
                <w:rFonts w:ascii="Cambria" w:cs="Cambria" w:eastAsia="Cambria" w:hAnsi="Cambria"/>
                <w:sz w:val="18"/>
                <w:szCs w:val="18"/>
              </w:rPr>
              <w:t xml:space="preserve">Updated after client sessions, edited directly by the client</w:t>
            </w:r>
          </w:p>
        </w:tc>
      </w:tr>
      <w:tr>
        <w:tc>
          <w:tcPr>
            <w:tcW w:type="dxa" w:w="2800"/>
            <w:tcMar>
              <w:top w:type="dxa" w:w="90"/>
              <w:left w:type="dxa" w:w="100"/>
              <w:bottom w:type="dxa" w:w="90"/>
              <w:right w:type="dxa" w:w="100"/>
            </w:tcMar>
          </w:tcPr>
          <w:p>
            <w:r>
              <w:rPr>
                <w:rFonts w:ascii="Cambria" w:cs="Cambria" w:eastAsia="Cambria" w:hAnsi="Cambria"/>
                <w:sz w:val="18"/>
                <w:szCs w:val="18"/>
              </w:rPr>
              <w:t xml:space="preserve">Program Build Plan</w:t>
            </w:r>
          </w:p>
        </w:tc>
        <w:tc>
          <w:tcPr>
            <w:tcW w:type="dxa" w:w="4600"/>
            <w:tcMar>
              <w:top w:type="dxa" w:w="90"/>
              <w:left w:type="dxa" w:w="100"/>
              <w:bottom w:type="dxa" w:w="90"/>
              <w:right w:type="dxa" w:w="100"/>
            </w:tcMar>
          </w:tcPr>
          <w:p>
            <w:r>
              <w:rPr>
                <w:rFonts w:ascii="Cambria" w:cs="Cambria" w:eastAsia="Cambria" w:hAnsi="Cambria"/>
                <w:sz w:val="18"/>
                <w:szCs w:val="18"/>
              </w:rPr>
              <w:t xml:space="preserve">Week-by-week status against Pursuit's official deliverables, running to-do list</w:t>
            </w:r>
          </w:p>
        </w:tc>
        <w:tc>
          <w:tcPr>
            <w:tcW w:type="dxa" w:w="2680"/>
            <w:tcMar>
              <w:top w:type="dxa" w:w="90"/>
              <w:left w:type="dxa" w:w="100"/>
              <w:bottom w:type="dxa" w:w="90"/>
              <w:right w:type="dxa" w:w="100"/>
            </w:tcMar>
          </w:tcPr>
          <w:p>
            <w:r>
              <w:rPr>
                <w:rFonts w:ascii="Cambria" w:cs="Cambria" w:eastAsia="Cambria" w:hAnsi="Cambria"/>
                <w:sz w:val="18"/>
                <w:szCs w:val="18"/>
              </w:rPr>
              <w:t xml:space="preserve">Updated almost daily during active build phases</w:t>
            </w:r>
          </w:p>
        </w:tc>
      </w:tr>
      <w:tr>
        <w:tc>
          <w:tcPr>
            <w:tcW w:type="dxa" w:w="2800"/>
            <w:tcMar>
              <w:top w:type="dxa" w:w="90"/>
              <w:left w:type="dxa" w:w="100"/>
              <w:bottom w:type="dxa" w:w="90"/>
              <w:right w:type="dxa" w:w="100"/>
            </w:tcMar>
          </w:tcPr>
          <w:p>
            <w:r>
              <w:rPr>
                <w:rFonts w:ascii="Cambria" w:cs="Cambria" w:eastAsia="Cambria" w:hAnsi="Cambria"/>
                <w:sz w:val="18"/>
                <w:szCs w:val="18"/>
              </w:rPr>
              <w:t xml:space="preserve">Hours Log</w:t>
            </w:r>
          </w:p>
        </w:tc>
        <w:tc>
          <w:tcPr>
            <w:tcW w:type="dxa" w:w="4600"/>
            <w:tcMar>
              <w:top w:type="dxa" w:w="90"/>
              <w:left w:type="dxa" w:w="100"/>
              <w:bottom w:type="dxa" w:w="90"/>
              <w:right w:type="dxa" w:w="100"/>
            </w:tcMar>
          </w:tcPr>
          <w:p>
            <w:r>
              <w:rPr>
                <w:rFonts w:ascii="Cambria" w:cs="Cambria" w:eastAsia="Cambria" w:hAnsi="Cambria"/>
                <w:sz w:val="18"/>
                <w:szCs w:val="18"/>
              </w:rPr>
              <w:t xml:space="preserve">Formula-driven cumulative hours, session-by-session detail</w:t>
            </w:r>
          </w:p>
        </w:tc>
        <w:tc>
          <w:tcPr>
            <w:tcW w:type="dxa" w:w="2680"/>
            <w:tcMar>
              <w:top w:type="dxa" w:w="90"/>
              <w:left w:type="dxa" w:w="100"/>
              <w:bottom w:type="dxa" w:w="90"/>
              <w:right w:type="dxa" w:w="100"/>
            </w:tcMar>
          </w:tcPr>
          <w:p>
            <w:r>
              <w:rPr>
                <w:rFonts w:ascii="Cambria" w:cs="Cambria" w:eastAsia="Cambria" w:hAnsi="Cambria"/>
                <w:sz w:val="18"/>
                <w:szCs w:val="18"/>
              </w:rPr>
              <w:t xml:space="preserve">Updated per session, cross-checked against actual repo activity</w:t>
            </w:r>
          </w:p>
        </w:tc>
      </w:tr>
      <w:tr>
        <w:tc>
          <w:tcPr>
            <w:tcW w:type="dxa" w:w="2800"/>
            <w:tcMar>
              <w:top w:type="dxa" w:w="90"/>
              <w:left w:type="dxa" w:w="100"/>
              <w:bottom w:type="dxa" w:w="90"/>
              <w:right w:type="dxa" w:w="100"/>
            </w:tcMar>
          </w:tcPr>
          <w:p>
            <w:r>
              <w:rPr>
                <w:rFonts w:ascii="Cambria" w:cs="Cambria" w:eastAsia="Cambria" w:hAnsi="Cambria"/>
                <w:sz w:val="18"/>
                <w:szCs w:val="18"/>
              </w:rPr>
              <w:t xml:space="preserve">This Change Log</w:t>
            </w:r>
          </w:p>
        </w:tc>
        <w:tc>
          <w:tcPr>
            <w:tcW w:type="dxa" w:w="4600"/>
            <w:tcMar>
              <w:top w:type="dxa" w:w="90"/>
              <w:left w:type="dxa" w:w="100"/>
              <w:bottom w:type="dxa" w:w="90"/>
              <w:right w:type="dxa" w:w="100"/>
            </w:tcMar>
          </w:tcPr>
          <w:p>
            <w:r>
              <w:rPr>
                <w:rFonts w:ascii="Cambria" w:cs="Cambria" w:eastAsia="Cambria" w:hAnsi="Cambria"/>
                <w:sz w:val="18"/>
                <w:szCs w:val="18"/>
              </w:rPr>
              <w:t xml:space="preserve">Case study/write-up raw material</w:t>
            </w:r>
          </w:p>
        </w:tc>
        <w:tc>
          <w:tcPr>
            <w:tcW w:type="dxa" w:w="2680"/>
            <w:tcMar>
              <w:top w:type="dxa" w:w="90"/>
              <w:left w:type="dxa" w:w="100"/>
              <w:bottom w:type="dxa" w:w="90"/>
              <w:right w:type="dxa" w:w="100"/>
            </w:tcMar>
          </w:tcPr>
          <w:p>
            <w:r>
              <w:rPr>
                <w:rFonts w:ascii="Cambria" w:cs="Cambria" w:eastAsia="Cambria" w:hAnsi="Cambria"/>
                <w:sz w:val="18"/>
                <w:szCs w:val="18"/>
              </w:rPr>
              <w:t xml:space="preserve">Built retrospectively, Aug 17</w:t>
            </w:r>
          </w:p>
        </w:tc>
      </w:tr>
    </w:tbl>
    <w:p>
      <w:pPr>
        <w:pStyle w:val="Heading1"/>
      </w:pPr>
      <w:r>
        <w:t>Phase 10 — Google Workspace Measurement Path and Lead Time Tracking (Sep 12)</w:t>
      </w:r>
    </w:p>
    <w:p>
      <w:pPr>
        <w:pStyle w:val="Heading2"/>
      </w:pPr>
      <w:r>
        <w:t>What changed</w:t>
      </w:r>
    </w:p>
    <w:p>
      <w:r>
        <w:t>The build now treats average lead time as a real process metric tied to the activity-to-output path of PR work. Lead time is calculated from Pitch Sent Date to Landed Date, rather than stored as a separate editable number, so the value stays auditable and does not drift from its source dates.</w:t>
      </w:r>
    </w:p>
    <w:p>
      <w:r>
        <w:t>The owner portal now includes a backend Google Workspace path for finding pitch evidence in Gmail and using it to fill Pitch Sent Date. This supports lead-time tracking for clients who have not historically measured it, because the system can build a baseline from actual outreach evidence instead of requiring the client to already have a mature reporting process.</w:t>
      </w:r>
    </w:p>
    <w:p>
      <w:r>
        <w:t>The same Google Workspace decision also supports client meetings and client-note notifications: owner scheduling creates Google Calendar events, client notes can trigger Gmail notifications to the owner, and the Settings view reports whether Google is connected instead of silently pretending the integration is live.</w:t>
      </w:r>
    </w:p>
    <w:p>
      <w:pPr>
        <w:pStyle w:val="Heading2"/>
      </w:pPr>
      <w:r>
        <w:t>Why it matters</w:t>
      </w:r>
    </w:p>
    <w:p>
      <w:r>
        <w:t>This gives Tenyse a practical way to make invisible PR labor visible. For small-business clients, the dashboard can show the movement from outreach to coverage even when final business outcomes are still developing. The metric is positioned honestly as a process and progress indicator, not as proof of total PR value by itself.</w:t>
      </w:r>
    </w:p>
    <w:p>
      <w:r>
        <w:t>The measurement rationale aligns with standard communications measurement thinking: PR reporting should separate activities, outputs, outcomes, and impact. Lead time belongs in the activity-to-output layer. It helps establish a baseline, show workflow momentum, and explain what happened between outreach and earned coverage.</w:t>
      </w:r>
    </w:p>
    <w:p>
      <w:pPr>
        <w:pStyle w:val="Heading2"/>
      </w:pPr>
      <w:r>
        <w:t>Open dependency</w:t>
      </w:r>
    </w:p>
    <w:p>
      <w:r>
        <w:t>The feature is wired in the application, but live Gmail search, Gmail note notifications, and Calendar scheduling require Tenyse-owned Google OAuth credentials before they can work in production. Required scopes are Gmail read, Gmail send, and Calendar events. Until those credentials are present, the app shows a clear not-connected message rather than fabricating dates or opening workaround links.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2026-08-17T16:01:30.626Z</dcterms:created>
  <dcterms:modified xsi:type="dcterms:W3CDTF">2026-08-17T16:01:30.627Z</dcterms:modified>
</cp:coreProperties>
</file>

<file path=docProps/custom.xml><?xml version="1.0" encoding="utf-8"?>
<Properties xmlns="http://schemas.openxmlformats.org/officeDocument/2006/custom-properties" xmlns:vt="http://schemas.openxmlformats.org/officeDocument/2006/docPropsVTypes"/>
</file>