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7186" w14:textId="319C2918" w:rsidR="00C87673" w:rsidRPr="00C87673" w:rsidRDefault="00C87673" w:rsidP="00C876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7673">
        <w:rPr>
          <w:rFonts w:ascii="Times New Roman" w:hAnsi="Times New Roman" w:cs="Times New Roman"/>
          <w:b/>
          <w:bCs/>
          <w:sz w:val="32"/>
          <w:szCs w:val="32"/>
        </w:rPr>
        <w:t>DrinkMate</w:t>
      </w:r>
      <w:proofErr w:type="spellEnd"/>
      <w:r w:rsidRPr="00C87673">
        <w:rPr>
          <w:rFonts w:ascii="Times New Roman" w:hAnsi="Times New Roman" w:cs="Times New Roman"/>
          <w:b/>
          <w:bCs/>
          <w:sz w:val="32"/>
          <w:szCs w:val="32"/>
        </w:rPr>
        <w:t>++ vs World Drinking Cup (WDC) – Comparison</w:t>
      </w:r>
    </w:p>
    <w:p w14:paraId="33BDCC7D" w14:textId="075C97C1" w:rsidR="00C87673" w:rsidRPr="00C87673" w:rsidRDefault="00C87673" w:rsidP="00C87673">
      <w:pPr>
        <w:rPr>
          <w:rFonts w:ascii="Times New Roman" w:hAnsi="Times New Roman" w:cs="Times New Roman"/>
          <w:lang w:val="en-US"/>
        </w:rPr>
      </w:pPr>
      <w:r w:rsidRPr="00C87673">
        <w:rPr>
          <w:rFonts w:ascii="Times New Roman" w:hAnsi="Times New Roman" w:cs="Times New Roman"/>
          <w:lang w:val="en-US"/>
        </w:rPr>
        <w:t xml:space="preserve">This table compares the two extended project concepts — </w:t>
      </w:r>
      <w:proofErr w:type="spellStart"/>
      <w:r w:rsidRPr="00C87673">
        <w:rPr>
          <w:rFonts w:ascii="Times New Roman" w:hAnsi="Times New Roman" w:cs="Times New Roman"/>
          <w:lang w:val="en-US"/>
        </w:rPr>
        <w:t>DrinkMate</w:t>
      </w:r>
      <w:proofErr w:type="spellEnd"/>
      <w:r w:rsidRPr="00C87673">
        <w:rPr>
          <w:rFonts w:ascii="Times New Roman" w:hAnsi="Times New Roman" w:cs="Times New Roman"/>
          <w:lang w:val="en-US"/>
        </w:rPr>
        <w:t>++ and World Drinking Cup (</w:t>
      </w:r>
      <w:proofErr w:type="gramStart"/>
      <w:r w:rsidRPr="00C87673">
        <w:rPr>
          <w:rFonts w:ascii="Times New Roman" w:hAnsi="Times New Roman" w:cs="Times New Roman"/>
          <w:lang w:val="en-US"/>
        </w:rPr>
        <w:t>WDC) —</w:t>
      </w:r>
      <w:proofErr w:type="gramEnd"/>
      <w:r w:rsidRPr="00C87673">
        <w:rPr>
          <w:rFonts w:ascii="Times New Roman" w:hAnsi="Times New Roman" w:cs="Times New Roman"/>
          <w:lang w:val="en-US"/>
        </w:rPr>
        <w:t xml:space="preserve"> to help decide which is most suitable for a 15-week solo project while still demonstrating enterprise-level skills.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7673" w:rsidRPr="00C87673" w14:paraId="218B1919" w14:textId="77777777" w:rsidTr="003E1ADB">
        <w:tc>
          <w:tcPr>
            <w:tcW w:w="3005" w:type="dxa"/>
            <w:vAlign w:val="center"/>
          </w:tcPr>
          <w:p w14:paraId="23ABFF72" w14:textId="7260392A" w:rsidR="00C87673" w:rsidRPr="00C87673" w:rsidRDefault="00C87673" w:rsidP="00C876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Criteria</w:t>
            </w:r>
          </w:p>
        </w:tc>
        <w:tc>
          <w:tcPr>
            <w:tcW w:w="3005" w:type="dxa"/>
            <w:vAlign w:val="center"/>
          </w:tcPr>
          <w:p w14:paraId="187390C2" w14:textId="707DF0F3" w:rsidR="00C87673" w:rsidRPr="00C87673" w:rsidRDefault="00C87673" w:rsidP="00C876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7673">
              <w:rPr>
                <w:rStyle w:val="Strong"/>
                <w:rFonts w:ascii="Times New Roman" w:hAnsi="Times New Roman" w:cs="Times New Roman"/>
              </w:rPr>
              <w:t>DrinkMate</w:t>
            </w:r>
            <w:proofErr w:type="spellEnd"/>
            <w:r w:rsidRPr="00C87673">
              <w:rPr>
                <w:rStyle w:val="Strong"/>
                <w:rFonts w:ascii="Times New Roman" w:hAnsi="Times New Roman" w:cs="Times New Roman"/>
              </w:rPr>
              <w:t>++ (Extended)</w:t>
            </w:r>
          </w:p>
        </w:tc>
        <w:tc>
          <w:tcPr>
            <w:tcW w:w="3006" w:type="dxa"/>
            <w:vAlign w:val="center"/>
          </w:tcPr>
          <w:p w14:paraId="24851BE0" w14:textId="2A917B50" w:rsidR="00C87673" w:rsidRPr="00C87673" w:rsidRDefault="00C87673" w:rsidP="00C876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WDC (World Drinking Cup)</w:t>
            </w:r>
          </w:p>
        </w:tc>
      </w:tr>
      <w:tr w:rsidR="00C87673" w:rsidRPr="00C87673" w14:paraId="2019FD61" w14:textId="77777777" w:rsidTr="003E1ADB">
        <w:tc>
          <w:tcPr>
            <w:tcW w:w="3005" w:type="dxa"/>
            <w:vAlign w:val="center"/>
          </w:tcPr>
          <w:p w14:paraId="704E9AD0" w14:textId="2A34683B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Core Concept</w:t>
            </w:r>
          </w:p>
        </w:tc>
        <w:tc>
          <w:tcPr>
            <w:tcW w:w="3005" w:type="dxa"/>
            <w:vAlign w:val="center"/>
          </w:tcPr>
          <w:p w14:paraId="12960963" w14:textId="378F73CE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Buddy finder with presence signals, venue heatmaps, ML recommender, and safety stack.</w:t>
            </w:r>
          </w:p>
        </w:tc>
        <w:tc>
          <w:tcPr>
            <w:tcW w:w="3006" w:type="dxa"/>
            <w:vAlign w:val="center"/>
          </w:tcPr>
          <w:p w14:paraId="20F2DD21" w14:textId="155A6D8C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Global competition with synchronized rounds, leaderboards, check-ins, and analytics.</w:t>
            </w:r>
          </w:p>
        </w:tc>
      </w:tr>
      <w:tr w:rsidR="00C87673" w:rsidRPr="00C87673" w14:paraId="1DD94948" w14:textId="77777777" w:rsidTr="003E1ADB">
        <w:tc>
          <w:tcPr>
            <w:tcW w:w="3005" w:type="dxa"/>
            <w:vAlign w:val="center"/>
          </w:tcPr>
          <w:p w14:paraId="201A232B" w14:textId="492940D1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Data Volume</w:t>
            </w:r>
          </w:p>
        </w:tc>
        <w:tc>
          <w:tcPr>
            <w:tcW w:w="3005" w:type="dxa"/>
            <w:vAlign w:val="center"/>
          </w:tcPr>
          <w:p w14:paraId="25C3F38D" w14:textId="4EA86B2A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~10k events/sec at scale (presence + check-ins).</w:t>
            </w:r>
          </w:p>
        </w:tc>
        <w:tc>
          <w:tcPr>
            <w:tcW w:w="3006" w:type="dxa"/>
            <w:vAlign w:val="center"/>
          </w:tcPr>
          <w:p w14:paraId="69633446" w14:textId="2E2410E9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100k+ events/sec at global peaks (continuous ingest).</w:t>
            </w:r>
          </w:p>
        </w:tc>
      </w:tr>
      <w:tr w:rsidR="00C87673" w:rsidRPr="00C87673" w14:paraId="4023C708" w14:textId="77777777" w:rsidTr="003E1ADB">
        <w:tc>
          <w:tcPr>
            <w:tcW w:w="3005" w:type="dxa"/>
            <w:vAlign w:val="center"/>
          </w:tcPr>
          <w:p w14:paraId="33DD1F8E" w14:textId="38A98EA4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Architecture</w:t>
            </w:r>
          </w:p>
        </w:tc>
        <w:tc>
          <w:tcPr>
            <w:tcW w:w="3005" w:type="dxa"/>
            <w:vAlign w:val="center"/>
          </w:tcPr>
          <w:p w14:paraId="4510609B" w14:textId="5BD1F4CE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 xml:space="preserve">Modular monolith; </w:t>
            </w:r>
            <w:proofErr w:type="spellStart"/>
            <w:r w:rsidRPr="00C87673">
              <w:rPr>
                <w:rFonts w:ascii="Times New Roman" w:hAnsi="Times New Roman" w:cs="Times New Roman"/>
              </w:rPr>
              <w:t>Postgres+PostGIS</w:t>
            </w:r>
            <w:proofErr w:type="spellEnd"/>
            <w:r w:rsidRPr="00C87673">
              <w:rPr>
                <w:rFonts w:ascii="Times New Roman" w:hAnsi="Times New Roman" w:cs="Times New Roman"/>
              </w:rPr>
              <w:t xml:space="preserve">, Redis, </w:t>
            </w:r>
            <w:proofErr w:type="spellStart"/>
            <w:r w:rsidRPr="00C87673">
              <w:rPr>
                <w:rFonts w:ascii="Times New Roman" w:hAnsi="Times New Roman" w:cs="Times New Roman"/>
              </w:rPr>
              <w:t>ClickHouse</w:t>
            </w:r>
            <w:proofErr w:type="spellEnd"/>
            <w:r w:rsidRPr="00C87673">
              <w:rPr>
                <w:rFonts w:ascii="Times New Roman" w:hAnsi="Times New Roman" w:cs="Times New Roman"/>
              </w:rPr>
              <w:t xml:space="preserve"> analytics.</w:t>
            </w:r>
          </w:p>
        </w:tc>
        <w:tc>
          <w:tcPr>
            <w:tcW w:w="3006" w:type="dxa"/>
            <w:vAlign w:val="center"/>
          </w:tcPr>
          <w:p w14:paraId="2056E1DE" w14:textId="20A96AC4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Distributed event pipeline; Redis ZSET leaderboards; OLAP analytics.</w:t>
            </w:r>
          </w:p>
        </w:tc>
      </w:tr>
      <w:tr w:rsidR="00C87673" w:rsidRPr="00C87673" w14:paraId="3F841F03" w14:textId="77777777" w:rsidTr="003E1ADB">
        <w:tc>
          <w:tcPr>
            <w:tcW w:w="3005" w:type="dxa"/>
            <w:vAlign w:val="center"/>
          </w:tcPr>
          <w:p w14:paraId="37975F64" w14:textId="1E719235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Scalability Proof</w:t>
            </w:r>
          </w:p>
        </w:tc>
        <w:tc>
          <w:tcPr>
            <w:tcW w:w="3005" w:type="dxa"/>
            <w:vAlign w:val="center"/>
          </w:tcPr>
          <w:p w14:paraId="45333EDE" w14:textId="0602CD28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Prove 10k eps telemetry, geo-search, WS chat, analytics dashboards.</w:t>
            </w:r>
          </w:p>
        </w:tc>
        <w:tc>
          <w:tcPr>
            <w:tcW w:w="3006" w:type="dxa"/>
            <w:vAlign w:val="center"/>
          </w:tcPr>
          <w:p w14:paraId="59FFA5AF" w14:textId="3485191A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Prove 100k eps ingest, global leaderboards, cross-country analytics.</w:t>
            </w:r>
          </w:p>
        </w:tc>
      </w:tr>
      <w:tr w:rsidR="00C87673" w:rsidRPr="00C87673" w14:paraId="7C2D374D" w14:textId="77777777" w:rsidTr="003E1ADB">
        <w:tc>
          <w:tcPr>
            <w:tcW w:w="3005" w:type="dxa"/>
            <w:vAlign w:val="center"/>
          </w:tcPr>
          <w:p w14:paraId="4AA69A45" w14:textId="7120BC4E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Learning Outcomes</w:t>
            </w:r>
          </w:p>
        </w:tc>
        <w:tc>
          <w:tcPr>
            <w:tcW w:w="3005" w:type="dxa"/>
            <w:vAlign w:val="center"/>
          </w:tcPr>
          <w:p w14:paraId="74791D48" w14:textId="0FE4EF94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Covers LO1–LO7: GDPR, DevOps, ML recommender, analytics, scalable architecture.</w:t>
            </w:r>
          </w:p>
        </w:tc>
        <w:tc>
          <w:tcPr>
            <w:tcW w:w="3006" w:type="dxa"/>
            <w:vAlign w:val="center"/>
          </w:tcPr>
          <w:p w14:paraId="656559A7" w14:textId="5CC7C254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Covers LO1–LO7 with stronger emphasis on distributed data and large-scale pipelines.</w:t>
            </w:r>
          </w:p>
        </w:tc>
      </w:tr>
      <w:tr w:rsidR="00C87673" w:rsidRPr="00C87673" w14:paraId="4EA83057" w14:textId="77777777" w:rsidTr="003E1ADB">
        <w:tc>
          <w:tcPr>
            <w:tcW w:w="3005" w:type="dxa"/>
            <w:vAlign w:val="center"/>
          </w:tcPr>
          <w:p w14:paraId="6DAF8ACB" w14:textId="7676E7E1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Risks</w:t>
            </w:r>
          </w:p>
        </w:tc>
        <w:tc>
          <w:tcPr>
            <w:tcW w:w="3005" w:type="dxa"/>
            <w:vAlign w:val="center"/>
          </w:tcPr>
          <w:p w14:paraId="026C7779" w14:textId="4AAA9AFF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Scope creep in ML recommender, but overall manageable.</w:t>
            </w:r>
          </w:p>
        </w:tc>
        <w:tc>
          <w:tcPr>
            <w:tcW w:w="3006" w:type="dxa"/>
            <w:vAlign w:val="center"/>
          </w:tcPr>
          <w:p w14:paraId="16301BD3" w14:textId="0E091702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Very high data scale; solo developer risk of under-delivery in 15 weeks.</w:t>
            </w:r>
          </w:p>
        </w:tc>
      </w:tr>
      <w:tr w:rsidR="00C87673" w:rsidRPr="00C87673" w14:paraId="7F9A97CB" w14:textId="77777777" w:rsidTr="003E1ADB">
        <w:tc>
          <w:tcPr>
            <w:tcW w:w="3005" w:type="dxa"/>
            <w:vAlign w:val="center"/>
          </w:tcPr>
          <w:p w14:paraId="25535D69" w14:textId="0DC4708F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Complexity Level</w:t>
            </w:r>
          </w:p>
        </w:tc>
        <w:tc>
          <w:tcPr>
            <w:tcW w:w="3005" w:type="dxa"/>
            <w:vAlign w:val="center"/>
          </w:tcPr>
          <w:p w14:paraId="0A335CE4" w14:textId="441EE6B4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Medium–High (realistic for solo dev).</w:t>
            </w:r>
          </w:p>
        </w:tc>
        <w:tc>
          <w:tcPr>
            <w:tcW w:w="3006" w:type="dxa"/>
            <w:vAlign w:val="center"/>
          </w:tcPr>
          <w:p w14:paraId="6F7F3ED6" w14:textId="70856F8A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High–Extreme (suited for a team, very ambitious solo).</w:t>
            </w:r>
          </w:p>
        </w:tc>
      </w:tr>
      <w:tr w:rsidR="00C87673" w:rsidRPr="00C87673" w14:paraId="0C3DC4A1" w14:textId="77777777" w:rsidTr="003E1ADB">
        <w:tc>
          <w:tcPr>
            <w:tcW w:w="3005" w:type="dxa"/>
            <w:vAlign w:val="center"/>
          </w:tcPr>
          <w:p w14:paraId="68BE30EB" w14:textId="4A14ED67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 xml:space="preserve">Suitability (15 </w:t>
            </w:r>
            <w:proofErr w:type="spellStart"/>
            <w:r w:rsidRPr="00C87673">
              <w:rPr>
                <w:rStyle w:val="Strong"/>
                <w:rFonts w:ascii="Times New Roman" w:hAnsi="Times New Roman" w:cs="Times New Roman"/>
              </w:rPr>
              <w:t>wks</w:t>
            </w:r>
            <w:proofErr w:type="spellEnd"/>
            <w:r w:rsidRPr="00C87673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3005" w:type="dxa"/>
            <w:vAlign w:val="center"/>
          </w:tcPr>
          <w:p w14:paraId="6367900B" w14:textId="1FE47464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High – balanced scope, realistic to demo enterprise qualities.</w:t>
            </w:r>
          </w:p>
        </w:tc>
        <w:tc>
          <w:tcPr>
            <w:tcW w:w="3006" w:type="dxa"/>
            <w:vAlign w:val="center"/>
          </w:tcPr>
          <w:p w14:paraId="170DECAF" w14:textId="1A51F05B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Medium – impressive concept, but risk of not completing within timeframe.</w:t>
            </w:r>
          </w:p>
        </w:tc>
      </w:tr>
      <w:tr w:rsidR="00C87673" w:rsidRPr="00C87673" w14:paraId="5505251A" w14:textId="77777777" w:rsidTr="003E1ADB">
        <w:tc>
          <w:tcPr>
            <w:tcW w:w="3005" w:type="dxa"/>
            <w:vAlign w:val="center"/>
          </w:tcPr>
          <w:p w14:paraId="38ACF9CE" w14:textId="547E863C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Style w:val="Strong"/>
                <w:rFonts w:ascii="Times New Roman" w:hAnsi="Times New Roman" w:cs="Times New Roman"/>
              </w:rPr>
              <w:t>Overall</w:t>
            </w:r>
          </w:p>
        </w:tc>
        <w:tc>
          <w:tcPr>
            <w:tcW w:w="3005" w:type="dxa"/>
            <w:vAlign w:val="center"/>
          </w:tcPr>
          <w:p w14:paraId="5EF818D8" w14:textId="14F087F6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Safer, realistic choice for solo project while proving enterprise-level.</w:t>
            </w:r>
          </w:p>
        </w:tc>
        <w:tc>
          <w:tcPr>
            <w:tcW w:w="3006" w:type="dxa"/>
            <w:vAlign w:val="center"/>
          </w:tcPr>
          <w:p w14:paraId="6EDDFB78" w14:textId="6A9CABE0" w:rsidR="00C87673" w:rsidRPr="00C87673" w:rsidRDefault="00C87673" w:rsidP="00C876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7673">
              <w:rPr>
                <w:rFonts w:ascii="Times New Roman" w:hAnsi="Times New Roman" w:cs="Times New Roman"/>
              </w:rPr>
              <w:t>Bold, ambitious choice; shows extreme scalability, but higher delivery risk.</w:t>
            </w:r>
          </w:p>
        </w:tc>
      </w:tr>
    </w:tbl>
    <w:p w14:paraId="14E7E89F" w14:textId="77777777" w:rsidR="00C87673" w:rsidRPr="00C87673" w:rsidRDefault="00C87673" w:rsidP="00C87673">
      <w:pPr>
        <w:jc w:val="center"/>
        <w:rPr>
          <w:b/>
          <w:bCs/>
          <w:sz w:val="32"/>
          <w:szCs w:val="32"/>
        </w:rPr>
      </w:pPr>
    </w:p>
    <w:sectPr w:rsidR="00C87673" w:rsidRPr="00C8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73"/>
    <w:rsid w:val="00C87673"/>
    <w:rsid w:val="00CA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52F27"/>
  <w15:chartTrackingRefBased/>
  <w15:docId w15:val="{9966C48B-7D87-46FD-8243-CE41224F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7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Sokyrko,Serhii S.</dc:creator>
  <cp:keywords/>
  <dc:description/>
  <cp:lastModifiedBy>Sokyrko,Serhii S.</cp:lastModifiedBy>
  <cp:revision>1</cp:revision>
  <dcterms:created xsi:type="dcterms:W3CDTF">2025-09-14T18:15:00Z</dcterms:created>
  <dcterms:modified xsi:type="dcterms:W3CDTF">2025-09-14T18:18:00Z</dcterms:modified>
</cp:coreProperties>
</file>