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Nocturne Foundation Architecture and Product Strategy</w:t>
      </w:r>
    </w:p>
    <w:p>
      <w:pPr>
        <w:pStyle w:val="Heading1"/>
      </w:pPr>
      <w:r>
        <w:t>Strategic decision document for Currawong Creative Co</w:t>
      </w:r>
    </w:p>
    <w:p>
      <w:r>
        <w:rPr>
          <w:color w:val="606B74"/>
          <w:sz w:val="18"/>
        </w:rPr>
        <w:t>25 October 2026 | Planning baseline | Decisions proposed, not an implementation audit</w:t>
      </w:r>
    </w:p>
    <w:p>
      <w:pPr>
        <w:pStyle w:val="Heading1"/>
      </w:pPr>
      <w:r>
        <w:t>Executive decision</w:t>
      </w:r>
    </w:p>
    <w:p>
      <w:r>
        <w:t>Nocturne should begin as a reliable internal application launch and management system. Its first job is to take a versioned Next.js and Sanity blueprint from configuration to an independently owned, working, verified website with as little repetitive setup as possible. That work has value to Currawong even if no other customer ever purchases Nocturne. External SaaS demand remains unproven and should not dictate the first architecture.</w:t>
      </w:r>
    </w:p>
    <w:p>
      <w:r>
        <w:t xml:space="preserve">The broader product can support three connected capabilities: </w:t>
      </w:r>
      <w:r>
        <w:rPr>
          <w:b/>
        </w:rPr>
        <w:t>Foundation</w:t>
      </w:r>
      <w:r>
        <w:t xml:space="preserve">, which provisions and operates projects; </w:t>
      </w:r>
      <w:r>
        <w:rPr>
          <w:b/>
        </w:rPr>
        <w:t>Design Engine</w:t>
      </w:r>
      <w:r>
        <w:t xml:space="preserve">, which gives the agency structured creative freedom over websites; and </w:t>
      </w:r>
      <w:r>
        <w:rPr>
          <w:b/>
        </w:rPr>
        <w:t>Content Intelligence</w:t>
      </w:r>
      <w:r>
        <w:t>, which validates site content, structured data, search health and improvement opportunities. They should share contracts, but they are not the same subsystem. Mobile app creation and distribution belongs on the future roadmap as another blueprint family.</w:t>
      </w:r>
    </w:p>
    <w:p>
      <w:r>
        <w:rPr>
          <w:b/>
        </w:rPr>
        <w:t>Decision now:</w:t>
      </w:r>
      <w:r>
        <w:t xml:space="preserve"> build one reliable web launch path; establish clean boundaries and versioned contracts for the other capabilities; avoid a multi-provider DevOps suite, a general-purpose visual builder and an AI ranking promise until the work is proven.</w:t>
      </w:r>
    </w:p>
    <w:p>
      <w:pPr>
        <w:pStyle w:val="Heading2"/>
      </w:pPr>
      <w:r>
        <w:t>What we know and what we do not</w:t>
      </w:r>
    </w:p>
    <w:p>
      <w:pPr>
        <w:pStyle w:val="ListBullet"/>
      </w:pPr>
      <w:r>
        <w:t>Confirmed from the founder: a website project priced at about $3,000 absorbed roughly 50 hours, including 15 hours on content work, with recurring pain from CMS model setup and updates. Those numbers describe one self-reported project, not a measured average.</w:t>
      </w:r>
    </w:p>
    <w:p>
      <w:pPr>
        <w:pStyle w:val="ListBullet"/>
      </w:pPr>
      <w:r>
        <w:t>Confirmed: Nocturne has had roughly one week of development, no paying platform customers and no completed client adoption. Currawong is the first intended user.</w:t>
      </w:r>
    </w:p>
    <w:p>
      <w:pPr>
        <w:pStyle w:val="ListBullet"/>
      </w:pPr>
      <w:r>
        <w:t>Inference: repeatable setup, schema contracts, component reuse and deployment recovery could materially improve project margins. We need timed projects to know how much.</w:t>
      </w:r>
    </w:p>
    <w:p>
      <w:pPr>
        <w:pStyle w:val="ListBullet"/>
      </w:pPr>
      <w:r>
        <w:t>Untested: other agencies will pay for a control plane; clients want an analytics subscription; image-to-site output will be usable without extensive rework; a particular SEO score will predict search results.</w:t>
      </w:r>
    </w:p>
    <w:p>
      <w:pPr>
        <w:pStyle w:val="ListBullet"/>
      </w:pPr>
      <w:r>
        <w:t>Not audited: the actual Nocturne repository, credentials, current deployment setup or existing code quality. Technical decisions below are proposals requiring repository inspection.</w:t>
      </w:r>
    </w:p>
    <w:p>
      <w:pPr>
        <w:pStyle w:val="Heading1"/>
      </w:pPr>
      <w:r>
        <w:t>1 Product identity and scope</w:t>
      </w:r>
    </w:p>
    <w:p>
      <w:r>
        <w:rPr>
          <w:b/>
        </w:rPr>
        <w:t>Nocturne Foundation</w:t>
      </w:r>
      <w:r>
        <w:t xml:space="preserve"> is the browser-first control plane for launching and managing customer-owned applications. It tracks project identity, account connections, blueprint versions, workflow state, verified deployments, logs and repair actions. A CLI can exist for experts but is not mandatory for the normal path.</w:t>
      </w:r>
    </w:p>
    <w:p>
      <w:r>
        <w:rPr>
          <w:b/>
        </w:rPr>
        <w:t>Nocturne Design Engine</w:t>
      </w:r>
      <w:r>
        <w:t xml:space="preserve"> is an agency-oriented authoring and rendering system for distinctive websites. It defines component contracts, reusable page sections, tokens, variants, effects and safe overrides. Its runtime must ship as a versioned dependency inside each generated website. Its agency editing interface can live within the central Nocturne app.</w:t>
      </w:r>
    </w:p>
    <w:p>
      <w:r>
        <w:rPr>
          <w:b/>
        </w:rPr>
        <w:t>Nocturne Content Intelligence</w:t>
      </w:r>
      <w:r>
        <w:t xml:space="preserve"> uses the site's canonical content model and measured search data to audit metadata, structured data, discoverability, content coverage and improvement opportunities. It should explain the evidence behind each recommendation. It is not a magic SEO score or guaranteed AI visibility service.</w:t>
      </w:r>
    </w:p>
    <w:p>
      <w:r>
        <w:t>The strategic differentiation to test is a complete workflow: launch a well-structured site, design it without repetitive code edits, let clients update safe content, and identify improvements using real search evidence. Each stage must prove its own value before the next becomes a large project.</w:t>
      </w:r>
    </w:p>
    <w:p>
      <w:pPr>
        <w:pStyle w:val="Heading1"/>
      </w:pPr>
      <w:r>
        <w:t>2 Recommended system boundaries</w:t>
      </w:r>
    </w:p>
    <w:tbl>
      <w:tblPr>
        <w:tblW w:type="auto" w:w="0"/>
        <w:tblLayout w:type="fixed"/>
        <w:tblLook w:firstColumn="1" w:firstRow="1" w:lastColumn="0" w:lastRow="0" w:noHBand="0" w:noVBand="1" w:val="04A0"/>
      </w:tblPr>
      <w:tblGrid>
        <w:gridCol w:w="2397"/>
        <w:gridCol w:w="2397"/>
        <w:gridCol w:w="2397"/>
        <w:gridCol w:w="2397"/>
      </w:tblGrid>
      <w:tr>
        <w:trPr>
          <w:tblHeader/>
        </w:trPr>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273441"/>
          </w:tcPr>
          <w:p>
            <w:pPr>
              <w:keepNext/>
              <w:spacing w:after="0" w:line="262" w:lineRule="auto"/>
            </w:pPr>
            <w:r>
              <w:rPr>
                <w:b/>
                <w:color w:val="FFFFFF"/>
                <w:sz w:val="17"/>
              </w:rPr>
              <w:t>Layer</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273441"/>
          </w:tcPr>
          <w:p>
            <w:pPr>
              <w:keepNext/>
              <w:spacing w:after="0" w:line="262" w:lineRule="auto"/>
            </w:pPr>
            <w:r>
              <w:rPr>
                <w:b/>
                <w:color w:val="FFFFFF"/>
                <w:sz w:val="17"/>
              </w:rPr>
              <w:t>Responsibility</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273441"/>
          </w:tcPr>
          <w:p>
            <w:pPr>
              <w:keepNext/>
              <w:spacing w:after="0" w:line="262" w:lineRule="auto"/>
            </w:pPr>
            <w:r>
              <w:rPr>
                <w:b/>
                <w:color w:val="FFFFFF"/>
                <w:sz w:val="17"/>
              </w:rPr>
              <w:t>Source of truth</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273441"/>
          </w:tcPr>
          <w:p>
            <w:pPr>
              <w:keepNext/>
              <w:spacing w:after="0" w:line="262" w:lineRule="auto"/>
            </w:pPr>
            <w:r>
              <w:rPr>
                <w:b/>
                <w:color w:val="FFFFFF"/>
                <w:sz w:val="17"/>
              </w:rPr>
              <w:t>Ships where</w:t>
            </w:r>
          </w:p>
        </w:tc>
      </w:tr>
      <w:tr>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Foundation control plane</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Accounts, organisations, projects, credentials, provisioning runs, deployments, diagnostics</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Nocturne operational database</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One centrally hosted application</w:t>
            </w:r>
          </w:p>
        </w:tc>
      </w:tr>
      <w:tr>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7"/>
              </w:rPr>
              <w:t>Blueprint registry</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7"/>
              </w:rPr>
              <w:t>Pinned, tested starter releases and provisioning inputs</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7"/>
              </w:rPr>
              <w:t>Versioned blueprint specifications</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7"/>
              </w:rPr>
              <w:t>Foundation repository at first</w:t>
            </w:r>
          </w:p>
        </w:tc>
      </w:tr>
      <w:tr>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Design Engine authoring</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Agency-only visual controls, presets, global theme editing, constrained layout changes</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Versioned design schema plus authorised changes</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Foundation interface, later if justified</w:t>
            </w:r>
          </w:p>
        </w:tc>
      </w:tr>
      <w:tr>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7"/>
              </w:rPr>
              <w:t>Design Engine runtime</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7"/>
              </w:rPr>
              <w:t>Render section configurations, styles, effects and reusable components</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7"/>
              </w:rPr>
              <w:t>Pinned package version and validated design data</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7"/>
              </w:rPr>
              <w:t>Each independent website</w:t>
            </w:r>
          </w:p>
        </w:tc>
      </w:tr>
      <w:tr>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Content and Studio</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Copy, media, page blocks, business facts, draft state, publishing</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Client Sanity project and dataset</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Client-controlled CMS and site</w:t>
            </w:r>
          </w:p>
        </w:tc>
      </w:tr>
      <w:tr>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7"/>
              </w:rPr>
              <w:t>SEO and content intelligence</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7"/>
              </w:rPr>
              <w:t>Audits, structured-data validation, Search Console ingestion, recommendations</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7"/>
              </w:rPr>
              <w:t>CMS for facts; search providers for metrics; Nocturne for audit history</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7"/>
              </w:rPr>
              <w:t>Shared package for output checks; central interface for insight</w:t>
            </w:r>
          </w:p>
        </w:tc>
      </w:tr>
      <w:tr>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Generated application</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Public site, preview, rendering, routes, assets and health check</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Its own GitHub repo, CMS and deployment</w:t>
            </w:r>
          </w:p>
        </w:tc>
        <w:tc>
          <w:tcPr>
            <w:tcW w:type="dxa" w:w="2398"/>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7"/>
              </w:rPr>
              <w:t>Independent client deployment</w:t>
            </w:r>
          </w:p>
        </w:tc>
      </w:tr>
    </w:tbl>
    <w:p>
      <w:pPr>
        <w:spacing w:after="0"/>
      </w:pPr>
    </w:p>
    <w:p>
      <w:r>
        <w:t>Nocturne must not become the live runtime of every customer's site. A Foundation outage should not take all client websites offline. Generated sites should continue operating when Foundation is unavailable or a subscription ends, subject to the client's own hosting and provider accounts.</w:t>
      </w:r>
    </w:p>
    <w:p>
      <w:pPr>
        <w:pStyle w:val="Heading2"/>
      </w:pPr>
      <w:r>
        <w:t>Recommended relationship</w:t>
      </w:r>
    </w:p>
    <w:p>
      <w:r>
        <w:t>Foundation launches a pinned blueprint. That blueprint creates a client-owned repository containing a Next.js website, Sanity schemas, the page renderer, SEO utilities, tests and deployment settings. Foundation records provider resources and their states. The agency Design Engine edits a validated design configuration consumed by the site runtime; Sanity stores approved client-editable content. Search Console data is read into the intelligence layer to support recommendations and longitudinal review.</w:t>
      </w:r>
    </w:p>
    <w:p>
      <w:pPr>
        <w:pStyle w:val="Heading1"/>
      </w:pPr>
      <w:r>
        <w:t>3 Repository decision</w:t>
      </w:r>
    </w:p>
    <w:p>
      <w:r>
        <w:rPr>
          <w:b/>
        </w:rPr>
        <w:t>Start with one Nocturne monorepo plus one independent repository per generated client application. Do not create a separate Design Engine repository on day one.</w:t>
      </w:r>
      <w:r>
        <w:t xml:space="preserve"> Repository separation only makes sense when the design system has a distinct team, versioning cadence or reuse outside Foundation.</w:t>
      </w:r>
    </w:p>
    <w:p>
      <w:r>
        <w:t>Suggested monorepo structure:</w:t>
      </w:r>
    </w:p>
    <w:p>
      <w:pPr>
        <w:spacing w:after="200" w:line="250" w:lineRule="auto"/>
        <w:ind w:left="317"/>
      </w:pPr>
      <w:r>
        <w:rPr>
          <w:rFonts w:ascii="Consolas" w:hAnsi="Consolas"/>
          <w:color w:val="2D323A"/>
          <w:sz w:val="16"/>
        </w:rPr>
        <w:t>nocturne/</w:t>
        <w:br/>
      </w:r>
      <w:r>
        <w:rPr>
          <w:rFonts w:ascii="Consolas" w:hAnsi="Consolas"/>
          <w:color w:val="2D323A"/>
          <w:sz w:val="16"/>
        </w:rPr>
        <w:t xml:space="preserve">  apps/</w:t>
        <w:br/>
      </w:r>
      <w:r>
        <w:rPr>
          <w:rFonts w:ascii="Consolas" w:hAnsi="Consolas"/>
          <w:color w:val="2D323A"/>
          <w:sz w:val="16"/>
        </w:rPr>
        <w:t xml:space="preserve">    foundation-web/               central dashboard and agency authoring UI</w:t>
        <w:br/>
      </w:r>
      <w:r>
        <w:rPr>
          <w:rFonts w:ascii="Consolas" w:hAnsi="Consolas"/>
          <w:color w:val="2D323A"/>
          <w:sz w:val="16"/>
        </w:rPr>
        <w:t xml:space="preserve">    worker/                       durable provisioning and repair workflows</w:t>
        <w:br/>
      </w:r>
      <w:r>
        <w:rPr>
          <w:rFonts w:ascii="Consolas" w:hAnsi="Consolas"/>
          <w:color w:val="2D323A"/>
          <w:sz w:val="16"/>
        </w:rPr>
        <w:t xml:space="preserve">  packages/</w:t>
        <w:br/>
      </w:r>
      <w:r>
        <w:rPr>
          <w:rFonts w:ascii="Consolas" w:hAnsi="Consolas"/>
          <w:color w:val="2D323A"/>
          <w:sz w:val="16"/>
        </w:rPr>
        <w:t xml:space="preserve">    blueprints/                   versioned launch specifications</w:t>
        <w:br/>
      </w:r>
      <w:r>
        <w:rPr>
          <w:rFonts w:ascii="Consolas" w:hAnsi="Consolas"/>
          <w:color w:val="2D323A"/>
          <w:sz w:val="16"/>
        </w:rPr>
        <w:t xml:space="preserve">    project-contracts/            project types and lifecycle schemas</w:t>
        <w:br/>
      </w:r>
      <w:r>
        <w:rPr>
          <w:rFonts w:ascii="Consolas" w:hAnsi="Consolas"/>
          <w:color w:val="2D323A"/>
          <w:sz w:val="16"/>
        </w:rPr>
        <w:t xml:space="preserve">    design-engine/                section registry and design tokens</w:t>
        <w:br/>
      </w:r>
      <w:r>
        <w:rPr>
          <w:rFonts w:ascii="Consolas" w:hAnsi="Consolas"/>
          <w:color w:val="2D323A"/>
          <w:sz w:val="16"/>
        </w:rPr>
        <w:t xml:space="preserve">    page-renderer/                website runtime components</w:t>
        <w:br/>
      </w:r>
      <w:r>
        <w:rPr>
          <w:rFonts w:ascii="Consolas" w:hAnsi="Consolas"/>
          <w:color w:val="2D323A"/>
          <w:sz w:val="16"/>
        </w:rPr>
        <w:t xml:space="preserve">    content-contracts/            Sanity schema definitions and migrations</w:t>
        <w:br/>
      </w:r>
      <w:r>
        <w:rPr>
          <w:rFonts w:ascii="Consolas" w:hAnsi="Consolas"/>
          <w:color w:val="2D323A"/>
          <w:sz w:val="16"/>
        </w:rPr>
        <w:t xml:space="preserve">    seo/                          metadata and structured-data output checks</w:t>
        <w:br/>
      </w:r>
      <w:r>
        <w:rPr>
          <w:rFonts w:ascii="Consolas" w:hAnsi="Consolas"/>
          <w:color w:val="2D323A"/>
          <w:sz w:val="16"/>
        </w:rPr>
        <w:t xml:space="preserve">    provider-github/              GitHub integration</w:t>
        <w:br/>
      </w:r>
      <w:r>
        <w:rPr>
          <w:rFonts w:ascii="Consolas" w:hAnsi="Consolas"/>
          <w:color w:val="2D323A"/>
          <w:sz w:val="16"/>
        </w:rPr>
        <w:t xml:space="preserve">    provider-sanity/              Sanity integration</w:t>
        <w:br/>
      </w:r>
      <w:r>
        <w:rPr>
          <w:rFonts w:ascii="Consolas" w:hAnsi="Consolas"/>
          <w:color w:val="2D323A"/>
          <w:sz w:val="16"/>
        </w:rPr>
        <w:t xml:space="preserve">    provider-vercel/              Vercel integration</w:t>
        <w:br/>
      </w:r>
      <w:r>
        <w:rPr>
          <w:rFonts w:ascii="Consolas" w:hAnsi="Consolas"/>
          <w:color w:val="2D323A"/>
          <w:sz w:val="16"/>
        </w:rPr>
        <w:t xml:space="preserve">    ui/                           control-plane UI components</w:t>
        <w:br/>
      </w:r>
      <w:r>
        <w:rPr>
          <w:rFonts w:ascii="Consolas" w:hAnsi="Consolas"/>
          <w:color w:val="2D323A"/>
          <w:sz w:val="16"/>
        </w:rPr>
        <w:t xml:space="preserve">  templates/</w:t>
        <w:br/>
      </w:r>
      <w:r>
        <w:rPr>
          <w:rFonts w:ascii="Consolas" w:hAnsi="Consolas"/>
          <w:color w:val="2D323A"/>
          <w:sz w:val="16"/>
        </w:rPr>
        <w:t xml:space="preserve">    next-sanity-site/             first pinned website starter</w:t>
        <w:br/>
      </w:r>
      <w:r>
        <w:rPr>
          <w:rFonts w:ascii="Consolas" w:hAnsi="Consolas"/>
          <w:color w:val="2D323A"/>
          <w:sz w:val="16"/>
        </w:rPr>
        <w:t xml:space="preserve">  tests/</w:t>
        <w:br/>
      </w:r>
      <w:r>
        <w:rPr>
          <w:rFonts w:ascii="Consolas" w:hAnsi="Consolas"/>
          <w:color w:val="2D323A"/>
          <w:sz w:val="16"/>
        </w:rPr>
        <w:t xml:space="preserve">    provider-contracts/           integration and failure-path tests</w:t>
        <w:br/>
      </w:r>
      <w:r>
        <w:rPr>
          <w:rFonts w:ascii="Consolas" w:hAnsi="Consolas"/>
          <w:color w:val="2D323A"/>
          <w:sz w:val="16"/>
        </w:rPr>
        <w:t xml:space="preserve">    golden-path/                  real launch and preview verification</w:t>
      </w:r>
    </w:p>
    <w:p>
      <w:r>
        <w:t>Generated client repositories should be genuinely independent; for example:</w:t>
      </w:r>
    </w:p>
    <w:p>
      <w:pPr>
        <w:spacing w:after="200" w:line="250" w:lineRule="auto"/>
        <w:ind w:left="317"/>
      </w:pPr>
      <w:r>
        <w:rPr>
          <w:rFonts w:ascii="Consolas" w:hAnsi="Consolas"/>
          <w:color w:val="2D323A"/>
          <w:sz w:val="16"/>
        </w:rPr>
        <w:t>client-site/</w:t>
        <w:br/>
      </w:r>
      <w:r>
        <w:rPr>
          <w:rFonts w:ascii="Consolas" w:hAnsi="Consolas"/>
          <w:color w:val="2D323A"/>
          <w:sz w:val="16"/>
        </w:rPr>
        <w:t xml:space="preserve">  app/                            Next.js routes and rendering</w:t>
        <w:br/>
      </w:r>
      <w:r>
        <w:rPr>
          <w:rFonts w:ascii="Consolas" w:hAnsi="Consolas"/>
          <w:color w:val="2D323A"/>
          <w:sz w:val="16"/>
        </w:rPr>
        <w:t xml:space="preserve">  sanity/                         project schema and Studio configuration</w:t>
        <w:br/>
      </w:r>
      <w:r>
        <w:rPr>
          <w:rFonts w:ascii="Consolas" w:hAnsi="Consolas"/>
          <w:color w:val="2D323A"/>
          <w:sz w:val="16"/>
        </w:rPr>
        <w:t xml:space="preserve">  site.config.ts                  component registry and site overrides</w:t>
        <w:br/>
      </w:r>
      <w:r>
        <w:rPr>
          <w:rFonts w:ascii="Consolas" w:hAnsi="Consolas"/>
          <w:color w:val="2D323A"/>
          <w:sz w:val="16"/>
        </w:rPr>
        <w:t xml:space="preserve">  content/                        deterministic seed/migration inputs</w:t>
        <w:br/>
      </w:r>
      <w:r>
        <w:rPr>
          <w:rFonts w:ascii="Consolas" w:hAnsi="Consolas"/>
          <w:color w:val="2D323A"/>
          <w:sz w:val="16"/>
        </w:rPr>
        <w:t xml:space="preserve">  tests/                          content, render, SEO and build checks</w:t>
        <w:br/>
      </w:r>
      <w:r>
        <w:rPr>
          <w:rFonts w:ascii="Consolas" w:hAnsi="Consolas"/>
          <w:color w:val="2D323A"/>
          <w:sz w:val="16"/>
        </w:rPr>
        <w:t xml:space="preserve">  package.json                    pinned Nocturne runtime package versions</w:t>
      </w:r>
    </w:p>
    <w:p>
      <w:r>
        <w:t>Published shared packages can remain private while Currawong is the only consumer. Every client build must pin compatible versions. A deliberate update workflow should open a tested pull request or equivalent reviewed release rather than silently mutating production code. Clients need source ownership and an offboarding path.</w:t>
      </w:r>
    </w:p>
    <w:p>
      <w:pPr>
        <w:pStyle w:val="Heading2"/>
      </w:pPr>
      <w:r>
        <w:t>Three kinds of change</w:t>
      </w:r>
    </w:p>
    <w:p>
      <w:pPr>
        <w:spacing w:after="80"/>
        <w:ind w:left="432" w:hanging="360"/>
      </w:pPr>
      <w:r>
        <w:rPr>
          <w:b/>
        </w:rPr>
        <w:t xml:space="preserve">1.  </w:t>
      </w:r>
      <w:r>
        <w:rPr>
          <w:b/>
        </w:rPr>
        <w:t>Content edit:</w:t>
      </w:r>
      <w:r>
        <w:t xml:space="preserve"> copy, image, link, service information and page sections permitted by the content schema. Save in Sanity and preview; publish through the existing site data path without code regeneration.</w:t>
      </w:r>
    </w:p>
    <w:p>
      <w:pPr>
        <w:spacing w:after="80"/>
        <w:ind w:left="432" w:hanging="360"/>
      </w:pPr>
      <w:r>
        <w:rPr>
          <w:b/>
        </w:rPr>
        <w:t xml:space="preserve">2.  </w:t>
      </w:r>
      <w:r>
        <w:rPr>
          <w:b/>
        </w:rPr>
        <w:t>Design configuration edit:</w:t>
      </w:r>
      <w:r>
        <w:t xml:space="preserve"> site-wide colors, typography, spacing, surfaces, glass treatment, responsive variants and supported motion. Save a validated design configuration, preview across breakpoints and publish safely. Decide during the first implementation whether these authorised settings live in Sanity or version-controlled site config; do not maintain competing masters.</w:t>
      </w:r>
    </w:p>
    <w:p>
      <w:pPr>
        <w:spacing w:after="80"/>
        <w:ind w:left="432" w:hanging="360"/>
      </w:pPr>
      <w:r>
        <w:rPr>
          <w:b/>
        </w:rPr>
        <w:t xml:space="preserve">3.  </w:t>
      </w:r>
      <w:r>
        <w:rPr>
          <w:b/>
        </w:rPr>
        <w:t>Code capability change:</w:t>
      </w:r>
      <w:r>
        <w:t xml:space="preserve"> a brand-new section type, custom integration or behavior outside the supported component grammar. Version it in the package or client repo, run CI and deploy. A UI cannot safely promise unlimited arbitrary behavior without this escape hatch.</w:t>
      </w:r>
    </w:p>
    <w:p>
      <w:pPr>
        <w:pStyle w:val="Heading1"/>
      </w:pPr>
      <w:r>
        <w:t>4 First verified launch workflow</w:t>
      </w:r>
    </w:p>
    <w:p>
      <w:r>
        <w:t>The initial golden path is deliberately narrow: Next.js, Sanity, GitHub and Vercel. Supabase is a future database or authentication capability, not a substitute for Sanity content infrastructure.</w:t>
      </w:r>
    </w:p>
    <w:p>
      <w:pPr>
        <w:spacing w:after="80"/>
        <w:ind w:left="432" w:hanging="360"/>
      </w:pPr>
      <w:r>
        <w:rPr>
          <w:b/>
        </w:rPr>
        <w:t xml:space="preserve">1.  </w:t>
      </w:r>
      <w:r>
        <w:t xml:space="preserve">User selects </w:t>
      </w:r>
      <w:r>
        <w:rPr>
          <w:b/>
        </w:rPr>
        <w:t>New Web Project</w:t>
      </w:r>
      <w:r>
        <w:t>, a tested blueprint version, project name, GitHub owner and provider destinations.</w:t>
      </w:r>
    </w:p>
    <w:p>
      <w:pPr>
        <w:spacing w:after="80"/>
        <w:ind w:left="432" w:hanging="360"/>
      </w:pPr>
      <w:r>
        <w:rPr>
          <w:b/>
        </w:rPr>
        <w:t xml:space="preserve">2.  </w:t>
      </w:r>
      <w:r>
        <w:t>Foundation checks each connected account, scopes, quotas, naming collisions, billing responsibilities and ability to write the required resources.</w:t>
      </w:r>
    </w:p>
    <w:p>
      <w:pPr>
        <w:spacing w:after="80"/>
        <w:ind w:left="432" w:hanging="360"/>
      </w:pPr>
      <w:r>
        <w:rPr>
          <w:b/>
        </w:rPr>
        <w:t xml:space="preserve">3.  </w:t>
      </w:r>
      <w:r>
        <w:t>Foundation creates or safely connects the client-controlled Sanity project and dataset, applies a pinned schema contract, sets allowed origins, seeds site settings and representative content, and tests a read query.</w:t>
      </w:r>
    </w:p>
    <w:p>
      <w:pPr>
        <w:spacing w:after="80"/>
        <w:ind w:left="432" w:hanging="360"/>
      </w:pPr>
      <w:r>
        <w:rPr>
          <w:b/>
        </w:rPr>
        <w:t xml:space="preserve">4.  </w:t>
      </w:r>
      <w:r>
        <w:t>Foundation creates a repository from the tested template, writes the minimum project-specific configuration and protects secrets from logs or commits.</w:t>
      </w:r>
    </w:p>
    <w:p>
      <w:pPr>
        <w:spacing w:after="80"/>
        <w:ind w:left="432" w:hanging="360"/>
      </w:pPr>
      <w:r>
        <w:rPr>
          <w:b/>
        </w:rPr>
        <w:t xml:space="preserve">5.  </w:t>
      </w:r>
      <w:r>
        <w:t>Foundation creates or connects the deployment project, configures environment variables securely, and initiates the deployment.</w:t>
      </w:r>
    </w:p>
    <w:p>
      <w:pPr>
        <w:spacing w:after="80"/>
        <w:ind w:left="432" w:hanging="360"/>
      </w:pPr>
      <w:r>
        <w:rPr>
          <w:b/>
        </w:rPr>
        <w:t xml:space="preserve">6.  </w:t>
      </w:r>
      <w:r>
        <w:t>The worker records durable step states and can resume after retries or partial failure. Do not rerun completed mutations blindly.</w:t>
      </w:r>
    </w:p>
    <w:p>
      <w:pPr>
        <w:spacing w:after="80"/>
        <w:ind w:left="432" w:hanging="360"/>
      </w:pPr>
      <w:r>
        <w:rPr>
          <w:b/>
        </w:rPr>
        <w:t xml:space="preserve">7.  </w:t>
      </w:r>
      <w:r>
        <w:t xml:space="preserve">A preview URL is reported </w:t>
      </w:r>
      <w:r>
        <w:rPr>
          <w:b/>
        </w:rPr>
        <w:t>only after</w:t>
      </w:r>
      <w:r>
        <w:t xml:space="preserve"> a real HTTP request succeeds and the page exposes the expected unique seeded content marker; build and provider status checks must also pass.</w:t>
      </w:r>
    </w:p>
    <w:p>
      <w:pPr>
        <w:spacing w:after="80"/>
        <w:ind w:left="432" w:hanging="360"/>
      </w:pPr>
      <w:r>
        <w:rPr>
          <w:b/>
        </w:rPr>
        <w:t xml:space="preserve">8.  </w:t>
      </w:r>
      <w:r>
        <w:t>Foundation returns the verified preview, repository, Sanity Studio and deployment links, plus useful next actions.</w:t>
      </w:r>
    </w:p>
    <w:p>
      <w:r>
        <w:t>Define the 15-minute claim precisely: start at the first project-launch action after sign-in; finish when the user can open the verified preview. Measure hands-on interaction time, elapsed time and provider approval or queue time separately. Provisional targets to test are connected-account median at most 8 minutes and p90 at most 15; first-time users may require longer provider consent. Never call a queued deployment successful.</w:t>
      </w:r>
    </w:p>
    <w:p>
      <w:pPr>
        <w:pStyle w:val="Heading2"/>
      </w:pPr>
      <w:r>
        <w:t>Feasibility constraints to prove first</w:t>
      </w:r>
    </w:p>
    <w:p>
      <w:pPr>
        <w:pStyle w:val="ListBullet"/>
      </w:pPr>
      <w:r>
        <w:t xml:space="preserve">Confirm a valid </w:t>
      </w:r>
      <w:r>
        <w:rPr>
          <w:b/>
        </w:rPr>
        <w:t>customer-owned Sanity authorisation path</w:t>
      </w:r>
      <w:r>
        <w:t>. A browser OAuth flow for Sanity CLI is not proof that a third-party SaaS can delegate all management actions. Native Sanity/Vercel integrations may offer a more practical first path; inspect their ownership and permissions.</w:t>
      </w:r>
    </w:p>
    <w:p>
      <w:pPr>
        <w:pStyle w:val="ListBullet"/>
      </w:pPr>
      <w:r>
        <w:t>Verify GitHub App installation permissions, template ownership, organisation policies and repository creation behavior.</w:t>
      </w:r>
    </w:p>
    <w:p>
      <w:pPr>
        <w:pStyle w:val="ListBullet"/>
      </w:pPr>
      <w:r>
        <w:t>Verify Vercel scopes, importing repositories, project creation, environment setting and a programmatic definition of deployment readiness.</w:t>
      </w:r>
    </w:p>
    <w:p>
      <w:pPr>
        <w:pStyle w:val="ListBullet"/>
      </w:pPr>
      <w:r>
        <w:t>Pin the starter version and contract-test schema deployment, content seeding, Next.js revalidation, preview URLs, cancellation and rollback instructions.</w:t>
      </w:r>
    </w:p>
    <w:p>
      <w:pPr>
        <w:pStyle w:val="ListBullet"/>
      </w:pPr>
      <w:r>
        <w:t>State plainly when account approval, payment or manual provider steps are unavoidable.</w:t>
      </w:r>
    </w:p>
    <w:p>
      <w:pPr>
        <w:pStyle w:val="Heading1"/>
      </w:pPr>
      <w:r>
        <w:t>5 Design Engine as a practical agency tool</w:t>
      </w:r>
    </w:p>
    <w:p>
      <w:r>
        <w:t>The Design Engine should first eliminate repetitive design changes, not attempt to recreate Figma, Webflow or all of CSS. Its unique value to Currawong would be the ability to express a distinctive design through a constrained, composable system that remains understandable to a developer.</w:t>
      </w:r>
    </w:p>
    <w:p>
      <w:pPr>
        <w:pStyle w:val="Heading2"/>
      </w:pPr>
      <w:r>
        <w:t>Minimum component grammar</w:t>
      </w:r>
    </w:p>
    <w:p>
      <w:r>
        <w:t>Start with roughly six well-built section families: hero, split media and text, feature or service grid, editorial content, testimonials or proof, and call to action. Include basic navigation and footer patterns. Each family should expose responsive layouts, controlled slots and design variants rather than dozens of unrelated templates.</w:t>
      </w:r>
    </w:p>
    <w:p>
      <w:r>
        <w:t xml:space="preserve">Example: a split content section defines </w:t>
      </w:r>
      <w:r>
        <w:rPr>
          <w:rFonts w:ascii="Consolas" w:hAnsi="Consolas"/>
          <w:color w:val="314050"/>
          <w:sz w:val="18"/>
        </w:rPr>
        <w:t>content</w:t>
      </w:r>
      <w:r>
        <w:t xml:space="preserve">, </w:t>
      </w:r>
      <w:r>
        <w:rPr>
          <w:rFonts w:ascii="Consolas" w:hAnsi="Consolas"/>
          <w:color w:val="314050"/>
          <w:sz w:val="18"/>
        </w:rPr>
        <w:t>media</w:t>
      </w:r>
      <w:r>
        <w:t xml:space="preserve">, </w:t>
      </w:r>
      <w:r>
        <w:rPr>
          <w:rFonts w:ascii="Consolas" w:hAnsi="Consolas"/>
          <w:color w:val="314050"/>
          <w:sz w:val="18"/>
        </w:rPr>
        <w:t>actions</w:t>
      </w:r>
      <w:r>
        <w:t xml:space="preserve">, </w:t>
      </w:r>
      <w:r>
        <w:rPr>
          <w:rFonts w:ascii="Consolas" w:hAnsi="Consolas"/>
          <w:color w:val="314050"/>
          <w:sz w:val="18"/>
        </w:rPr>
        <w:t>supportingMedia</w:t>
      </w:r>
      <w:r>
        <w:t xml:space="preserve">, </w:t>
      </w:r>
      <w:r>
        <w:rPr>
          <w:rFonts w:ascii="Consolas" w:hAnsi="Consolas"/>
          <w:color w:val="314050"/>
          <w:sz w:val="18"/>
        </w:rPr>
        <w:t>layout</w:t>
      </w:r>
      <w:r>
        <w:t xml:space="preserve">, </w:t>
      </w:r>
      <w:r>
        <w:rPr>
          <w:rFonts w:ascii="Consolas" w:hAnsi="Consolas"/>
          <w:color w:val="314050"/>
          <w:sz w:val="18"/>
        </w:rPr>
        <w:t>surface</w:t>
      </w:r>
      <w:r>
        <w:t xml:space="preserve">, and </w:t>
      </w:r>
      <w:r>
        <w:rPr>
          <w:rFonts w:ascii="Consolas" w:hAnsi="Consolas"/>
          <w:color w:val="314050"/>
          <w:sz w:val="18"/>
        </w:rPr>
        <w:t>motion</w:t>
      </w:r>
      <w:r>
        <w:t>. The editor can place text left and image right, put a button beneath the text, add a video below the image, switch to a glass surface and tune a supported parallax effect. Unsupported combinations should be rejected or flagged before publishing.</w:t>
      </w:r>
    </w:p>
    <w:p>
      <w:pPr>
        <w:pStyle w:val="Heading2"/>
      </w:pPr>
      <w:r>
        <w:t>Global design system</w:t>
      </w:r>
    </w:p>
    <w:p>
      <w:pPr>
        <w:pStyle w:val="ListBullet"/>
      </w:pPr>
      <w:r>
        <w:t>Semantic tokens for surface, foreground, contrast, brand, accent, border, radius, spacing and type, implemented with CSS custom properties.</w:t>
      </w:r>
    </w:p>
    <w:p>
      <w:pPr>
        <w:pStyle w:val="ListBullet"/>
      </w:pPr>
      <w:r>
        <w:t>A site-level theme that sections inherit by default. Changing a blue page background should trigger consistent glass contrast, borders and readable foreground adjustments rather than manual edits in every section.</w:t>
      </w:r>
    </w:p>
    <w:p>
      <w:pPr>
        <w:pStyle w:val="ListBullet"/>
      </w:pPr>
      <w:r>
        <w:t xml:space="preserve">An explicit local override for intentional exceptions, with a clear </w:t>
      </w:r>
      <w:r>
        <w:rPr>
          <w:b/>
        </w:rPr>
        <w:t>Reset to theme</w:t>
      </w:r>
      <w:r>
        <w:t xml:space="preserve"> action.</w:t>
      </w:r>
    </w:p>
    <w:p>
      <w:pPr>
        <w:pStyle w:val="ListBullet"/>
      </w:pPr>
      <w:r>
        <w:t>Tested accessible motion presets with reduced-motion behavior, mobile fallbacks and performance budgets. Glass or parallax should not be promoted if text contrast or usability suffers.</w:t>
      </w:r>
    </w:p>
    <w:p>
      <w:pPr>
        <w:pStyle w:val="ListBullet"/>
      </w:pPr>
      <w:r>
        <w:t>Preview states for desktop, tablet and mobile; undo/version history; publish permission boundaries.</w:t>
      </w:r>
    </w:p>
    <w:p>
      <w:pPr>
        <w:pStyle w:val="Heading2"/>
      </w:pPr>
      <w:r>
        <w:t>Image to website is a later experiment</w:t>
      </w:r>
    </w:p>
    <w:p>
      <w:r>
        <w:t>An AI model may analyse a design reference and propose section types, tokens, media slots and content hierarchy, but the result must conform to the supported component grammar. Require human review of asset rights, responsiveness, accessibility, content accuracy and visual fidelity. Measure subsequent manual correction time. A screenshot-to-code demo is not evidence that the product saves agency hours.</w:t>
      </w:r>
    </w:p>
    <w:p>
      <w:pPr>
        <w:pStyle w:val="Heading2"/>
      </w:pPr>
      <w:r>
        <w:t>Studio integration</w:t>
      </w:r>
    </w:p>
    <w:p>
      <w:r>
        <w:t>Use Sanity Studio and its Presentation Tool as the first path for client content editing and click-to-edit preview rather than rebuilding a CMS interface. Sanity documents its embedded frontend preview and editing protocol [6]. Agency design controls can be a separate role-adapted Nocturne workspace, using the same underlying component and content contracts. Clients see fields and publishing actions; the agency sees advanced design decisions.</w:t>
      </w:r>
    </w:p>
    <w:p>
      <w:pPr>
        <w:pStyle w:val="Heading1"/>
      </w:pPr>
      <w:r>
        <w:t>6 Content architecture and structured data</w:t>
      </w:r>
    </w:p>
    <w:p>
      <w:r>
        <w:rPr>
          <w:b/>
        </w:rPr>
        <w:t>Build search and structured-data correctness into the content contract from the first blueprint.</w:t>
      </w:r>
      <w:r>
        <w:t xml:space="preserve"> Retrofitting this later recreates exactly the schema-mapping pain that prompted Nocturne.</w:t>
      </w:r>
    </w:p>
    <w:p>
      <w:r>
        <w:t>Use canonical business entities, not manually maintained JSON-LD blobs per page. A plausible starting contract contains:</w:t>
      </w:r>
    </w:p>
    <w:p>
      <w:pPr>
        <w:pStyle w:val="ListBullet"/>
      </w:pPr>
      <w:r>
        <w:rPr>
          <w:rFonts w:ascii="Consolas" w:hAnsi="Consolas"/>
          <w:color w:val="314050"/>
          <w:sz w:val="18"/>
        </w:rPr>
        <w:t>siteSettings</w:t>
      </w:r>
      <w:r>
        <w:t>: legal business name, public contact details, service area, logo, social profiles, canonical base URL, language and publishing defaults.</w:t>
      </w:r>
    </w:p>
    <w:p>
      <w:pPr>
        <w:pStyle w:val="ListBullet"/>
      </w:pPr>
      <w:r>
        <w:rPr>
          <w:rFonts w:ascii="Consolas" w:hAnsi="Consolas"/>
          <w:color w:val="314050"/>
          <w:sz w:val="18"/>
        </w:rPr>
        <w:t>page</w:t>
      </w:r>
      <w:r>
        <w:t>: stable path, title, summary, social image, canonical override when necessary, section references, publication status and editorial owner.</w:t>
      </w:r>
    </w:p>
    <w:p>
      <w:pPr>
        <w:pStyle w:val="ListBullet"/>
      </w:pPr>
      <w:r>
        <w:rPr>
          <w:rFonts w:ascii="Consolas" w:hAnsi="Consolas"/>
          <w:color w:val="314050"/>
          <w:sz w:val="18"/>
        </w:rPr>
        <w:t>service</w:t>
      </w:r>
      <w:r>
        <w:t>: service name, description, audience, evidence, applicable location and related pages.</w:t>
      </w:r>
    </w:p>
    <w:p>
      <w:pPr>
        <w:pStyle w:val="ListBullet"/>
      </w:pPr>
      <w:r>
        <w:rPr>
          <w:rFonts w:ascii="Consolas" w:hAnsi="Consolas"/>
          <w:color w:val="314050"/>
          <w:sz w:val="18"/>
        </w:rPr>
        <w:t>person</w:t>
      </w:r>
      <w:r>
        <w:t xml:space="preserve"> or </w:t>
      </w:r>
      <w:r>
        <w:rPr>
          <w:rFonts w:ascii="Consolas" w:hAnsi="Consolas"/>
          <w:color w:val="314050"/>
          <w:sz w:val="18"/>
        </w:rPr>
        <w:t>author</w:t>
      </w:r>
      <w:r>
        <w:t>: name, role, credentials and relationships, only where truthful and relevant.</w:t>
      </w:r>
    </w:p>
    <w:p>
      <w:pPr>
        <w:pStyle w:val="ListBullet"/>
      </w:pPr>
      <w:r>
        <w:rPr>
          <w:rFonts w:ascii="Consolas" w:hAnsi="Consolas"/>
          <w:color w:val="314050"/>
          <w:sz w:val="18"/>
        </w:rPr>
        <w:t>article</w:t>
      </w:r>
      <w:r>
        <w:t>: title, date, author, topical relationships, content, citations and updates.</w:t>
      </w:r>
    </w:p>
    <w:p>
      <w:pPr>
        <w:pStyle w:val="ListBullet"/>
      </w:pPr>
      <w:r>
        <w:rPr>
          <w:rFonts w:ascii="Consolas" w:hAnsi="Consolas"/>
          <w:color w:val="314050"/>
          <w:sz w:val="18"/>
        </w:rPr>
        <w:t>location</w:t>
      </w:r>
      <w:r>
        <w:t>: business address, area served and opening hours where actually applicable.</w:t>
      </w:r>
    </w:p>
    <w:p>
      <w:r>
        <w:t xml:space="preserve">Then generate normal page metadata, Open Graph tags, canonical URLs, sitemap entries and JSON-LD from the same facts. Use a consistent </w:t>
      </w:r>
      <w:r>
        <w:rPr>
          <w:rFonts w:ascii="Consolas" w:hAnsi="Consolas"/>
          <w:color w:val="314050"/>
          <w:sz w:val="18"/>
        </w:rPr>
        <w:t>@id</w:t>
      </w:r>
      <w:r>
        <w:t xml:space="preserve"> strategy and a connected schema graph where appropriate: Organisation or relevant LocalBusiness, WebSite, WebPage, BreadcrumbList, Service and Article. Select types according to the real business and Google's supported search features, rather than marking every page with every type. Google says structured data should describe visible page content and can make pages eligible for certain rich results; eligibility does not guarantee appearance [2].</w:t>
      </w:r>
    </w:p>
    <w:p>
      <w:pPr>
        <w:pStyle w:val="Heading2"/>
      </w:pPr>
      <w:r>
        <w:t>Site and page audit</w:t>
      </w:r>
    </w:p>
    <w:p>
      <w:r>
        <w:t>The auditing system should test five separately explainable areas:</w:t>
      </w:r>
    </w:p>
    <w:tbl>
      <w:tblPr>
        <w:tblW w:type="auto" w:w="0"/>
        <w:tblLayout w:type="fixed"/>
        <w:tblLook w:firstColumn="1" w:firstRow="1" w:lastColumn="0" w:lastRow="0" w:noHBand="0" w:noVBand="1" w:val="04A0"/>
      </w:tblPr>
      <w:tblGrid>
        <w:gridCol w:w="3197"/>
        <w:gridCol w:w="3197"/>
        <w:gridCol w:w="3197"/>
      </w:tblGrid>
      <w:tr>
        <w:trPr>
          <w:tblHeader/>
        </w:trP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273441"/>
          </w:tcPr>
          <w:p>
            <w:pPr>
              <w:keepNext/>
              <w:spacing w:after="0" w:line="262" w:lineRule="auto"/>
            </w:pPr>
            <w:r>
              <w:rPr>
                <w:b/>
                <w:color w:val="FFFFFF"/>
                <w:sz w:val="16"/>
              </w:rPr>
              <w:t>Audit area</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273441"/>
          </w:tcPr>
          <w:p>
            <w:pPr>
              <w:keepNext/>
              <w:spacing w:after="0" w:line="262" w:lineRule="auto"/>
            </w:pPr>
            <w:r>
              <w:rPr>
                <w:b/>
                <w:color w:val="FFFFFF"/>
                <w:sz w:val="16"/>
              </w:rPr>
              <w:t>What it checks</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273441"/>
          </w:tcPr>
          <w:p>
            <w:pPr>
              <w:keepNext/>
              <w:spacing w:after="0" w:line="262" w:lineRule="auto"/>
            </w:pPr>
            <w:r>
              <w:rPr>
                <w:b/>
                <w:color w:val="FFFFFF"/>
                <w:sz w:val="16"/>
              </w:rPr>
              <w:t>Evidence and response</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Technical discovery</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robots, canonical, sitemap, status codes, internal links, indexing signals</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Automated HTTP checks plus Search Console inspection where available</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Metadata and presentation</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titles, descriptions, OG tags, duplicate or thin summaries</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Compare rendered output against content model</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Structured data integrity</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syntax, supported types, required fields, cross-page consistency, claims matching visible text</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JSON-LD validator, Rich Results Test guidance, explicit errors</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Content usefulness</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services explained, question coverage, firsthand evidence, outdated claims, topical relationships</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Editorial review and optional AI suggestions clearly labelled as heuristics</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Real search outcomes</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impressions, clicks, CTR, position, index status, page and query trends</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Search Console data with date ranges and caveats</w:t>
            </w:r>
          </w:p>
        </w:tc>
      </w:tr>
    </w:tbl>
    <w:p>
      <w:pPr>
        <w:spacing w:after="0"/>
      </w:pPr>
    </w:p>
    <w:p>
      <w:r>
        <w:t xml:space="preserve">Do not combine all of these into a mysterious 'SEO 92/100'. A useful readout might say </w:t>
      </w:r>
      <w:r>
        <w:rPr>
          <w:b/>
        </w:rPr>
        <w:t>Technical readiness 8 of 9 checks passed; Structured data 3 issues; Content opportunities 4; 28-day branded clicks up 12%</w:t>
      </w:r>
      <w:r>
        <w:t>. The percentages are illustrative, not actual Nocturne results. Each finding should link to affected pages, evidence, expected effort and a suggested action.</w:t>
      </w:r>
    </w:p>
    <w:p>
      <w:pPr>
        <w:pStyle w:val="Heading1"/>
      </w:pPr>
      <w:r>
        <w:t>7 What LLM SEO can and cannot mean</w:t>
      </w:r>
    </w:p>
    <w:p>
      <w:r>
        <w:t>AI search optimisation is worth considering, but it must be grounded in truthful content, crawlability, subject clarity and measurable external visibility. Google's official guidance says the established SEO best practices remain relevant for AI Overviews and AI Mode, and that there are no special technical requirements or AI-specific schema additions for inclusion [1]. It also states that appearing in these features is not guaranteed.</w:t>
      </w:r>
    </w:p>
    <w:p>
      <w:r>
        <w:t xml:space="preserve">Nocturne can evaluate whether pages are </w:t>
      </w:r>
      <w:r>
        <w:rPr>
          <w:b/>
        </w:rPr>
        <w:t>AI-discovery ready</w:t>
      </w:r>
      <w:r>
        <w:t xml:space="preserve"> using transparent heuristics: accessible text, clear entities, concise service explanations, original examples, evidence for claims, authorship where relevant, consistent structured data and maintained facts. It should label the result a </w:t>
      </w:r>
      <w:r>
        <w:rPr>
          <w:b/>
        </w:rPr>
        <w:t>readiness audit</w:t>
      </w:r>
      <w:r>
        <w:t>, never a predictive 'LLM rank' or 'chance of being recommended by ChatGPT'.</w:t>
      </w:r>
    </w:p>
    <w:p>
      <w:r>
        <w:t>Distinguish three measurements:</w:t>
      </w:r>
    </w:p>
    <w:p>
      <w:pPr>
        <w:spacing w:after="80"/>
        <w:ind w:left="432" w:hanging="360"/>
      </w:pPr>
      <w:r>
        <w:rPr>
          <w:b/>
        </w:rPr>
        <w:t xml:space="preserve">1.  </w:t>
      </w:r>
      <w:r>
        <w:rPr>
          <w:b/>
        </w:rPr>
        <w:t>Readiness</w:t>
      </w:r>
      <w:r>
        <w:t xml:space="preserve"> is testable within the product but only a proxy for possible discovery.</w:t>
      </w:r>
    </w:p>
    <w:p>
      <w:pPr>
        <w:spacing w:after="80"/>
        <w:ind w:left="432" w:hanging="360"/>
      </w:pPr>
      <w:r>
        <w:rPr>
          <w:b/>
        </w:rPr>
        <w:t xml:space="preserve">2.  </w:t>
      </w:r>
      <w:r>
        <w:rPr>
          <w:b/>
        </w:rPr>
        <w:t>Google organic performance</w:t>
      </w:r>
      <w:r>
        <w:t xml:space="preserve"> is observable through Search Console, although Google includes AI-feature traffic in the broader Web performance data, rather than providing an independent AI rank metric [1].</w:t>
      </w:r>
    </w:p>
    <w:p>
      <w:pPr>
        <w:spacing w:after="80"/>
        <w:ind w:left="432" w:hanging="360"/>
      </w:pPr>
      <w:r>
        <w:rPr>
          <w:b/>
        </w:rPr>
        <w:t xml:space="preserve">3.  </w:t>
      </w:r>
      <w:r>
        <w:rPr>
          <w:b/>
        </w:rPr>
        <w:t>Some AI citations</w:t>
      </w:r>
      <w:r>
        <w:t xml:space="preserve"> may be directly observable through provider-specific products. Microsoft's Bing Webmaster Tools introduced AI Performance in public preview in February 2026, showing aggregated citations and referenced URLs for supported Microsoft AI experiences, with explicit coverage limits [5]. Do not generalise that data to all AI assistants.</w:t>
      </w:r>
    </w:p>
    <w:p>
      <w:r>
        <w:t>Optional, expensive third-party AI answer sampling can help research brand visibility, but results change by prompt, location, model and time. Do not treat synthetic prompts as market-wide ground truth or guarantee clients an uplift.</w:t>
      </w:r>
    </w:p>
    <w:p>
      <w:pPr>
        <w:pStyle w:val="Heading1"/>
      </w:pPr>
      <w:r>
        <w:t>8 Google Search Console intelligence workflow</w:t>
      </w:r>
    </w:p>
    <w:p>
      <w:r>
        <w:t xml:space="preserve">Search Console should initially be a </w:t>
      </w:r>
      <w:r>
        <w:rPr>
          <w:b/>
        </w:rPr>
        <w:t>read-only decision-support integration</w:t>
      </w:r>
      <w:r>
        <w:t>, not a system that silently rewrites content or makes ranking claims. Authorise access to a client-selected property through appropriate Google consent and confirm the user has permission. Encrypt credentials and support disconnect/revocation.</w:t>
      </w:r>
    </w:p>
    <w:p>
      <w:r>
        <w:t>Google's Search Analytics API can return clicks, impressions, CTR and position grouped by page, query, country, device and date [3]. The API notes that it may return top rows rather than every query, so totals and coverage must be understood. The URL Inspection API can return information about the version present in Google's index; it does not perform a live test or force indexing [4].</w:t>
      </w:r>
    </w:p>
    <w:p>
      <w:r>
        <w:t>The useful product workflow:</w:t>
      </w:r>
    </w:p>
    <w:p>
      <w:pPr>
        <w:spacing w:after="80"/>
        <w:ind w:left="432" w:hanging="360"/>
      </w:pPr>
      <w:r>
        <w:rPr>
          <w:b/>
        </w:rPr>
        <w:t xml:space="preserve">1.  </w:t>
      </w:r>
      <w:r>
        <w:t>Connect the verified Search Console property and match canonical hostnames to the site.</w:t>
      </w:r>
    </w:p>
    <w:p>
      <w:pPr>
        <w:spacing w:after="80"/>
        <w:ind w:left="432" w:hanging="360"/>
      </w:pPr>
      <w:r>
        <w:rPr>
          <w:b/>
        </w:rPr>
        <w:t xml:space="preserve">2.  </w:t>
      </w:r>
      <w:r>
        <w:t>Import a small recent window, e.g., last complete 28 days, and a comparable preceding window. Show data freshness, privacy thresholds, query truncation and seasonality caveats.</w:t>
      </w:r>
    </w:p>
    <w:p>
      <w:pPr>
        <w:spacing w:after="80"/>
        <w:ind w:left="432" w:hanging="360"/>
      </w:pPr>
      <w:r>
        <w:rPr>
          <w:b/>
        </w:rPr>
        <w:t xml:space="preserve">3.  </w:t>
      </w:r>
      <w:r>
        <w:t>Join GSC URLs to Nocturne's page IDs and content entities, preserving unmatched pages for migration and redirect diagnosis.</w:t>
      </w:r>
    </w:p>
    <w:p>
      <w:pPr>
        <w:spacing w:after="80"/>
        <w:ind w:left="432" w:hanging="360"/>
      </w:pPr>
      <w:r>
        <w:rPr>
          <w:b/>
        </w:rPr>
        <w:t xml:space="preserve">4.  </w:t>
      </w:r>
      <w:r>
        <w:t>Generate explainable opportunity cards: high impressions and weak CTR; declining service page; relevant queries lacking a well-covered page; technical indexing anomalies; structured data errors; stale or inconsistent business facts.</w:t>
      </w:r>
    </w:p>
    <w:p>
      <w:pPr>
        <w:spacing w:after="80"/>
        <w:ind w:left="432" w:hanging="360"/>
      </w:pPr>
      <w:r>
        <w:rPr>
          <w:b/>
        </w:rPr>
        <w:t xml:space="preserve">5.  </w:t>
      </w:r>
      <w:r>
        <w:t>Let the user review the proposed content or metadata changes in a page preview, then approve and publish. Record the change date and page version.</w:t>
      </w:r>
    </w:p>
    <w:p>
      <w:pPr>
        <w:spacing w:after="80"/>
        <w:ind w:left="432" w:hanging="360"/>
      </w:pPr>
      <w:r>
        <w:rPr>
          <w:b/>
        </w:rPr>
        <w:t xml:space="preserve">6.  </w:t>
      </w:r>
      <w:r>
        <w:t>Compare post-change cohorts over sufficient time; avoid attributing every traffic movement to the edit. Add conversion events from a consented analytics source only if available.</w:t>
      </w:r>
    </w:p>
    <w:p>
      <w:r>
        <w:t>Example: a service page earns significant impressions for a clearly relevant query but weak clicks. Nocturne shows the query, time period, displayed snippet candidates, existing title, page intent and draft alternatives. The designer and client choose a truthful revised title; Nocturne validates render and metadata, publishes safely, then tracks the page for several weeks. It cannot promise a better CTR or isolate causality from seasonality and ranking changes.</w:t>
      </w:r>
    </w:p>
    <w:p>
      <w:pPr>
        <w:pStyle w:val="Heading2"/>
      </w:pPr>
      <w:r>
        <w:t>SEO product design</w:t>
      </w:r>
    </w:p>
    <w:p>
      <w:r>
        <w:t xml:space="preserve">Keep a compact </w:t>
      </w:r>
      <w:r>
        <w:rPr>
          <w:b/>
        </w:rPr>
        <w:t>Search Health</w:t>
      </w:r>
      <w:r>
        <w:t xml:space="preserve"> view with four tabs: Health, Opportunities, Search Performance and Change History. Health reports deterministic errors first. Opportunities prioritises by potential impact, evidence confidence and editing effort. Performance shows source data and comparisons. Change History records edits and observed outcomes. Avoid a large marketing dashboard before at least one active client provides sustained usage data.</w:t>
      </w:r>
    </w:p>
    <w:p>
      <w:r>
        <w:t>For recurring revenue, position this as part of a managed improvement service only if Currawong actually provides reviews, recommendations and client support. The software is an aid, not proof the service commands $100 per month.</w:t>
      </w:r>
    </w:p>
    <w:p>
      <w:pPr>
        <w:pStyle w:val="Heading1"/>
      </w:pPr>
      <w:r>
        <w:t>9 Mobile app blueprint family</w:t>
      </w:r>
    </w:p>
    <w:p>
      <w:r>
        <w:t>Mobile deployment should appear in the product model as a possible future blueprint type. Do not make the first web launch workflow depend on mobile-specific architecture.</w:t>
      </w:r>
    </w:p>
    <w:p>
      <w:r>
        <w:t>The first credible experiment uses an Expo and React Native starter and EAS services. Expo documents cloud builds, signing and installable internal distribution [7]. EAS Submit can upload builds to store-managed tracks, but review and public release are separate lifecycle stages [8]. Customers should own their GitHub and developer accounts where practical.</w:t>
      </w:r>
    </w:p>
    <w:p>
      <w:r>
        <w:t>Model separate lifecycle types:</w:t>
      </w:r>
    </w:p>
    <w:p>
      <w:pPr>
        <w:pStyle w:val="ListBullet"/>
      </w:pPr>
      <w:r>
        <w:t>Web preview: valid reachable URL plus content health check.</w:t>
      </w:r>
    </w:p>
    <w:p>
      <w:pPr>
        <w:pStyle w:val="ListBullet"/>
      </w:pPr>
      <w:r>
        <w:t>Mobile preview: signed installable artifact verified on a test device.</w:t>
      </w:r>
    </w:p>
    <w:p>
      <w:pPr>
        <w:pStyle w:val="ListBullet"/>
      </w:pPr>
      <w:r>
        <w:t>Mobile testing: distributed to an approved internal group or TestFlight or Play track.</w:t>
      </w:r>
    </w:p>
    <w:p>
      <w:pPr>
        <w:pStyle w:val="ListBullet"/>
      </w:pPr>
      <w:r>
        <w:t>Mobile production: submitted, approved and actually released by the store.</w:t>
      </w:r>
    </w:p>
    <w:p>
      <w:r>
        <w:t>Do not apply the 15-minute website promise to public mobile store availability. Evaluate Expo connectivity, signing permissions, Apple/Google accounts, queue times, retry behavior and the costs of supporting mobile. An Android internal APK is an appropriate bounded first proof once the web product is stable.</w:t>
      </w:r>
    </w:p>
    <w:p>
      <w:pPr>
        <w:pStyle w:val="Heading1"/>
      </w:pPr>
      <w:r>
        <w:t>10 Reliability and security requirements</w:t>
      </w:r>
    </w:p>
    <w:p>
      <w:r>
        <w:t>Foundation will hold significant access to provider accounts. It must be a trustworthy orchestrator before a polished dashboard or design system becomes the focus.</w:t>
      </w:r>
    </w:p>
    <w:p>
      <w:pPr>
        <w:pStyle w:val="ListBullet"/>
      </w:pPr>
      <w:r>
        <w:t>Modular TypeScript application with separate durable provisioning worker; avoid microservices until operational constraints justify them.</w:t>
      </w:r>
    </w:p>
    <w:p>
      <w:pPr>
        <w:pStyle w:val="ListBullet"/>
      </w:pPr>
      <w:r>
        <w:t>Persist workflow runs and provider-resource IDs with idempotency keys, step-level states, correlation IDs, timeout and backoff policies, and explicit partial-failure recovery. Never repeat irreversible create actions without reconciliation.</w:t>
      </w:r>
    </w:p>
    <w:p>
      <w:pPr>
        <w:pStyle w:val="ListBullet"/>
      </w:pPr>
      <w:r>
        <w:t>Keep provider-owned state in providers: GitHub owns code, Sanity owns content, Vercel owns deployment. Nocturne stores orchestration metadata and observed status.</w:t>
      </w:r>
    </w:p>
    <w:p>
      <w:pPr>
        <w:pStyle w:val="ListBullet"/>
      </w:pPr>
      <w:r>
        <w:t>Least-privilege GitHub App/provider authorization; tenant isolation; restricted secrets; encryption and revocation; signed webhook validation; audit logs for publish, access and repair.</w:t>
      </w:r>
    </w:p>
    <w:p>
      <w:pPr>
        <w:pStyle w:val="ListBullet"/>
      </w:pPr>
      <w:r>
        <w:t>Distinguish Foundation account roles from permissions on generated sites and their CMS. Offboarding must not unintentionally delete client resources.</w:t>
      </w:r>
    </w:p>
    <w:p>
      <w:pPr>
        <w:pStyle w:val="ListBullet"/>
      </w:pPr>
      <w:r>
        <w:t>Version blueprints and runtime packages; run contract tests and deployment smoke tests before release; preserve rollback paths and change history.</w:t>
      </w:r>
    </w:p>
    <w:p>
      <w:pPr>
        <w:pStyle w:val="ListBullet"/>
      </w:pPr>
      <w:r>
        <w:t>Support integration disconnects, provider outages, quota errors and exhausted billing. Explain what worked, what failed and who pays each provider.</w:t>
      </w:r>
    </w:p>
    <w:p>
      <w:pPr>
        <w:pStyle w:val="Heading1"/>
      </w:pPr>
      <w:r>
        <w:t>11 Recommended phased build and proof</w:t>
      </w:r>
    </w:p>
    <w:p>
      <w:pPr>
        <w:pStyle w:val="Heading2"/>
      </w:pPr>
      <w:r>
        <w:t>First 14 days</w:t>
      </w:r>
    </w:p>
    <w:p>
      <w:r>
        <w:t>Produce one baseline Next.js and Sanity starter. Prove a Sanity ownership and authorisation path before making a browser wizard. Manually execute the GitHub-to-Vercel golden path with seeded content and a verified health check. Record every click, elapsed minute, failure and credential scope. Decide if the first automated control plane can honestly deliver more than a good starter plus a guided setup.</w:t>
      </w:r>
    </w:p>
    <w:p>
      <w:r>
        <w:rPr>
          <w:b/>
        </w:rPr>
        <w:t>Go decision:</w:t>
      </w:r>
      <w:r>
        <w:t xml:space="preserve"> at least one genuine end-to-end customer-owned launch with reproducible steps, clean secrets and a verified URL. </w:t>
      </w:r>
      <w:r>
        <w:rPr>
          <w:b/>
        </w:rPr>
        <w:t>Stop or simplify:</w:t>
      </w:r>
      <w:r>
        <w:t xml:space="preserve"> if Sanity delegated setup remains blocked, use the native provider integration or an explicit manual connection gate; do not disguise that step.</w:t>
      </w:r>
    </w:p>
    <w:p>
      <w:pPr>
        <w:pStyle w:val="Heading2"/>
      </w:pPr>
      <w:r>
        <w:t>First 30 days</w:t>
      </w:r>
    </w:p>
    <w:p>
      <w:r>
        <w:t>Ship a minimal internal Foundation flow: create from pinned blueprint, provider connection checks, persisted workflow status, links to resources, meaningful errors and retry or resume. Use it on one real Currawong website. Start a small content contract, a handful of sections and theme tokens. Add deterministic metadata and JSON-LD tests. Record setup time and ongoing maintenance.</w:t>
      </w:r>
    </w:p>
    <w:p>
      <w:r>
        <w:rPr>
          <w:b/>
        </w:rPr>
        <w:t>Evidence:</w:t>
      </w:r>
      <w:r>
        <w:t xml:space="preserve"> compare a complete launch against the documented manual baseline; demonstrate that repeating the launch does not require rebuilding CMS schemas or wiring revalidation from scratch. Test resource ownership and offboarding.</w:t>
      </w:r>
    </w:p>
    <w:p>
      <w:pPr>
        <w:pStyle w:val="Heading2"/>
      </w:pPr>
      <w:r>
        <w:t>First 90 days</w:t>
      </w:r>
    </w:p>
    <w:p>
      <w:r>
        <w:t>Use the system on two or three actual website deliveries if projects are available. Record hours by setup, design, content, reviews, testing and maintenance. Test a client using Sanity Presentation with no live instructions. Add the first Search Console read-only dashboard to one verified property and validate whether its opportunity cards lead to useful decisions. Test a global theme edit that updates multiple sections without hand-editing each one.</w:t>
      </w:r>
    </w:p>
    <w:p>
      <w:r>
        <w:rPr>
          <w:b/>
        </w:rPr>
        <w:t>Continue investment if:</w:t>
      </w:r>
      <w:r>
        <w:t xml:space="preserve"> repeated launches complete reliably, engineering time demonstrably falls without degrading quality, clients can make scoped content changes safely, and maintenance remains manageable. </w:t>
      </w:r>
      <w:r>
        <w:rPr>
          <w:b/>
        </w:rPr>
        <w:t>Reconsider the scope if:</w:t>
      </w:r>
      <w:r>
        <w:t xml:space="preserve"> the platform adds more upkeep than it saves or most gains could have been achieved with the starter and a few scripts.</w:t>
      </w:r>
    </w:p>
    <w:p>
      <w:pPr>
        <w:pStyle w:val="Heading2"/>
      </w:pPr>
      <w:r>
        <w:t>Deliberate exclusions</w:t>
      </w:r>
    </w:p>
    <w:p>
      <w:r>
        <w:t>No generic provider marketplace, shared runtime for all client sites, fully visual arbitrary code generation, AI-autonomous publishing, speculative LLM rank predictions, multi-tenant agency billing, mobile store rollout, or complete design-to-code cloning before the first website production path has proved value.</w:t>
      </w:r>
    </w:p>
    <w:p>
      <w:pPr>
        <w:pStyle w:val="Heading1"/>
      </w:pPr>
      <w:r>
        <w:t>12 Decision register and engineering audit</w:t>
      </w:r>
    </w:p>
    <w:tbl>
      <w:tblPr>
        <w:tblW w:type="auto" w:w="0"/>
        <w:tblLayout w:type="fixed"/>
        <w:tblLook w:firstColumn="1" w:firstRow="1" w:lastColumn="0" w:lastRow="0" w:noHBand="0" w:noVBand="1" w:val="04A0"/>
      </w:tblPr>
      <w:tblGrid>
        <w:gridCol w:w="3197"/>
        <w:gridCol w:w="3197"/>
        <w:gridCol w:w="3197"/>
      </w:tblGrid>
      <w:tr>
        <w:trPr>
          <w:tblHeader/>
        </w:trP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273441"/>
          </w:tcPr>
          <w:p>
            <w:pPr>
              <w:keepNext/>
              <w:spacing w:after="0" w:line="262" w:lineRule="auto"/>
            </w:pPr>
            <w:r>
              <w:rPr>
                <w:b/>
                <w:color w:val="FFFFFF"/>
                <w:sz w:val="16"/>
              </w:rPr>
              <w:t>Decision</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273441"/>
          </w:tcPr>
          <w:p>
            <w:pPr>
              <w:keepNext/>
              <w:spacing w:after="0" w:line="262" w:lineRule="auto"/>
            </w:pPr>
            <w:r>
              <w:rPr>
                <w:b/>
                <w:color w:val="FFFFFF"/>
                <w:sz w:val="16"/>
              </w:rPr>
              <w:t>Current recommendation</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273441"/>
          </w:tcPr>
          <w:p>
            <w:pPr>
              <w:keepNext/>
              <w:spacing w:after="0" w:line="262" w:lineRule="auto"/>
            </w:pPr>
            <w:r>
              <w:rPr>
                <w:b/>
                <w:color w:val="FFFFFF"/>
                <w:sz w:val="16"/>
              </w:rPr>
              <w:t>Reconsider when</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Product priority</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Internal agency value first; SaaS later if paid demand appears</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Repeated independent agency demand and willingness to pay</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Project runtime</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Independent client repositories and deployments</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Strong evidence a shared runtime materially improves operation without harming ownership</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Foundation vs Design Engine</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Distinct modules in one monorepo</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Different teams, consumers or release cadence justify separate repositories</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CMS</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Sanity for first verified blueprint</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Failed customer ownership path or unacceptable operational constraints</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Design controls</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Configurable grammar, tokens and versioned runtime</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Repeated requests justify broad arbitrary layouts or custom code generation</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SEO</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Structured correctness plus measured opportunities</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Real client outcomes justify a larger marketing product</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AI search</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Transparent readiness audit; observed citations only where source supplies them</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Reliable provider-level reporting and evidence of predictive value</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Mobile</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Future Expo experiment</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shd w:fill="F4F7FA"/>
          </w:tcPr>
          <w:p>
            <w:pPr>
              <w:spacing w:after="0" w:line="262" w:lineRule="auto"/>
            </w:pPr>
            <w:r>
              <w:rPr>
                <w:sz w:val="16"/>
              </w:rPr>
              <w:t>Repeated internal mobile projects and stable web golden path</w:t>
            </w:r>
          </w:p>
        </w:tc>
      </w:tr>
      <w:tr>
        <w:tc>
          <w:tcPr>
            <w:tcW w:type="dxa" w:w="1915"/>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SaaS billing</w:t>
            </w:r>
          </w:p>
        </w:tc>
        <w:tc>
          <w:tcPr>
            <w:tcW w:type="dxa" w:w="3672"/>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Not in first internal release</w:t>
            </w:r>
          </w:p>
        </w:tc>
        <w:tc>
          <w:tcPr>
            <w:tcW w:type="dxa" w:w="4003"/>
            <w:vAlign w:val="center"/>
            <w:tcMar>
              <w:top w:w="95" w:type="dxa"/>
              <w:start w:w="115" w:type="dxa"/>
              <w:bottom w:w="95" w:type="dxa"/>
              <w:end w:w="115" w:type="dxa"/>
            </w:tcMar>
            <w:tcBorders>
              <w:top w:val="single" w:sz="4" w:color="D9D9D9"/>
              <w:left w:val="single" w:sz="4" w:color="D9D9D9"/>
              <w:bottom w:val="single" w:sz="4" w:color="D9D9D9"/>
              <w:right w:val="single" w:sz="4" w:color="D9D9D9"/>
            </w:tcBorders>
          </w:tcPr>
          <w:p>
            <w:pPr>
              <w:spacing w:after="0" w:line="262" w:lineRule="auto"/>
            </w:pPr>
            <w:r>
              <w:rPr>
                <w:sz w:val="16"/>
              </w:rPr>
              <w:t>Verified willingness to pay and support cost estimates</w:t>
            </w:r>
          </w:p>
        </w:tc>
      </w:tr>
    </w:tbl>
    <w:p>
      <w:pPr>
        <w:spacing w:after="0"/>
      </w:pPr>
    </w:p>
    <w:p>
      <w:r>
        <w:t>Before authorising a rebuild, ask Claude Code to audit the current repository against this decision brief:</w:t>
      </w:r>
    </w:p>
    <w:p>
      <w:pPr>
        <w:spacing w:after="80"/>
        <w:ind w:left="432" w:hanging="360"/>
      </w:pPr>
      <w:r>
        <w:rPr>
          <w:b/>
        </w:rPr>
        <w:t xml:space="preserve">1.  </w:t>
      </w:r>
      <w:r>
        <w:t>Identify usable project setup scripts, schema definitions, preview routes, component registry, token system, CMS customisations and deployed functionality.</w:t>
      </w:r>
    </w:p>
    <w:p>
      <w:pPr>
        <w:spacing w:after="80"/>
        <w:ind w:left="432" w:hanging="360"/>
      </w:pPr>
      <w:r>
        <w:rPr>
          <w:b/>
        </w:rPr>
        <w:t xml:space="preserve">2.  </w:t>
      </w:r>
      <w:r>
        <w:t>Distinguish content schema, site theme configuration, deployment metadata and source code. Identify duplicated sources of truth.</w:t>
      </w:r>
    </w:p>
    <w:p>
      <w:pPr>
        <w:spacing w:after="80"/>
        <w:ind w:left="432" w:hanging="360"/>
      </w:pPr>
      <w:r>
        <w:rPr>
          <w:b/>
        </w:rPr>
        <w:t xml:space="preserve">3.  </w:t>
      </w:r>
      <w:r>
        <w:t>Test whether existing Next.js/Sanity architecture can become a pinned golden-path template without a rewrite.</w:t>
      </w:r>
    </w:p>
    <w:p>
      <w:pPr>
        <w:spacing w:after="80"/>
        <w:ind w:left="432" w:hanging="360"/>
      </w:pPr>
      <w:r>
        <w:rPr>
          <w:b/>
        </w:rPr>
        <w:t xml:space="preserve">4.  </w:t>
      </w:r>
      <w:r>
        <w:t>Verify draft publishing, revalidation, CORS, SEO outputs, permissions and cross-site release compatibility.</w:t>
      </w:r>
    </w:p>
    <w:p>
      <w:pPr>
        <w:spacing w:after="80"/>
        <w:ind w:left="432" w:hanging="360"/>
      </w:pPr>
      <w:r>
        <w:rPr>
          <w:b/>
        </w:rPr>
        <w:t xml:space="preserve">5.  </w:t>
      </w:r>
      <w:r>
        <w:t>Compare implementation and maintenance of (a) simple starter plus scripts, (b) selectively refactored Nocturne and (c) clean Foundation control plane, using the same real test project.</w:t>
      </w:r>
    </w:p>
    <w:p>
      <w:pPr>
        <w:spacing w:after="80"/>
        <w:ind w:left="432" w:hanging="360"/>
      </w:pPr>
      <w:r>
        <w:rPr>
          <w:b/>
        </w:rPr>
        <w:t xml:space="preserve">6.  </w:t>
      </w:r>
      <w:r>
        <w:t>Propose a single end-to-end vertical slice and specific acceptance tests. Preserve user code and current plan history. Require approval before destructive code or roadmap edits.</w:t>
      </w:r>
    </w:p>
    <w:p>
      <w:r>
        <w:rPr>
          <w:b/>
        </w:rPr>
        <w:t>Default engineering verdict:</w:t>
      </w:r>
      <w:r>
        <w:t xml:space="preserve"> simplify and refactor selectively, pending code inspection. One week of development is not a reason to preserve or discard code. Replace the architecture only if a repository-backed comparison shows a materially better reliable launch path.</w:t>
      </w:r>
    </w:p>
    <w:p>
      <w:pPr>
        <w:pStyle w:val="Heading1"/>
      </w:pPr>
      <w:r>
        <w:t>13 Sources and interpretation</w:t>
      </w:r>
    </w:p>
    <w:p>
      <w:r>
        <w:t>These primary-source references support current capability and search constraints; they do not validate demand, Nocturne's implementation or future commercial outcomes.</w:t>
      </w:r>
    </w:p>
    <w:p>
      <w:r>
        <w:t xml:space="preserve">[1] Google Search Central, </w:t>
      </w:r>
      <w:r>
        <w:rPr>
          <w:i/>
        </w:rPr>
        <w:t>AI features and your website</w:t>
      </w:r>
      <w:r>
        <w:t>: https://developers.google.com/search/docs/appearance/ai-features (accessed 25 October 2026).</w:t>
      </w:r>
    </w:p>
    <w:p>
      <w:r>
        <w:t xml:space="preserve">[2] Google Search Central, </w:t>
      </w:r>
      <w:r>
        <w:rPr>
          <w:i/>
        </w:rPr>
        <w:t>Introduction to structured data markup</w:t>
      </w:r>
      <w:r>
        <w:t>: https://developers.google.com/search/docs/appearance/structured-data/intro-structured-data (accessed 25 October 2026).</w:t>
      </w:r>
    </w:p>
    <w:p>
      <w:r>
        <w:t xml:space="preserve">[3] Google Search Console API, </w:t>
      </w:r>
      <w:r>
        <w:rPr>
          <w:i/>
        </w:rPr>
        <w:t>Search Analytics query</w:t>
      </w:r>
      <w:r>
        <w:t>: https://developers.google.com/webmaster-tools/v1/searchanalytics/query (accessed 25 October 2026).</w:t>
      </w:r>
    </w:p>
    <w:p>
      <w:r>
        <w:t xml:space="preserve">[4] Google Search Console API, </w:t>
      </w:r>
      <w:r>
        <w:rPr>
          <w:i/>
        </w:rPr>
        <w:t>URL Inspection</w:t>
      </w:r>
      <w:r>
        <w:t>: https://developers.google.com/webmaster-tools/v1/urlInspection.index/inspect (accessed 25 October 2026).</w:t>
      </w:r>
    </w:p>
    <w:p>
      <w:r>
        <w:t xml:space="preserve">[5] Bing Webmaster Blog, </w:t>
      </w:r>
      <w:r>
        <w:rPr>
          <w:i/>
        </w:rPr>
        <w:t>Introducing AI Performance in public preview</w:t>
      </w:r>
      <w:r>
        <w:t>, 10 February 2026: https://blogs.bing.com/webmaster/2026/2/Introducing-AI-Performance-in-Bing-Webmaster-Tools-Public-Preview/ (accessed 25 October 2026).</w:t>
      </w:r>
    </w:p>
    <w:p>
      <w:r>
        <w:t xml:space="preserve">[6] Sanity, </w:t>
      </w:r>
      <w:r>
        <w:rPr>
          <w:i/>
        </w:rPr>
        <w:t>Configuring the Presentation Tool</w:t>
      </w:r>
      <w:r>
        <w:t>: https://www.sanity.io/docs/visual-editing/configuring-the-presentation-tool (accessed 25 October 2026).</w:t>
      </w:r>
    </w:p>
    <w:p>
      <w:r>
        <w:t xml:space="preserve">[7] Expo, </w:t>
      </w:r>
      <w:r>
        <w:rPr>
          <w:i/>
        </w:rPr>
        <w:t>EAS Build and internal distribution</w:t>
      </w:r>
      <w:r>
        <w:t>: https://docs.expo.dev/build/introduction/ and https://docs.expo.dev/build/internal-distribution/ (accessed 25 October 2026).</w:t>
      </w:r>
    </w:p>
    <w:p>
      <w:r>
        <w:t xml:space="preserve">[8] Expo, </w:t>
      </w:r>
      <w:r>
        <w:rPr>
          <w:i/>
        </w:rPr>
        <w:t>Submit to app stores</w:t>
      </w:r>
      <w:r>
        <w:t>: https://docs.expo.dev/deploy/submit-to-app-stores/ (accessed 25 October 2026).</w:t>
      </w:r>
    </w:p>
    <w:p>
      <w:pPr>
        <w:pStyle w:val="Heading1"/>
      </w:pPr>
      <w:r>
        <w:t>Final position</w:t>
      </w:r>
    </w:p>
    <w:p>
      <w:r>
        <w:t>Treat Nocturne Foundation as the trusted launch and operations centre; treat the Design Engine as a versioned creative system that powers independent client sites; and treat Content Intelligence as evidence-backed guidance fed by the canonical Sanity model and search data. Start with a repeatable working website. Add design controls that demonstrably save hours and search insights that prompt useful client actions. Build mobile only after the common project model and the web launch are proven. A system that makes Currawong faster and more dependable can be worth owning even if the eventual SaaS case never develops.</w:t>
      </w:r>
    </w:p>
    <w:sectPr w:rsidR="00FC693F" w:rsidRPr="0006063C" w:rsidSect="00034616">
      <w:footerReference w:type="default" r:id="rId9"/>
      <w:pgSz w:w="12240" w:h="15840"/>
      <w:pgMar w:top="1094" w:right="1325" w:bottom="1094" w:left="1325"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97178"/>
        <w:sz w:val="15"/>
      </w:rPr>
      <w:t xml:space="preserve">NOCTURNE FOUNDATION  |  STRATEGY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1" w:lineRule="auto"/>
    </w:pPr>
    <w:rPr>
      <w:rFonts w:ascii="Liberation Sans" w:hAnsi="Liberation Sans"/>
      <w:color w:val="161B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20" w:after="14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ans" w:hAnsi="Liberation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360" w:hanging="245"/>
      <w:contextualSpacing/>
    </w:pPr>
    <w:rPr>
      <w:rFonts w:ascii="Liberation Sans" w:hAnsi="Liberation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ind w:left="360" w:hanging="245"/>
      <w:contextualSpacing/>
    </w:pPr>
    <w:rPr>
      <w:rFonts w:ascii="Liberation Sans" w:hAnsi="Liberation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Nocturne Foundation Architecture and Product Strategy</dc:title>
  <dc:subject>Foundation, Design Engine, structured data, SEO intelligence and mobile roadmap</dc:subject>
  <dc:creator>Currawong Creative Co</dc:creator>
  <cp:keywords/>
  <dc:description>generated by python-docx</dc:description>
  <cp:lastModifiedBy/>
  <cp:revision>1</cp:revision>
  <dcterms:created xsi:type="dcterms:W3CDTF">2013-12-23T23:15:00Z</dcterms:created>
  <dcterms:modified xsi:type="dcterms:W3CDTF">2013-12-23T23:15:00Z</dcterms:modified>
  <cp:category/>
</cp:coreProperties>
</file>