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40" w:lineRule="auto"/>
      </w:pPr>
      <w:r>
        <w:rPr>
          <w:rFonts w:ascii="Times New Roman" w:hAnsi="Times New Roman" w:eastAsia="Times New Roman"/>
          <w:b w:val="0"/>
          <w:i w:val="0"/>
          <w:color w:val="000000"/>
          <w:sz w:val="24"/>
        </w:rPr>
      </w:r>
    </w:p>
    <w:p>
      <w:pPr>
        <w:spacing w:after="200" w:line="240" w:lineRule="auto"/>
      </w:pPr>
      <w:r>
        <w:rPr>
          <w:rFonts w:ascii="Times New Roman" w:hAnsi="Times New Roman" w:eastAsia="Times New Roman"/>
          <w:b w:val="0"/>
          <w:i w:val="0"/>
          <w:color w:val="000000"/>
          <w:sz w:val="24"/>
        </w:rPr>
      </w:r>
    </w:p>
    <w:p>
      <w:pPr>
        <w:spacing w:after="200" w:line="240" w:lineRule="auto"/>
      </w:pPr>
      <w:r>
        <w:rPr>
          <w:rFonts w:ascii="Times New Roman" w:hAnsi="Times New Roman" w:eastAsia="Times New Roman"/>
          <w:b w:val="0"/>
          <w:i w:val="0"/>
          <w:color w:val="000000"/>
          <w:sz w:val="24"/>
        </w:rPr>
      </w:r>
    </w:p>
    <w:p>
      <w:pPr>
        <w:spacing w:after="160" w:line="240" w:lineRule="auto"/>
        <w:jc w:val="center"/>
      </w:pPr>
      <w:r>
        <w:rPr>
          <w:rFonts w:ascii="Times New Roman" w:hAnsi="Times New Roman" w:eastAsia="Times New Roman"/>
          <w:b/>
          <w:i w:val="0"/>
          <w:color w:val="7A1B2B"/>
          <w:sz w:val="34"/>
        </w:rPr>
        <w:t>KES' SHROFF COLLEGE</w:t>
      </w:r>
    </w:p>
    <w:p>
      <w:pPr>
        <w:spacing w:after="560" w:line="240" w:lineRule="auto"/>
        <w:jc w:val="center"/>
      </w:pPr>
      <w:r>
        <w:rPr>
          <w:rFonts w:ascii="Times New Roman" w:hAnsi="Times New Roman" w:eastAsia="Times New Roman"/>
          <w:b/>
          <w:i w:val="0"/>
          <w:color w:val="7A1B2B"/>
          <w:sz w:val="22"/>
        </w:rPr>
        <w:t>T.Y. B.Sc. DATA SCIENCE  |  BDS-03 CAPSTONE PROJECT</w:t>
      </w:r>
    </w:p>
    <w:p>
      <w:pPr>
        <w:spacing w:after="280" w:line="240" w:lineRule="auto"/>
        <w:jc w:val="center"/>
      </w:pPr>
      <w:r>
        <w:rPr>
          <w:rFonts w:ascii="Times New Roman" w:hAnsi="Times New Roman" w:eastAsia="Times New Roman"/>
          <w:b w:val="0"/>
          <w:i w:val="0"/>
          <w:color w:val="000000"/>
          <w:sz w:val="28"/>
        </w:rPr>
        <w:t>PROJECT REPORT</w:t>
      </w:r>
    </w:p>
    <w:p>
      <w:pPr>
        <w:spacing w:after="280" w:line="240" w:lineRule="auto"/>
        <w:jc w:val="center"/>
      </w:pPr>
      <w:r>
        <w:rPr>
          <w:rFonts w:ascii="Times New Roman" w:hAnsi="Times New Roman" w:eastAsia="Times New Roman"/>
          <w:b/>
          <w:i w:val="0"/>
          <w:color w:val="7A1B2B"/>
          <w:sz w:val="48"/>
        </w:rPr>
        <w:t>ADMITFLOW</w:t>
      </w:r>
    </w:p>
    <w:p>
      <w:pPr>
        <w:spacing w:after="480" w:line="240" w:lineRule="auto"/>
        <w:jc w:val="center"/>
      </w:pPr>
      <w:r>
        <w:rPr>
          <w:rFonts w:ascii="Times New Roman" w:hAnsi="Times New Roman" w:eastAsia="Times New Roman"/>
          <w:b/>
          <w:i w:val="0"/>
          <w:color w:val="000000"/>
          <w:sz w:val="34"/>
        </w:rPr>
        <w:t>Admission Conversion Forecasting with</w:t>
        <w:br/>
        <w:t>Funnel Attribution and Scenario Simulation</w:t>
      </w:r>
    </w:p>
    <w:p>
      <w:pPr>
        <w:spacing w:after="400" w:line="240" w:lineRule="auto"/>
        <w:jc w:val="center"/>
      </w:pPr>
      <w:r>
        <w:rPr>
          <w:rFonts w:ascii="Times New Roman" w:hAnsi="Times New Roman" w:eastAsia="Times New Roman"/>
          <w:b w:val="0"/>
          <w:i w:val="0"/>
          <w:color w:val="000000"/>
          <w:sz w:val="24"/>
        </w:rPr>
        <w:t>Submitted in partial fulfilment of the requirements for T.Y. B.Sc. Data Science</w:t>
      </w:r>
    </w:p>
    <w:p>
      <w:pPr>
        <w:spacing w:after="80" w:line="240" w:lineRule="auto"/>
        <w:jc w:val="center"/>
      </w:pPr>
      <w:r>
        <w:rPr>
          <w:rFonts w:ascii="Times New Roman" w:hAnsi="Times New Roman" w:eastAsia="Times New Roman"/>
          <w:b w:val="0"/>
          <w:i w:val="0"/>
          <w:color w:val="000000"/>
          <w:sz w:val="24"/>
        </w:rPr>
        <w:t>Submitted by</w:t>
      </w:r>
    </w:p>
    <w:p>
      <w:pPr>
        <w:spacing w:after="360" w:line="240" w:lineRule="auto"/>
        <w:jc w:val="center"/>
      </w:pPr>
      <w:r>
        <w:rPr>
          <w:rFonts w:ascii="Times New Roman" w:hAnsi="Times New Roman" w:eastAsia="Times New Roman"/>
          <w:b w:val="0"/>
          <w:i w:val="0"/>
          <w:color w:val="000000"/>
          <w:sz w:val="26"/>
        </w:rPr>
        <w:t>Samiksha  •  Zahir</w:t>
      </w:r>
    </w:p>
    <w:p>
      <w:pPr>
        <w:spacing w:after="160" w:line="240" w:lineRule="auto"/>
        <w:jc w:val="center"/>
      </w:pPr>
      <w:r>
        <w:rPr>
          <w:rFonts w:ascii="Times New Roman" w:hAnsi="Times New Roman" w:eastAsia="Times New Roman"/>
          <w:b w:val="0"/>
          <w:i w:val="0"/>
          <w:color w:val="000000"/>
          <w:sz w:val="24"/>
        </w:rPr>
        <w:t>KES' Shroff College  |  Academic Year 2026–27</w:t>
      </w:r>
    </w:p>
    <w:p>
      <w:pPr>
        <w:spacing w:after="60" w:line="240" w:lineRule="auto"/>
        <w:jc w:val="center"/>
      </w:pPr>
      <w:r>
        <w:rPr>
          <w:rFonts w:ascii="Times New Roman" w:hAnsi="Times New Roman" w:eastAsia="Times New Roman"/>
          <w:b w:val="0"/>
          <w:i w:val="0"/>
          <w:color w:val="000000"/>
          <w:sz w:val="22"/>
        </w:rPr>
        <w:t>Project Guide: Not supplied; requires faculty confirmation</w:t>
      </w:r>
    </w:p>
    <w:p>
      <w:pPr>
        <w:spacing w:after="60" w:line="240" w:lineRule="auto"/>
        <w:jc w:val="center"/>
      </w:pPr>
      <w:r>
        <w:rPr>
          <w:rFonts w:ascii="Times New Roman" w:hAnsi="Times New Roman" w:eastAsia="Times New Roman"/>
          <w:b w:val="0"/>
          <w:i w:val="0"/>
          <w:color w:val="000000"/>
          <w:sz w:val="20"/>
        </w:rPr>
        <w:t>PRN / Roll numbers / Division / Semester: Not supplied; enter only from verified student records</w:t>
      </w:r>
    </w:p>
    <w:p>
      <w:pPr>
        <w:spacing w:after="20" w:line="240" w:lineRule="auto"/>
        <w:jc w:val="center"/>
      </w:pPr>
      <w:r>
        <w:rPr>
          <w:rFonts w:ascii="Times New Roman" w:hAnsi="Times New Roman" w:eastAsia="Times New Roman"/>
          <w:b w:val="0"/>
          <w:i/>
          <w:color w:val="7A1B2B"/>
          <w:sz w:val="18"/>
        </w:rPr>
        <w:t>STAGE 4 REPAIR COPY - NOT SUBMISSION-READY</w:t>
      </w:r>
    </w:p>
    <w:p>
      <w:pPr>
        <w:sectPr>
          <w:pgSz w:w="11905" w:h="16838"/>
          <w:pgMar w:top="1037" w:right="1080" w:bottom="1037" w:left="1080" w:header="504" w:footer="504" w:gutter="0"/>
          <w:cols w:space="720"/>
          <w:docGrid w:linePitch="360"/>
          <w:pgBorders w:offsetFrom="page" w:display="allPages">
            <w:top w:val="single" w:sz="8" w:space="22" w:color="7A1B2B"/>
            <w:left w:val="single" w:sz="8" w:space="22" w:color="7A1B2B"/>
            <w:bottom w:val="single" w:sz="8" w:space="22" w:color="7A1B2B"/>
            <w:right w:val="single" w:sz="8" w:space="22" w:color="7A1B2B"/>
          </w:pgBorders>
        </w:sectPr>
      </w:pPr>
    </w:p>
    <w:p>
      <w:pPr>
        <w:keepNext/>
        <w:spacing w:after="240"/>
        <w:jc w:val="center"/>
      </w:pPr>
      <w:r>
        <w:rPr>
          <w:rFonts w:ascii="Times New Roman" w:hAnsi="Times New Roman" w:eastAsia="Times New Roman"/>
          <w:b/>
          <w:color w:val="000000"/>
          <w:sz w:val="24"/>
        </w:rPr>
        <w:t>CERTIFICATE</w:t>
      </w:r>
    </w:p>
    <w:p>
      <w:pPr>
        <w:spacing w:after="120" w:line="240" w:lineRule="auto"/>
      </w:pPr>
      <w:r>
        <w:rPr>
          <w:rFonts w:ascii="Times New Roman" w:hAnsi="Times New Roman" w:eastAsia="Times New Roman"/>
          <w:b w:val="0"/>
          <w:i w:val="0"/>
          <w:color w:val="000000"/>
          <w:sz w:val="24"/>
        </w:rPr>
        <w:t>This page is a certificate template only. It does not certify project completion, academic approval, or institutional acceptance.</w:t>
      </w:r>
    </w:p>
    <w:p>
      <w:pPr>
        <w:spacing w:after="120" w:line="240" w:lineRule="auto"/>
      </w:pPr>
      <w:r>
        <w:rPr>
          <w:rFonts w:ascii="Times New Roman" w:hAnsi="Times New Roman" w:eastAsia="Times New Roman"/>
          <w:b w:val="0"/>
          <w:i w:val="0"/>
          <w:color w:val="000000"/>
          <w:sz w:val="24"/>
        </w:rPr>
        <w:t>Certificate wording and completion status must be verified and issued by the college; no certification is made in this draft.</w:t>
      </w:r>
    </w:p>
    <w:p>
      <w:pPr>
        <w:spacing w:after="120" w:line="240" w:lineRule="auto"/>
      </w:pPr>
      <w:r>
        <w:rPr>
          <w:rFonts w:ascii="Times New Roman" w:hAnsi="Times New Roman" w:eastAsia="Times New Roman"/>
          <w:b w:val="0"/>
          <w:i w:val="0"/>
          <w:color w:val="000000"/>
          <w:sz w:val="24"/>
        </w:rPr>
        <w:t>Project Guide: Not supplied    Authorized name / signature: Not supplied</w:t>
      </w:r>
    </w:p>
    <w:p>
      <w:pPr>
        <w:spacing w:after="120" w:line="240" w:lineRule="auto"/>
      </w:pPr>
      <w:r>
        <w:rPr>
          <w:rFonts w:ascii="Times New Roman" w:hAnsi="Times New Roman" w:eastAsia="Times New Roman"/>
          <w:b w:val="0"/>
          <w:i w:val="0"/>
          <w:color w:val="000000"/>
          <w:sz w:val="24"/>
        </w:rPr>
        <w:t>Teacher In-charge / Coordinator: Not supplied    Authorized name / signature: Not supplied</w:t>
      </w:r>
    </w:p>
    <w:p>
      <w:pPr>
        <w:spacing w:after="120" w:line="240" w:lineRule="auto"/>
      </w:pPr>
      <w:r>
        <w:rPr>
          <w:rFonts w:ascii="Times New Roman" w:hAnsi="Times New Roman" w:eastAsia="Times New Roman"/>
          <w:b w:val="0"/>
          <w:i w:val="0"/>
          <w:color w:val="000000"/>
          <w:sz w:val="24"/>
        </w:rPr>
        <w:t>Principal: Not supplied    Authorized name / signature: Not supplied</w:t>
      </w:r>
    </w:p>
    <w:p>
      <w:pPr>
        <w:spacing w:after="120" w:line="240" w:lineRule="auto"/>
      </w:pPr>
      <w:r>
        <w:rPr>
          <w:rFonts w:ascii="Times New Roman" w:hAnsi="Times New Roman" w:eastAsia="Times New Roman"/>
          <w:b w:val="0"/>
          <w:i w:val="0"/>
          <w:color w:val="000000"/>
          <w:sz w:val="24"/>
        </w:rPr>
        <w:t>Date: Not supplied. Official wording, names, signatures, and institutional approval require confirmation by the college.</w:t>
      </w:r>
    </w:p>
    <w:p>
      <w:r>
        <w:br w:type="page"/>
      </w:r>
    </w:p>
    <w:p>
      <w:pPr>
        <w:keepNext/>
        <w:spacing w:after="240"/>
        <w:jc w:val="center"/>
      </w:pPr>
      <w:r>
        <w:rPr>
          <w:rFonts w:ascii="Times New Roman" w:hAnsi="Times New Roman" w:eastAsia="Times New Roman"/>
          <w:b/>
          <w:color w:val="000000"/>
          <w:sz w:val="24"/>
        </w:rPr>
        <w:t>PROFORMA FOR APPROVAL OF PROJECT PROPOSAL</w:t>
      </w:r>
    </w:p>
    <w:p>
      <w:pPr>
        <w:spacing w:after="120" w:line="240" w:lineRule="auto"/>
      </w:pPr>
      <w:r>
        <w:rPr>
          <w:rFonts w:ascii="Times New Roman" w:hAnsi="Times New Roman" w:eastAsia="Times New Roman"/>
          <w:b w:val="0"/>
          <w:i w:val="0"/>
          <w:color w:val="000000"/>
          <w:sz w:val="24"/>
        </w:rPr>
        <w:t>PRN No(s.): Not supplied; use verified student records    Roll No(s).: Not supplied; use verified student records</w:t>
      </w:r>
    </w:p>
    <w:p>
      <w:pPr>
        <w:spacing w:after="120" w:line="240" w:lineRule="auto"/>
      </w:pPr>
      <w:r>
        <w:rPr>
          <w:rFonts w:ascii="Times New Roman" w:hAnsi="Times New Roman" w:eastAsia="Times New Roman"/>
          <w:b w:val="0"/>
          <w:i w:val="0"/>
          <w:color w:val="000000"/>
          <w:sz w:val="24"/>
        </w:rPr>
        <w:t>1. Name(s) of student(s): Samiksha and Zahir</w:t>
      </w:r>
    </w:p>
    <w:p>
      <w:pPr>
        <w:spacing w:after="120" w:line="240" w:lineRule="auto"/>
      </w:pPr>
      <w:r>
        <w:rPr>
          <w:rFonts w:ascii="Times New Roman" w:hAnsi="Times New Roman" w:eastAsia="Times New Roman"/>
          <w:b w:val="0"/>
          <w:i w:val="0"/>
          <w:color w:val="000000"/>
          <w:sz w:val="24"/>
        </w:rPr>
        <w:t>2. Title: Admission Conversion Forecasting with Funnel Attribution and Scenario Simulation</w:t>
      </w:r>
    </w:p>
    <w:p>
      <w:pPr>
        <w:spacing w:after="120" w:line="240" w:lineRule="auto"/>
      </w:pPr>
      <w:r>
        <w:rPr>
          <w:rFonts w:ascii="Times New Roman" w:hAnsi="Times New Roman" w:eastAsia="Times New Roman"/>
          <w:b w:val="0"/>
          <w:i w:val="0"/>
          <w:color w:val="000000"/>
          <w:sz w:val="24"/>
        </w:rPr>
        <w:t>3. Name of project guide: Not supplied; confirm with faculty</w:t>
      </w:r>
    </w:p>
    <w:p>
      <w:pPr>
        <w:spacing w:after="120" w:line="240" w:lineRule="auto"/>
      </w:pPr>
      <w:r>
        <w:rPr>
          <w:rFonts w:ascii="Times New Roman" w:hAnsi="Times New Roman" w:eastAsia="Times New Roman"/>
          <w:b w:val="0"/>
          <w:i w:val="0"/>
          <w:color w:val="000000"/>
          <w:sz w:val="24"/>
        </w:rPr>
        <w:t>4. Programme / subject: T.Y. B.Sc. Data Science / BDS-03 Capstone Project</w:t>
      </w:r>
    </w:p>
    <w:tbl>
      <w:tblPr>
        <w:tblW w:type="auto" w:w="0"/>
        <w:jc w:val="center"/>
        <w:tblLook w:firstColumn="1" w:firstRow="1" w:lastColumn="0" w:lastRow="0" w:noHBand="0" w:noVBand="1" w:val="04A0"/>
      </w:tblPr>
      <w:tblGrid>
        <w:gridCol w:w="3248"/>
        <w:gridCol w:w="3248"/>
        <w:gridCol w:w="3248"/>
      </w:tblGrid>
      <w:tr>
        <w:tc>
          <w:tcPr>
            <w:tcW w:type="dxa" w:w="3248"/>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20"/>
              </w:rPr>
              <w:t>Student signature(s)</w:t>
            </w:r>
          </w:p>
        </w:tc>
        <w:tc>
          <w:tcPr>
            <w:tcW w:type="dxa" w:w="3248"/>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20"/>
              </w:rPr>
              <w:t>Project guide signature</w:t>
            </w:r>
          </w:p>
        </w:tc>
        <w:tc>
          <w:tcPr>
            <w:tcW w:type="dxa" w:w="3248"/>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20"/>
              </w:rPr>
              <w:t>Coordinator signature</w:t>
            </w:r>
          </w:p>
        </w:tc>
      </w:tr>
      <w:tr>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Not supplied; author signature required</w:t>
            </w:r>
          </w:p>
        </w:tc>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Not supplied; guide signature required</w:t>
            </w:r>
          </w:p>
        </w:tc>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Not supplied; coordinator signature required</w:t>
            </w:r>
          </w:p>
        </w:tc>
      </w:tr>
      <w:tr>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Date: Not supplied</w:t>
            </w:r>
          </w:p>
        </w:tc>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Date: Not supplied</w:t>
            </w:r>
          </w:p>
        </w:tc>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Date: Not supplied</w:t>
            </w:r>
          </w:p>
        </w:tc>
      </w:tr>
    </w:tbl>
    <w:p>
      <w:pPr>
        <w:spacing w:after="20"/>
      </w:pPr>
    </w:p>
    <w:p>
      <w:r>
        <w:br w:type="page"/>
      </w:r>
    </w:p>
    <w:p>
      <w:pPr>
        <w:keepNext/>
        <w:spacing w:after="240"/>
        <w:jc w:val="center"/>
      </w:pPr>
      <w:r>
        <w:rPr>
          <w:rFonts w:ascii="Times New Roman" w:hAnsi="Times New Roman" w:eastAsia="Times New Roman"/>
          <w:b/>
          <w:color w:val="000000"/>
          <w:sz w:val="24"/>
        </w:rPr>
        <w:t>ABSTRACT</w:t>
      </w:r>
    </w:p>
    <w:p>
      <w:pPr>
        <w:spacing w:after="120" w:line="240" w:lineRule="auto"/>
      </w:pPr>
      <w:r>
        <w:rPr>
          <w:rFonts w:ascii="Times New Roman" w:hAnsi="Times New Roman" w:eastAsia="Times New Roman"/>
          <w:b w:val="0"/>
          <w:i w:val="0"/>
          <w:color w:val="000000"/>
          <w:sz w:val="24"/>
        </w:rPr>
        <w:t>AdmitFlow is a local admission-analytics prototype developed for the BDS-03 Data Science capstone. It processes a reproducibly generated synthetic dataset of 4,200 applicant records across six admission cycles (2021–2026). The application reports a cumulative funnel, cohort comparisons, descriptive campaign-source associations, two classifier evaluations, an annual linear forecast and deterministic what-if scenarios. A React interface uses a FastAPI backend; an optional server-side Groq integration receives aggregate context.</w:t>
      </w:r>
    </w:p>
    <w:p>
      <w:pPr/>
      <w:r>
        <w:t>The abstract summarizes the saved evidence rather than claiming a fresh run. Counts and metrics should be read together with the methods and limitations: the funnel uses cumulative flags, classification uses a stratified random split, forecasting has two held-out years, and scenario values depend on explicit assumptions.</w:t>
      </w:r>
    </w:p>
    <w:p>
      <w:pPr>
        <w:spacing w:after="120" w:line="240" w:lineRule="auto"/>
      </w:pPr>
      <w:r>
        <w:rPr>
          <w:rFonts w:ascii="Times New Roman" w:hAnsi="Times New Roman" w:eastAsia="Times New Roman"/>
          <w:b w:val="0"/>
          <w:i w:val="0"/>
          <w:color w:val="000000"/>
          <w:sz w:val="24"/>
        </w:rPr>
        <w:t>The saved funnel contains 4,200 leads, 3,106 application starts, 1,983 submissions, 1,015 reviews, 708 offers/admissions and 351 enrolments. Logistic regression and random forest ROC-AUC values are 0.5573 and 0.5195 in the saved model report. The forest predicts no positive holdout cases at the default threshold. The linear annual forecast has MAE 14.55, RMSE 15.5726 and MAPE 27.33% over a two-year holdout; H1/H2/H4/H6 values are 74.2, 77.3, 83.5 and 89.7 enrolments.</w:t>
      </w:r>
    </w:p>
    <w:p>
      <w:pPr>
        <w:spacing w:after="120" w:line="240" w:lineRule="auto"/>
      </w:pPr>
      <w:r>
        <w:rPr>
          <w:rFonts w:ascii="Times New Roman" w:hAnsi="Times New Roman" w:eastAsia="Times New Roman"/>
          <w:b w:val="0"/>
          <w:i w:val="0"/>
          <w:color w:val="000000"/>
          <w:sz w:val="24"/>
        </w:rPr>
        <w:t>These outputs demonstrate a workflow, not admissions-grade prediction. Synthetic data, weak classifier discrimination, short forecast history, non-causal attribution, assumption-driven scenarios and local/demo authentication preclude operational use. Figures are from checked-in evidence and require revalidation in the next workflow stage.</w:t>
      </w:r>
    </w:p>
    <w:p>
      <w:pPr>
        <w:spacing w:after="120" w:line="240" w:lineRule="auto"/>
      </w:pPr>
      <w:r>
        <w:rPr>
          <w:rFonts w:ascii="Times New Roman" w:hAnsi="Times New Roman" w:eastAsia="Times New Roman"/>
          <w:b w:val="0"/>
          <w:i w:val="0"/>
          <w:color w:val="000000"/>
          <w:sz w:val="24"/>
        </w:rPr>
        <w:t>Keywords: synthetic data; admission funnel; classification; forecasting; attribution; scenario simulation; FastAPI; React.</w:t>
      </w:r>
    </w:p>
    <w:p>
      <w:r>
        <w:br w:type="page"/>
      </w:r>
    </w:p>
    <w:p>
      <w:pPr>
        <w:keepNext/>
        <w:spacing w:after="240"/>
        <w:jc w:val="center"/>
      </w:pPr>
      <w:r>
        <w:rPr>
          <w:rFonts w:ascii="Times New Roman" w:hAnsi="Times New Roman" w:eastAsia="Times New Roman"/>
          <w:b/>
          <w:color w:val="000000"/>
          <w:sz w:val="24"/>
        </w:rPr>
        <w:t>ACKNOWLEDGEMENT</w:t>
      </w:r>
    </w:p>
    <w:p>
      <w:pPr>
        <w:spacing w:after="120" w:line="240" w:lineRule="auto"/>
      </w:pPr>
      <w:r>
        <w:rPr>
          <w:rFonts w:ascii="Times New Roman" w:hAnsi="Times New Roman" w:eastAsia="Times New Roman"/>
          <w:b w:val="0"/>
          <w:i w:val="0"/>
          <w:color w:val="000000"/>
          <w:sz w:val="24"/>
        </w:rPr>
        <w:t>The authors acknowledge the open-source software used in this project and documented in the implementation, including Python, FastAPI, pandas, NumPy, scikit-learn, React, Vite, and Recharts.</w:t>
      </w:r>
    </w:p>
    <w:p>
      <w:pPr>
        <w:spacing w:after="120" w:line="240" w:lineRule="auto"/>
      </w:pPr>
      <w:r>
        <w:rPr>
          <w:rFonts w:ascii="Times New Roman" w:hAnsi="Times New Roman" w:eastAsia="Times New Roman"/>
          <w:b w:val="0"/>
          <w:i w:val="0"/>
          <w:color w:val="000000"/>
          <w:sz w:val="24"/>
        </w:rPr>
        <w:t>The repository does not identify verified personal contributions by a project guide, faculty member, participant, family member, or other individual; no personal acknowledgement is asserted here.</w:t>
      </w:r>
    </w:p>
    <w:p>
      <w:pPr>
        <w:spacing w:after="120" w:line="240" w:lineRule="auto"/>
      </w:pPr>
      <w:r>
        <w:rPr>
          <w:rFonts w:ascii="Times New Roman" w:hAnsi="Times New Roman" w:eastAsia="Times New Roman"/>
          <w:b w:val="0"/>
          <w:i w:val="0"/>
          <w:color w:val="000000"/>
          <w:sz w:val="24"/>
        </w:rPr>
        <w:t>Samiksha  |  Zahir</w:t>
      </w:r>
    </w:p>
    <w:p>
      <w:r>
        <w:br w:type="page"/>
      </w:r>
    </w:p>
    <w:p>
      <w:pPr>
        <w:keepNext/>
        <w:spacing w:after="240"/>
        <w:jc w:val="center"/>
      </w:pPr>
      <w:r>
        <w:rPr>
          <w:rFonts w:ascii="Times New Roman" w:hAnsi="Times New Roman" w:eastAsia="Times New Roman"/>
          <w:b/>
          <w:color w:val="000000"/>
          <w:sz w:val="24"/>
        </w:rPr>
        <w:t>DECLARATION</w:t>
      </w:r>
    </w:p>
    <w:p>
      <w:pPr>
        <w:spacing w:after="120" w:line="240" w:lineRule="auto"/>
      </w:pPr>
      <w:r>
        <w:rPr>
          <w:rFonts w:ascii="Times New Roman" w:hAnsi="Times New Roman" w:eastAsia="Times New Roman"/>
          <w:b w:val="0"/>
          <w:i w:val="0"/>
          <w:color w:val="000000"/>
          <w:sz w:val="24"/>
        </w:rPr>
        <w:t>Declaration template only. The student authors must verify the college-prescribed wording, authorship, individual contributions, source use, and assistance disclosures before signing.</w:t>
      </w:r>
    </w:p>
    <w:p>
      <w:pPr>
        <w:spacing w:after="120" w:line="240" w:lineRule="auto"/>
      </w:pPr>
      <w:r>
        <w:rPr>
          <w:rFonts w:ascii="Times New Roman" w:hAnsi="Times New Roman" w:eastAsia="Times New Roman"/>
          <w:b w:val="0"/>
          <w:i w:val="0"/>
          <w:color w:val="000000"/>
          <w:sz w:val="24"/>
        </w:rPr>
        <w:t>We, Samiksha and Zahir, declare that this project report, titled "Admission Conversion Forecasting with Funnel Attribution and Scenario Simulation," is submitted by us in partial fulfilment of the requirements for the T.Y. B.Sc. Data Science BDS-03 Capstone Project for Academic Year 2026-27. This declaration is effective only after both authors verify its accuracy and provide their own signatures and dates.</w:t>
      </w:r>
    </w:p>
    <w:tbl>
      <w:tblPr>
        <w:tblW w:type="auto" w:w="0"/>
        <w:jc w:val="center"/>
        <w:tblLook w:firstColumn="1" w:firstRow="1" w:lastColumn="0" w:lastRow="0" w:noHBand="0" w:noVBand="1" w:val="04A0"/>
      </w:tblPr>
      <w:tblGrid>
        <w:gridCol w:w="3248"/>
        <w:gridCol w:w="3248"/>
        <w:gridCol w:w="3248"/>
      </w:tblGrid>
      <w:tr>
        <w:tc>
          <w:tcPr>
            <w:tcW w:type="dxa" w:w="3248"/>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20"/>
              </w:rPr>
              <w:t>Student</w:t>
            </w:r>
          </w:p>
        </w:tc>
        <w:tc>
          <w:tcPr>
            <w:tcW w:type="dxa" w:w="3248"/>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20"/>
              </w:rPr>
              <w:t>Signature</w:t>
            </w:r>
          </w:p>
        </w:tc>
        <w:tc>
          <w:tcPr>
            <w:tcW w:type="dxa" w:w="3248"/>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20"/>
              </w:rPr>
              <w:t>Date</w:t>
            </w:r>
          </w:p>
        </w:tc>
      </w:tr>
      <w:tr>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Samiksha</w:t>
            </w:r>
          </w:p>
        </w:tc>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Not supplied; author must sign</w:t>
            </w:r>
          </w:p>
        </w:tc>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Not supplied; author must date</w:t>
            </w:r>
          </w:p>
        </w:tc>
      </w:tr>
      <w:tr>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Zahir</w:t>
            </w:r>
          </w:p>
        </w:tc>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Not supplied; author must sign</w:t>
            </w:r>
          </w:p>
        </w:tc>
        <w:tc>
          <w:tcPr>
            <w:tcW w:type="dxa" w:w="3248"/>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Not supplied; author must date</w:t>
            </w:r>
          </w:p>
        </w:tc>
      </w:tr>
    </w:tbl>
    <w:p>
      <w:pPr>
        <w:spacing w:after="20"/>
      </w:pPr>
    </w:p>
    <w:p>
      <w:r>
        <w:br w:type="page"/>
      </w:r>
    </w:p>
    <w:p>
      <w:pPr>
        <w:keepNext/>
        <w:spacing w:after="240"/>
        <w:jc w:val="center"/>
      </w:pPr>
      <w:r>
        <w:rPr>
          <w:rFonts w:ascii="Times New Roman" w:hAnsi="Times New Roman" w:eastAsia="Times New Roman"/>
          <w:b/>
          <w:color w:val="000000"/>
          <w:sz w:val="24"/>
        </w:rPr>
        <w:t>TABLE OF CONTENTS</w:t>
      </w:r>
    </w:p>
    <w:p>
      <w:pPr/>
      <w:r>
        <w:rPr>
          <w:rFonts w:ascii="Times New Roman" w:hAnsi="Times New Roman"/>
          <w:sz w:val="24"/>
        </w:rPr>
        <w:t>Front matter: Cover; Certificate; Proposal Approval; Abstract; Acknowledgement; Declaration; Contents</w:t>
      </w:r>
    </w:p>
    <w:p>
      <w:pPr/>
      <w:r>
        <w:rPr>
          <w:rFonts w:ascii="Times New Roman" w:hAnsi="Times New Roman"/>
          <w:b w:val="0"/>
          <w:sz w:val="24"/>
        </w:rPr>
        <w:t>CHAPTER 1 - INTRODUCTION ............................................................. 1-7</w:t>
      </w:r>
    </w:p>
    <w:p>
      <w:pPr/>
      <w:r>
        <w:rPr>
          <w:rFonts w:ascii="Times New Roman" w:hAnsi="Times New Roman"/>
          <w:b w:val="0"/>
          <w:sz w:val="24"/>
        </w:rPr>
        <w:t>1.1 Significance ....................................................................... 2</w:t>
      </w:r>
    </w:p>
    <w:p>
      <w:pPr/>
      <w:r>
        <w:rPr>
          <w:rFonts w:ascii="Times New Roman" w:hAnsi="Times New Roman"/>
          <w:b w:val="0"/>
          <w:sz w:val="24"/>
        </w:rPr>
        <w:t>1.2 Objectives ......................................................................... 3</w:t>
      </w:r>
    </w:p>
    <w:p>
      <w:pPr/>
      <w:r>
        <w:rPr>
          <w:rFonts w:ascii="Times New Roman" w:hAnsi="Times New Roman"/>
          <w:b w:val="0"/>
          <w:sz w:val="24"/>
        </w:rPr>
        <w:t>1.3 Purpose and Scope ................................................................ 4-5</w:t>
      </w:r>
    </w:p>
    <w:p>
      <w:pPr/>
      <w:r>
        <w:rPr>
          <w:rFonts w:ascii="Times New Roman" w:hAnsi="Times New Roman"/>
          <w:b w:val="0"/>
          <w:sz w:val="24"/>
        </w:rPr>
        <w:t>1.4 Applicability ...................................................................... 6</w:t>
      </w:r>
    </w:p>
    <w:p>
      <w:pPr/>
      <w:r>
        <w:rPr>
          <w:rFonts w:ascii="Times New Roman" w:hAnsi="Times New Roman"/>
          <w:b w:val="0"/>
          <w:sz w:val="24"/>
        </w:rPr>
        <w:t>1.5 Achievements ....................................................................... 7</w:t>
      </w:r>
    </w:p>
    <w:p>
      <w:pPr/>
      <w:r>
        <w:t>CHAPTER 2 - SYSTEM ANALYSIS ......................................................... 8-16</w:t>
      </w:r>
    </w:p>
    <w:p>
      <w:pPr/>
      <w:r>
        <w:t>2.1 Existing System and Problem Context ................................................ 8</w:t>
      </w:r>
    </w:p>
    <w:p>
      <w:pPr/>
      <w:r>
        <w:t>2.2 Proposed System ................................................................ 9-10</w:t>
      </w:r>
    </w:p>
    <w:p>
      <w:pPr/>
      <w:r>
        <w:t>2.3 Requirements Analysis .......................................................... 11-12</w:t>
      </w:r>
    </w:p>
    <w:p>
      <w:pPr/>
      <w:r>
        <w:t>2.4 Hardware Requirements ............................................................. 13</w:t>
      </w:r>
    </w:p>
    <w:p>
      <w:pPr/>
      <w:r>
        <w:t>2.5 Software Requirements ............................................................. 14</w:t>
      </w:r>
    </w:p>
    <w:p>
      <w:pPr/>
      <w:r>
        <w:t>2.6 Technology Survey .............................................................. 15-16</w:t>
      </w:r>
    </w:p>
    <w:p>
      <w:pPr/>
      <w:r>
        <w:br w:type="page"/>
      </w:r>
    </w:p>
    <w:p>
      <w:pPr>
        <w:jc w:val="center"/>
      </w:pPr>
      <w:r>
        <w:rPr>
          <w:rFonts w:ascii="Times New Roman" w:hAnsi="Times New Roman"/>
          <w:b/>
          <w:sz w:val="24"/>
        </w:rPr>
        <w:t>TABLE OF CONTENTS (CONTINUED)</w:t>
      </w:r>
    </w:p>
    <w:p>
      <w:pPr/>
      <w:r>
        <w:t>CHAPTER 3 - SYSTEM DESIGN .......................................................... 17-25</w:t>
      </w:r>
    </w:p>
    <w:p>
      <w:pPr/>
      <w:r>
        <w:t>3.1 Module Division ................................................................... 18</w:t>
      </w:r>
    </w:p>
    <w:p>
      <w:pPr/>
      <w:r>
        <w:t>3.2 Project Schedule .................................................................. 19</w:t>
      </w:r>
    </w:p>
    <w:p>
      <w:pPr/>
      <w:r>
        <w:t>3.3 Data Model / E-R View ............................................................. 20</w:t>
      </w:r>
    </w:p>
    <w:p>
      <w:pPr/>
      <w:r>
        <w:t>3.4 Data Flow ......................................................................... 21</w:t>
      </w:r>
    </w:p>
    <w:p>
      <w:pPr/>
      <w:r>
        <w:t>3.4.1 Request / Response Flow ......................................................... 22</w:t>
      </w:r>
    </w:p>
    <w:p>
      <w:pPr/>
      <w:r>
        <w:t>3.5 Component View .................................................................... 23</w:t>
      </w:r>
    </w:p>
    <w:p>
      <w:pPr/>
      <w:r>
        <w:t>3.5.1 Sequence View - Protected Request ............................................... 24</w:t>
      </w:r>
    </w:p>
    <w:p>
      <w:pPr/>
      <w:r>
        <w:t>3.5.2 Frontend State and Use-Case View ................................................ 25</w:t>
      </w:r>
    </w:p>
    <w:p>
      <w:pPr/>
      <w:r>
        <w:t>CHAPTER 4 - IMPLEMENTATION AND TESTING ............................................. 26-32</w:t>
      </w:r>
    </w:p>
    <w:p>
      <w:pPr/>
      <w:r>
        <w:t>4.1 Implementation ................................................................. 27-30</w:t>
      </w:r>
    </w:p>
    <w:p>
      <w:pPr/>
      <w:r>
        <w:t>4.2 Testing Approach and Cases ........................................................ 31-32</w:t>
      </w:r>
    </w:p>
    <w:p>
      <w:pPr/>
      <w:r>
        <w:t>CHAPTER 5 - RESULTS AND DISCUSSION ................................................. 33-38</w:t>
      </w:r>
    </w:p>
    <w:p>
      <w:pPr/>
      <w:r>
        <w:t>5.1 Dashboard Evidence ................................................................ 33</w:t>
      </w:r>
    </w:p>
    <w:p>
      <w:pPr/>
      <w:r>
        <w:t>5.2 Mobile Interface Evidence ......................................................... 34</w:t>
      </w:r>
    </w:p>
    <w:p>
      <w:pPr/>
      <w:r>
        <w:t>5.3 Scenario Evidence ................................................................. 35</w:t>
      </w:r>
    </w:p>
    <w:p>
      <w:pPr/>
      <w:r>
        <w:t>5.4 Assistant Evidence ................................................................ 36</w:t>
      </w:r>
    </w:p>
    <w:p>
      <w:pPr/>
      <w:r>
        <w:t>5.5 Analytical Results ................................................................ 37</w:t>
      </w:r>
    </w:p>
    <w:p>
      <w:pPr/>
      <w:r>
        <w:t>5.6 Data-Quality Results .............................................................. 38</w:t>
      </w:r>
    </w:p>
    <w:p>
      <w:pPr/>
      <w:r>
        <w:t>5.7 Defect and Discrepancy Summary .................................................... 38</w:t>
      </w:r>
    </w:p>
    <w:p>
      <w:pPr/>
      <w:r>
        <w:t>CHAPTER 6 - CONCLUSION AND FUTURE WORK ............................................. 39-40</w:t>
      </w:r>
    </w:p>
    <w:p>
      <w:pPr/>
      <w:r>
        <w:t>6.1 Conclusion ........................................................................ 39</w:t>
      </w:r>
    </w:p>
    <w:p>
      <w:pPr/>
      <w:r>
        <w:t>6.2 Future Work ....................................................................... 40</w:t>
      </w:r>
    </w:p>
    <w:p>
      <w:pPr/>
      <w:r>
        <w:t>6.3 Limitations ....................................................................... 40</w:t>
      </w:r>
    </w:p>
    <w:p>
      <w:pPr/>
      <w:r>
        <w:t>CHAPTER 7 - REFERENCES ................................................................ 41</w:t>
      </w:r>
    </w:p>
    <w:p>
      <w:pPr>
        <w:sectPr>
          <w:pgSz w:w="11905" w:h="16838"/>
          <w:pgMar w:top="1037" w:right="1080" w:bottom="1037" w:left="1080" w:header="504" w:footer="504" w:gutter="0"/>
          <w:cols w:space="720"/>
          <w:docGrid w:linePitch="360"/>
          <w:pgBorders w:offsetFrom="page" w:display="allPages">
            <w:top w:val="single" w:sz="8" w:space="22" w:color="7A1B2B"/>
            <w:left w:val="single" w:sz="8" w:space="22" w:color="7A1B2B"/>
            <w:bottom w:val="single" w:sz="8" w:space="22" w:color="7A1B2B"/>
            <w:right w:val="single" w:sz="8" w:space="22" w:color="7A1B2B"/>
            <w:top w:val="single" w:sz="5" w:space="22" w:color="000000"/>
            <w:left w:val="single" w:sz="5" w:space="22" w:color="000000"/>
            <w:bottom w:val="single" w:sz="5" w:space="22" w:color="000000"/>
            <w:right w:val="single" w:sz="5" w:space="22" w:color="000000"/>
          </w:pgBorders>
        </w:sectPr>
      </w:pPr>
    </w:p>
    <w:p>
      <w:pPr>
        <w:keepNext/>
        <w:spacing w:after="240"/>
        <w:jc w:val="center"/>
      </w:pPr>
      <w:r>
        <w:rPr>
          <w:rFonts w:ascii="Times New Roman" w:hAnsi="Times New Roman" w:eastAsia="Times New Roman"/>
          <w:b/>
          <w:color w:val="000000"/>
          <w:sz w:val="28"/>
        </w:rPr>
        <w:t>CHAPTER 1 — INTRODUCTION</w:t>
      </w:r>
    </w:p>
    <w:p>
      <w:pPr>
        <w:spacing w:after="120" w:line="240" w:lineRule="auto"/>
      </w:pPr>
      <w:r>
        <w:rPr>
          <w:rFonts w:ascii="Times New Roman" w:hAnsi="Times New Roman" w:eastAsia="Times New Roman"/>
          <w:b w:val="0"/>
          <w:i w:val="0"/>
          <w:color w:val="000000"/>
          <w:sz w:val="24"/>
        </w:rPr>
        <w:t>AdmitFlow is a local analytics prototype for exploring admission funnel behaviour. It combines synthetic-data generation, descriptive aggregation, exploratory model evaluation, annual trend forecasting, scenario arithmetic and a browser dashboard. The project topic is “Admission Conversion Forecasting with Funnel Attribution and Scenario Simulation.” It is an academic demonstration; no institutional applicant records or operational decisions are involved.</w:t>
      </w:r>
    </w:p>
    <w:p>
      <w:pPr/>
      <w:r>
        <w:t>As a reader follows the report, each result should be interpreted against its source: a generated CSV and field dictionary define the population; domain functions define measures; tests exercise selected behavior; and screenshots show one rendered state. Keeping those evidence types separate avoids treating a visual as a calculation test or a test total as a user outcome.</w:t>
      </w:r>
    </w:p>
    <w:p>
      <w:pPr/>
      <w:r>
        <w:t>The implementation can be read as a sequence of explicit transformations: generated records are checked, selected fields are grouped or modeled, the API exposes results, and the interface renders them. Keeping these stages separate makes it possible to distinguish data assumptions from service behavior and visual presentation.</w:t>
      </w:r>
    </w:p>
    <w:p>
      <w:pPr/>
      <w:r>
        <w:t>The project’s evidence is primarily code, generated reports, automated tests, and screenshots. Those artifacts support claims about what the prototype contains and what a particular run returned. They do not supply an external comparison, a stakeholder requirement study, or a validation sample from an operating admissions office.</w:t>
      </w:r>
    </w:p>
    <w:p>
      <w:pPr/>
      <w:r>
        <w:t>The system treats each synthetic applicant row as the unit of analysis and presents counts and rates at aggregate level. Its questions are descriptive: how many rows reach each recorded stage, how outcomes vary by recorded group, and what arithmetic follows from an explicit scenario. It does not explain why an applicant progressed or provide individual decisions.</w:t>
      </w:r>
    </w:p>
    <w:p>
      <w:pPr/>
      <w:r>
        <w:t>The significance is integration rather than a claim of novel algorithms. The workflow connects a documented CSV schema, pandas transformations, scikit-learn pipelines, FastAPI routes, and React visualizations. Reproducible seeds and saved artifacts make the demonstration inspectable, while synthetic data and absent institutional validation limit external interpretation.</w:t>
      </w:r>
    </w:p>
    <w:p>
      <w:r>
        <w:br w:type="page"/>
      </w:r>
    </w:p>
    <w:p>
      <w:pPr>
        <w:keepNext/>
        <w:spacing w:after="240"/>
        <w:jc w:val="center"/>
      </w:pPr>
      <w:r>
        <w:rPr>
          <w:rFonts w:ascii="Times New Roman" w:hAnsi="Times New Roman" w:eastAsia="Times New Roman"/>
          <w:b/>
          <w:color w:val="000000"/>
          <w:sz w:val="24"/>
        </w:rPr>
        <w:t>1.1 SIGNIFICANCE</w:t>
      </w:r>
    </w:p>
    <w:p>
      <w:pPr>
        <w:spacing w:after="120" w:line="240" w:lineRule="auto"/>
      </w:pPr>
      <w:r>
        <w:rPr>
          <w:rFonts w:ascii="Times New Roman" w:hAnsi="Times New Roman" w:eastAsia="Times New Roman"/>
          <w:b w:val="0"/>
          <w:i w:val="0"/>
          <w:color w:val="000000"/>
          <w:sz w:val="24"/>
        </w:rPr>
        <w:t>A reproducible analytics workflow can summarize stage counts and compare outcomes across cycle, programme, region, selectivity and recorded source. This capstone integrates data validation, descriptive analysis, model evaluation, forecasting, API design and visualization. The data is synthetic and does not show that the metrics represent a real college or generalize to future intakes.</w:t>
      </w:r>
    </w:p>
    <w:p>
      <w:pPr/>
      <w:r>
        <w:t>A decision-support interface can make aggregate patterns easier to inspect, but a chart alone does not create a defensible decision rule. AdmitFlow deliberately stops short of advising on applicants; human, institutional, and legal decision processes are not represented in the repository.</w:t>
      </w:r>
    </w:p>
    <w:p>
      <w:pPr/>
      <w:r>
        <w:t>For example, the funnel describes how the synthetic cohort is distributed across recorded progress flags, while programme and cycle tables compare aggregates using the same source rows. The workflow preserves the distinction between a count and a proportion; neither alone should be read as a causal explanation.</w:t>
      </w:r>
    </w:p>
    <w:p>
      <w:pPr/>
      <w:r>
        <w:t>The combination also creates a practical learning path: define a schema, generate controlled input, implement aggregation and model functions, expose contracts, then verify results. Its limits are part of the significance: transparent weak results are more informative than unsupported claims of predictive success.</w:t>
      </w:r>
    </w:p>
    <w:p>
      <w:pPr/>
      <w:r>
        <w:t>Funnel counts expose volume attrition, while cohort summaries retain group denominators so rates can be interpreted alongside counts. A high rate in a small group need not represent the largest contribution to total enrolment. The code reports descriptive aggregates and does not adjust for confounding variables.</w:t>
      </w:r>
    </w:p>
    <w:p>
      <w:pPr/>
      <w:r>
        <w:t>The workflow joins data validation, descriptive analysis, model evaluation, forecasting, API design, and visualization. This shows how parts of a data-science application fit together; it does not demonstrate that synthetic metrics represent a real college or generalize to future intakes.</w:t>
      </w:r>
    </w:p>
    <w:p>
      <w:r>
        <w:br w:type="page"/>
      </w:r>
    </w:p>
    <w:p>
      <w:pPr>
        <w:keepNext/>
        <w:spacing w:after="240"/>
        <w:jc w:val="center"/>
      </w:pPr>
      <w:r>
        <w:rPr>
          <w:rFonts w:ascii="Times New Roman" w:hAnsi="Times New Roman" w:eastAsia="Times New Roman"/>
          <w:b/>
          <w:color w:val="000000"/>
          <w:sz w:val="24"/>
        </w:rPr>
        <w:t>1.2 OBJECTIVES</w:t>
      </w:r>
    </w:p>
    <w:p>
      <w:pPr>
        <w:spacing w:after="120" w:line="240" w:lineRule="auto"/>
      </w:pPr>
      <w:r>
        <w:rPr>
          <w:rFonts w:ascii="Times New Roman" w:hAnsi="Times New Roman" w:eastAsia="Times New Roman"/>
          <w:b w:val="0"/>
          <w:i w:val="0"/>
          <w:color w:val="000000"/>
          <w:sz w:val="24"/>
        </w:rPr>
        <w:t>The objectives evidenced by specification and implementation are: generate repeatable synthetic records; validate selected data properties; calculate funnel and cohort summaries; describe source associations without causal claims; evaluate logistic regression and random forest; forecast annual enrolment; calculate deterministic scenarios; expose results through an authenticated API and React interface; collect test/evidence artifacts. Training a model does not establish predictive validity.</w:t>
      </w:r>
    </w:p>
    <w:p>
      <w:pPr/>
      <w:r>
        <w:t>Outcomes are stored as report artifacts under `data/` and `evidence/`, and tests are organized by backend behavior and selected frontend interactions. These locations make the project reviewable; they do not mean every objective has an acceptance benchmark or that the current source was freshly tested for this document.</w:t>
      </w:r>
    </w:p>
    <w:p>
      <w:pPr/>
      <w:r>
        <w:t>The code does not calculate causal campaign lift, prove forecast utility, or demonstrate improved admissions outcomes. Those questions would require different data and study designs. The measurable objective here is narrower: implement and document an end-to-end prototype with explicit assumptions and testable software behavior.</w:t>
      </w:r>
    </w:p>
    <w:p>
      <w:pPr/>
      <w:r>
        <w:t>The objective to expose outputs is evidenced by JSON routes and the React workspace; the objective to verify behavior is supported by pytest/Vitest suites and saved evidence. Those suites exercise selected contracts, not every possible input, environment, or visual state, and their historical log totals are distinct from a fresh run.</w:t>
      </w:r>
    </w:p>
    <w:p>
      <w:pPr/>
      <w:r>
        <w:t>This mapping makes clear what is included and how it can be reviewed: inspect generator and dictionary for the input, analytics for rates, modeling and forecast modules for evaluation design, scenario code for assumptions, then routes and components for presentation. Each objective has a source path rather than an inferred stakeholder outcome.</w:t>
      </w:r>
    </w:p>
    <w:p>
      <w:pPr/>
      <w:r>
        <w:t>The objectives map to separate stages: `data_generator.py` creates the CSV; validation scripts record selected checks; `analytics.py` groups counts and rates; `ml.py` fits two pipelines; `forecast.py` evaluates an annual series; and `scenario.py` applies user-supplied multipliers. The server exposes these outputs and the frontend presents them.</w:t>
      </w:r>
    </w:p>
    <w:p>
      <w:pPr/>
      <w:r>
        <w:t>Verification is bounded: dataset properties are compared with the validation report, model results use a held-out split, forecast error uses the final two available years, and scenario logic is deterministic arithmetic. Passing these checks does not validate the system for real admissions decisions.</w:t>
      </w:r>
    </w:p>
    <w:p>
      <w:r>
        <w:br w:type="page"/>
      </w:r>
    </w:p>
    <w:p>
      <w:pPr>
        <w:keepNext/>
        <w:spacing w:after="240"/>
        <w:jc w:val="center"/>
      </w:pPr>
      <w:r>
        <w:rPr>
          <w:rFonts w:ascii="Times New Roman" w:hAnsi="Times New Roman" w:eastAsia="Times New Roman"/>
          <w:b/>
          <w:color w:val="000000"/>
          <w:sz w:val="24"/>
        </w:rPr>
        <w:t>1.3.1 PURPOSE</w:t>
      </w:r>
    </w:p>
    <w:p>
      <w:pPr>
        <w:spacing w:after="120" w:line="240" w:lineRule="auto"/>
      </w:pPr>
      <w:r>
        <w:rPr>
          <w:rFonts w:ascii="Times New Roman" w:hAnsi="Times New Roman" w:eastAsia="Times New Roman"/>
          <w:b w:val="0"/>
          <w:i w:val="0"/>
          <w:color w:val="000000"/>
          <w:sz w:val="24"/>
        </w:rPr>
        <w:t>The purpose is to demonstrate how synthetic applicant rows can be transformed into aggregate summaries, exploratory model results, directional projections and assumption-based scenarios. Data generation, analytics, model fitting and API logic execute in project code; the UI provides a way to inspect results. Saved reports are time-specific artifacts, not proof that every current source revision has been re-executed.</w:t>
      </w:r>
    </w:p>
    <w:p>
      <w:pPr/>
      <w:r>
        <w:t>The project’s reproducibility claim is about repeatable synthetic generation under a fixed seed, not repeated model validity. Training/test separation and the forecast holdout are explicit in source, but they use one random classifier split and only two forecast holdout points, respectively.</w:t>
      </w:r>
    </w:p>
    <w:p>
      <w:pPr/>
      <w:r>
        <w:t>In particular, a synthetic row is not an observation about a real person. The fixed random seed improves repeatability of the generated example; it does not confer statistical representativeness. The report retains this qualification wherever saved rates and scores are discussed.</w:t>
      </w:r>
    </w:p>
    <w:p>
      <w:pPr/>
      <w:r>
        <w:t>The work separates descriptive, predictive, and assumption-based outputs because they answer different questions. A group rate summarizes observed synthetic flags; a classifier estimates a held-out target under a chosen split; a trend model extrapolates annual totals; and a scenario recalculates counts from supplied adjustments. Their numeric outputs are not interchangeable.</w:t>
      </w:r>
    </w:p>
    <w:p>
      <w:pPr/>
      <w:r>
        <w:t>A meaningful demonstration therefore includes both the computation and its interpretation boundary. Model scores need the class distribution and confusion matrix; forecasts need the holdout definition and short history; attribution needs non-causal wording; and scenario outputs need the actual input assumptions.</w:t>
      </w:r>
    </w:p>
    <w:p>
      <w:pPr/>
      <w:r>
        <w:t>The analytical path begins with row-level synthetic fields and produces aggregates rather than an applicant-scoring interface. The funnel uses the row count for leads and sums cumulative stage flags; model and forecast outputs are separate analyses with different assumptions; a scenario is a requested arithmetic transformation, not an extension of the fitted forecast.</w:t>
      </w:r>
    </w:p>
    <w:p>
      <w:pPr/>
      <w:r>
        <w:t>Saved reports illustrate time-specific outputs, not invariants of every current source revision. A reviewer can trace displayed values to source functions and artifacts, while recognizing that a fresh execution may differ if code or input data changes.</w:t>
      </w:r>
    </w:p>
    <w:p>
      <w:r>
        <w:br w:type="page"/>
      </w:r>
    </w:p>
    <w:p>
      <w:pPr>
        <w:keepNext/>
        <w:spacing w:after="240"/>
        <w:jc w:val="center"/>
      </w:pPr>
      <w:r>
        <w:rPr>
          <w:rFonts w:ascii="Times New Roman" w:hAnsi="Times New Roman" w:eastAsia="Times New Roman"/>
          <w:b/>
          <w:color w:val="000000"/>
          <w:sz w:val="24"/>
        </w:rPr>
        <w:t>1.3.2 SCOPE</w:t>
      </w:r>
    </w:p>
    <w:p>
      <w:pPr>
        <w:spacing w:after="120" w:line="240" w:lineRule="auto"/>
      </w:pPr>
      <w:r>
        <w:rPr>
          <w:rFonts w:ascii="Times New Roman" w:hAnsi="Times New Roman" w:eastAsia="Times New Roman"/>
          <w:b w:val="0"/>
          <w:i w:val="0"/>
          <w:color w:val="000000"/>
          <w:sz w:val="24"/>
        </w:rPr>
        <w:t>Included: data generation/validation, funnel and cohort analytics, descriptive attribution, classifier evaluation, annual forecasting, deterministic scenarios, API, dashboard and optional aggregate-grounded assistant. Excluded: real institutional data, applicant record management/scoring, causal campaign attribution, live institutional synchronization, formal usability/security/performance studies and production approval.</w:t>
      </w:r>
    </w:p>
    <w:p>
      <w:pPr/>
      <w:r>
        <w:t>The assistant can use aggregate analytics and recomputed scenario context to answer a bounded question, but it is not retrieval over applicant documents or a local model. Its answers are optional and may be unavailable when provider configuration is absent.</w:t>
      </w:r>
    </w:p>
    <w:p>
      <w:pPr/>
      <w:r>
        <w:t>Inputs include application-related categories and indicators; outputs are aggregate tables, model/forecast metrics, scenario counts, and UI views. The data flow is read-oriented for applicant data, with no applicant changes persisted. This input/output boundary should be preserved if the project is extended.</w:t>
      </w:r>
    </w:p>
    <w:p>
      <w:pPr/>
      <w:r>
        <w:t>The front end displays aggregate pages and controls, while the API is responsible for protected data retrieval and calculations. The assistant is an optional aggregate-context feature. Applicant-level record editing, file upload, integration with an admissions information system, and automated decision recommendations are outside this implementation.</w:t>
      </w:r>
    </w:p>
    <w:p>
      <w:pPr/>
      <w:r>
        <w:t>The scope also excludes formal production operations. The repository does not establish service-level objectives, disaster recovery, monitoring ownership, or a real-data retention policy. These exclusions keep an academic prototype from being mistaken for an institution-ready platform.</w:t>
      </w:r>
    </w:p>
    <w:p>
      <w:pPr/>
      <w:r>
        <w:t>Scope is limited to the repository’s columns and workflows. The CSV provides synthetic identifiers, cycle and programme categories, engagement measures, stage flags, and outcomes. The API returns summaries and selected model/forecast results; it does not connect to an institutional database or provide applicant CRUD operations.</w:t>
      </w:r>
    </w:p>
    <w:p>
      <w:pPr/>
      <w:r>
        <w:t>There is no campaign experiment or spend table for causal return-on-investment analysis, no dedicated new-applicant prediction route, and no measured deployment, usability, or security acceptance study. Any extension needs permissioned data, defined outcomes, governance, and independent evaluation.</w:t>
      </w:r>
    </w:p>
    <w:p>
      <w:r>
        <w:br w:type="page"/>
      </w:r>
    </w:p>
    <w:p>
      <w:pPr>
        <w:keepNext/>
        <w:spacing w:after="240"/>
        <w:jc w:val="center"/>
      </w:pPr>
      <w:r>
        <w:rPr>
          <w:rFonts w:ascii="Times New Roman" w:hAnsi="Times New Roman" w:eastAsia="Times New Roman"/>
          <w:b/>
          <w:color w:val="000000"/>
          <w:sz w:val="24"/>
        </w:rPr>
        <w:t>1.4 APPLICABILITY</w:t>
      </w:r>
    </w:p>
    <w:p>
      <w:pPr>
        <w:spacing w:after="120" w:line="240" w:lineRule="auto"/>
      </w:pPr>
      <w:r>
        <w:rPr>
          <w:rFonts w:ascii="Times New Roman" w:hAnsi="Times New Roman" w:eastAsia="Times New Roman"/>
          <w:b w:val="0"/>
          <w:i w:val="0"/>
          <w:color w:val="000000"/>
          <w:sz w:val="24"/>
        </w:rPr>
        <w:t>The prototype may be demonstrated by project authors or an evaluator using synthetic data. The repository does not verify stakeholder validation, institutional adoption, legal/privacy approval or operational suitability. Do not use this system to rank, admit, reject or otherwise make decisions about real applicants.</w:t>
      </w:r>
    </w:p>
    <w:p>
      <w:pPr/>
      <w:r>
        <w:t>A useful demonstration is to compare the screen with its API response and source method, then check the saved evidence and tests for their scope. This demonstrates traceability; it is not an independent audit or approval by faculty, users, or an institution.</w:t>
      </w:r>
    </w:p>
    <w:p>
      <w:pPr/>
      <w:r>
        <w:t>The intended evaluator can verify this limited scope from repository artifacts: run commands, route definitions, source functions, tests, and evidence files. The local demo account makes the UI accessible for evaluation but is not an identity-management policy for a college deployment.</w:t>
      </w:r>
    </w:p>
    <w:p>
      <w:pPr/>
      <w:r>
        <w:t>Demonstration suitability does not imply permission to process personal data. The bundled data is synthetic, but even a future test with real records would need authorization, minimization, access controls, retention rules, and privacy review. The current report cannot attest that those approvals have been obtained.</w:t>
      </w:r>
    </w:p>
    <w:p>
      <w:pPr/>
      <w:r>
        <w:t>The interface may help a reviewer follow the flow from a data file to summary views, but no formal feedback from intended users is stored. No usability score, satisfaction claim, or adoption outcome can be derived from screenshots or repository presence alone.</w:t>
      </w:r>
    </w:p>
    <w:p>
      <w:pPr/>
      <w:r>
        <w:t>A safe demonstration uses bundled synthetic data, documented local run commands, and the local demo account. An evaluator can inspect dashboard, scenario, and evidence views without treating a chart as a recommendation. The optional language-model panel depends on provider configuration; its unavailable state is also supported.</w:t>
      </w:r>
    </w:p>
    <w:p>
      <w:pPr/>
      <w:r>
        <w:t>Applicability is educational and technical, not institutional adoption. Before wider use, the owner would need approval for data processing, a threat model, operational support, model governance, and representative validation. The system must not be used to rank, admit, or reject real applicants.</w:t>
      </w:r>
    </w:p>
    <w:p>
      <w:r>
        <w:br w:type="page"/>
      </w:r>
    </w:p>
    <w:p>
      <w:pPr>
        <w:keepNext/>
        <w:spacing w:after="240"/>
        <w:jc w:val="center"/>
      </w:pPr>
      <w:r>
        <w:rPr>
          <w:rFonts w:ascii="Times New Roman" w:hAnsi="Times New Roman" w:eastAsia="Times New Roman"/>
          <w:b/>
          <w:color w:val="000000"/>
          <w:sz w:val="24"/>
        </w:rPr>
        <w:t>1.5 ACHIEVEMENTS</w:t>
      </w:r>
    </w:p>
    <w:p>
      <w:pPr>
        <w:spacing w:after="120" w:line="240" w:lineRule="auto"/>
      </w:pPr>
      <w:r>
        <w:rPr>
          <w:rFonts w:ascii="Times New Roman" w:hAnsi="Times New Roman" w:eastAsia="Times New Roman"/>
          <w:b w:val="0"/>
          <w:i w:val="0"/>
          <w:color w:val="000000"/>
          <w:sz w:val="24"/>
        </w:rPr>
        <w:t>Repository artifacts include a seeded synthetic dataset and validation output; analytics, model, forecast and scenario reports; FastAPI and React implementation; screenshots; backend/frontend test logs. Saved validation describes 4,200 rows and 22 columns. Stored test logs record 20 backend and 3 frontend tests passing; they have not been re-run for this build. Model quality, dated schedule, code screenshots and user research remain gaps.</w:t>
      </w:r>
    </w:p>
    <w:p>
      <w:pPr/>
      <w:r>
        <w:t>The interface screenshots also have known limitations: they represent particular captured states, some older views are small or low contrast, and one screenshot does not establish responsive behavior broadly. New captures should be labeled with their route, viewport, and data state if used in a future evidence package.</w:t>
      </w:r>
    </w:p>
    <w:p>
      <w:pPr/>
      <w:r>
        <w:t>The project also documents known weaknesses rather than treating all artifacts as success evidence: the classifier has weak discrimination, the forecast has a short evaluation history, the scenario includes unused campaign-shift metadata, and the validation routine has gaps. Recording these issues is part of a defensible project account.</w:t>
      </w:r>
    </w:p>
    <w:p>
      <w:pPr/>
      <w:r>
        <w:t>A final reproducibility package should bind each output to the exact dataset, source revision, environment, and command that generated it. The checked-in files provide a useful evidence map, but they do not replace fresh verification against the delivered source.</w:t>
      </w:r>
    </w:p>
    <w:p>
      <w:pPr/>
      <w:r>
        <w:t>The evidence chain includes a data dictionary and validation report, analytics/model/scenario/forecast outputs, API and security checks, screenshots, and backend/frontend test logs. Together these expose the input schema, selected processing results, and automated checks rather than presenting only a static interface.</w:t>
      </w:r>
    </w:p>
    <w:p>
      <w:pPr/>
      <w:r>
        <w:t>The stored backend log reports 20 passed tests; current source has since changed, so this is not silently described as a fresh run. Model reports show execution but also expose weak discrimination. No dated actual-work schedule, institutional approval, user study, or production certification is claimed.</w:t>
      </w:r>
    </w:p>
    <w:p>
      <w:r>
        <w:br w:type="page"/>
      </w:r>
    </w:p>
    <w:p>
      <w:pPr>
        <w:keepNext/>
        <w:spacing w:after="240"/>
        <w:jc w:val="center"/>
      </w:pPr>
      <w:r>
        <w:rPr>
          <w:rFonts w:ascii="Times New Roman" w:hAnsi="Times New Roman" w:eastAsia="Times New Roman"/>
          <w:b/>
          <w:color w:val="000000"/>
          <w:sz w:val="28"/>
        </w:rPr>
        <w:t>CHAPTER 2 — SYSTEM ANALYSIS</w:t>
      </w:r>
    </w:p>
    <w:p>
      <w:pPr>
        <w:spacing w:after="120" w:line="240" w:lineRule="auto"/>
      </w:pPr>
      <w:r>
        <w:rPr>
          <w:rFonts w:ascii="Times New Roman" w:hAnsi="Times New Roman" w:eastAsia="Times New Roman"/>
          <w:b w:val="0"/>
          <w:i w:val="0"/>
          <w:color w:val="000000"/>
          <w:sz w:val="24"/>
        </w:rPr>
        <w:t>This chapter describes the implemented solution and project context. The repository contains no independent institutional-system comparison or competitor study; broad claims about existing products are not made. Source basis: project specification, architecture docs, backend modules and frontend source.</w:t>
      </w:r>
    </w:p>
    <w:p>
      <w:pPr>
        <w:keepNext/>
        <w:spacing w:after="240"/>
        <w:jc w:val="center"/>
      </w:pPr>
      <w:r>
        <w:rPr>
          <w:rFonts w:ascii="Times New Roman" w:hAnsi="Times New Roman" w:eastAsia="Times New Roman"/>
          <w:b/>
          <w:color w:val="000000"/>
          <w:sz w:val="24"/>
        </w:rPr>
        <w:t>2.1 EXISTING SYSTEM AND PROBLEM CONTEXT</w:t>
      </w:r>
    </w:p>
    <w:p>
      <w:pPr>
        <w:spacing w:after="120" w:line="240" w:lineRule="auto"/>
      </w:pPr>
      <w:r>
        <w:rPr>
          <w:rFonts w:ascii="Times New Roman" w:hAnsi="Times New Roman" w:eastAsia="Times New Roman"/>
          <w:b w:val="0"/>
          <w:i w:val="0"/>
          <w:color w:val="000000"/>
          <w:sz w:val="24"/>
        </w:rPr>
        <w:t>The specification motivates a workflow for inspecting stage-level applicant changes, cohort differences and planning scenarios. There is no measured baseline at a named institution, staff survey or competitive product evaluation. AdmitFlow demonstrates calculations against synthetic data; it is not a replacement for an operational admissions platform.</w:t>
      </w:r>
    </w:p>
    <w:p>
      <w:pPr/>
      <w:r>
        <w:t>A typical analytical question can be framed without assuming a specific incumbent product: identify the row population, count progress indicators, compare groups with consistent denominators, and record the assumptions behind an exploratory projection. The prototype implements examples of these steps on generated records.</w:t>
      </w:r>
    </w:p>
    <w:p>
      <w:pPr/>
      <w:r>
        <w:t>A basic analytical workflow needs a clear population and stage semantics before calculating a conversion rate. In this implementation every CSV row contributes to the lead count; cumulative binary fields define subsequent counts; and the final `stage` label is exclusive. This gives reproducible arithmetic while leaving the generator’s synthetic behavior visible.</w:t>
      </w:r>
    </w:p>
    <w:p>
      <w:pPr/>
      <w:r>
        <w:t>The specification’s motivation is not itself evidence that a real organization experiences a particular problem. No baseline processing time, error count, existing tool inventory, or staff interview is included. That evidence gap is why the report avoids claiming that AdmitFlow improves an existing process.</w:t>
      </w:r>
    </w:p>
    <w:p>
      <w:pPr/>
      <w:r>
        <w:t>A transparent analysis needs consistent stage definitions, denominators, and an explicit distinction between a final label and cumulative flags. AdmitFlow uses `stage` as one exclusive final-stage category, but derives funnel volumes from binary columns such as `application_started`, `submitted`, `review`, `admitted`, and `enrolled`. Summing exclusive labels would answer a different question.</w:t>
      </w:r>
    </w:p>
    <w:p>
      <w:pPr/>
      <w:r>
        <w:t>No incumbent college process, staff workload, or failure rate is documented. The existing-system discussion is therefore a problem context, not a measured before/after evaluation. A named institutional baseline or product comparison would require independent records and verified sources.</w:t>
      </w:r>
    </w:p>
    <w:p>
      <w:r>
        <w:br w:type="page"/>
      </w:r>
    </w:p>
    <w:p>
      <w:pPr>
        <w:keepNext/>
        <w:spacing w:after="240"/>
        <w:jc w:val="center"/>
      </w:pPr>
      <w:r>
        <w:rPr>
          <w:rFonts w:ascii="Times New Roman" w:hAnsi="Times New Roman" w:eastAsia="Times New Roman"/>
          <w:b/>
          <w:color w:val="000000"/>
          <w:sz w:val="24"/>
        </w:rPr>
        <w:t>2.2 PROPOSED SYSTEM</w:t>
      </w:r>
    </w:p>
    <w:p>
      <w:pPr>
        <w:spacing w:after="120" w:line="240" w:lineRule="auto"/>
      </w:pPr>
      <w:r>
        <w:rPr>
          <w:rFonts w:ascii="Times New Roman" w:hAnsi="Times New Roman" w:eastAsia="Times New Roman"/>
          <w:b w:val="0"/>
          <w:i w:val="0"/>
          <w:color w:val="000000"/>
          <w:sz w:val="24"/>
        </w:rPr>
        <w:t>React sends JSON requests to FastAPI. Backend modules read the synthetic CSV and calculate analytics, model outputs, forecasts and scenarios. Auth supports database-backed session storage and a configured stateless JWT branch. Optional assistant requests send selected aggregate context to Groq. No secrets are included in this report.</w:t>
      </w:r>
    </w:p>
    <w:p>
      <w:pPr/>
      <w:r>
        <w:t>The system also separates optional behavior from core behavior. A missing assistant provider prevents AI answers but does not invalidate CSV-based summaries or scenario calculations. This degrades one feature rather than making the whole application dependent on an external LLM.</w:t>
      </w:r>
    </w:p>
    <w:p>
      <w:pPr/>
      <w:r>
        <w:t>The architecture therefore has two separate data responsibilities: CSV access for applicant analytics and a database adapter for account/session operations. Conflating them would misstate where data resides. The assistant call is an optional egress path and should remain disabled unless its key and data handling are reviewed.</w:t>
      </w:r>
    </w:p>
    <w:p>
      <w:pPr/>
      <w:r>
        <w:t>This separation gives the client a presentation role and the API the authority to validate protected access and run computations. JSON responses are then translated into chart, table, metric, or error states. The browser does not directly connect to the applicant CSV or the authentication database.</w:t>
      </w:r>
    </w:p>
    <w:p>
      <w:pPr/>
      <w:r>
        <w:t>One operational caveat is that the API is a local service design, not a declared microservice platform. There is no queue or separate analytical database. File paths, storage, authentication mode, and optional-provider configuration must be set correctly in the deployment environment.</w:t>
      </w:r>
    </w:p>
    <w:p>
      <w:pPr/>
      <w:r>
        <w:t>A protected interaction starts in a workspace component, which calls the API helper with the bearer token. FastAPI validates authentication, reads the CSV or calls a domain function, and returns JSON. Dashboard resources are retrieved for views; scenarios are posted separately; assistant requests are optional.</w:t>
      </w:r>
    </w:p>
    <w:p>
      <w:pPr/>
      <w:r>
        <w:t>Local accounts use SQLite; configured deployments may use PostgreSQL or stateless JWT mode depending on environment. Applicant analytics remain CSV-backed and recent audit events are process-local. The optional Groq request receives selected aggregate context; its key remains server-side.</w:t>
      </w:r>
    </w:p>
    <w:p>
      <w:r>
        <w:br w:type="page"/>
      </w:r>
    </w:p>
    <w:p>
      <w:pPr>
        <w:keepNext/>
        <w:spacing w:after="240"/>
        <w:jc w:val="center"/>
      </w:pPr>
      <w:r>
        <w:rPr>
          <w:rFonts w:ascii="Times New Roman" w:hAnsi="Times New Roman" w:eastAsia="Times New Roman"/>
          <w:b/>
          <w:color w:val="000000"/>
          <w:sz w:val="24"/>
        </w:rPr>
        <w:t>SYSTEM ARCHITECTURE</w:t>
      </w:r>
    </w:p>
    <w:p>
      <w:pPr>
        <w:spacing w:after="120" w:line="240" w:lineRule="auto"/>
      </w:pPr>
      <w:r>
        <w:rPr>
          <w:rFonts w:ascii="Times New Roman" w:hAnsi="Times New Roman" w:eastAsia="Times New Roman"/>
          <w:b w:val="0"/>
          <w:i w:val="0"/>
          <w:color w:val="000000"/>
          <w:sz w:val="24"/>
        </w:rPr>
        <w:t>Browser → React/Vite → FastAPI routes → dataset and domain modules → JSON response → browser visualizations. Auth uses SQLite locally and has PostgreSQL support; a stateless JWT mode exists for configured serverless deployments. Audit events are in process memory. Analytics data is read from CSV.</w:t>
      </w:r>
    </w:p>
    <w:tbl>
      <w:tblPr>
        <w:tblStyle w:val="TableGrid"/>
        <w:tblW w:type="auto" w:w="0"/>
        <w:tblLook w:firstColumn="1" w:firstRow="1" w:lastColumn="0" w:lastRow="0" w:noHBand="0" w:noVBand="1" w:val="04A0"/>
      </w:tblPr>
      <w:tblGrid>
        <w:gridCol w:w="3248"/>
        <w:gridCol w:w="3248"/>
        <w:gridCol w:w="3248"/>
      </w:tblGrid>
      <w:tr>
        <w:tc>
          <w:tcPr>
            <w:tcW w:type="dxa" w:w="3248"/>
          </w:tcPr>
          <w:p>
            <w:r>
              <w:t>Layer</w:t>
            </w:r>
          </w:p>
        </w:tc>
        <w:tc>
          <w:tcPr>
            <w:tcW w:type="dxa" w:w="3248"/>
          </w:tcPr>
          <w:p>
            <w:r>
              <w:t>Input / work</w:t>
            </w:r>
          </w:p>
        </w:tc>
        <w:tc>
          <w:tcPr>
            <w:tcW w:type="dxa" w:w="3248"/>
          </w:tcPr>
          <w:p>
            <w:r>
              <w:t>Output / boundary</w:t>
            </w:r>
          </w:p>
        </w:tc>
      </w:tr>
      <w:tr>
        <w:tc>
          <w:tcPr>
            <w:tcW w:type="dxa" w:w="3248"/>
          </w:tcPr>
          <w:p>
            <w:r>
              <w:t>React / Vite</w:t>
            </w:r>
          </w:p>
        </w:tc>
        <w:tc>
          <w:tcPr>
            <w:tcW w:type="dxa" w:w="3248"/>
          </w:tcPr>
          <w:p>
            <w:r>
              <w:t>User action and selected view</w:t>
            </w:r>
          </w:p>
        </w:tc>
        <w:tc>
          <w:tcPr>
            <w:tcW w:type="dxa" w:w="3248"/>
          </w:tcPr>
          <w:p>
            <w:r>
              <w:t>JSON request; rendered workspace</w:t>
            </w:r>
          </w:p>
        </w:tc>
      </w:tr>
      <w:tr>
        <w:tc>
          <w:tcPr>
            <w:tcW w:type="dxa" w:w="3248"/>
          </w:tcPr>
          <w:p>
            <w:r>
              <w:t>FastAPI routes</w:t>
            </w:r>
          </w:p>
        </w:tc>
        <w:tc>
          <w:tcPr>
            <w:tcW w:type="dxa" w:w="3248"/>
          </w:tcPr>
          <w:p>
            <w:r>
              <w:t>Request schema and auth dependency</w:t>
            </w:r>
          </w:p>
        </w:tc>
        <w:tc>
          <w:tcPr>
            <w:tcW w:type="dxa" w:w="3248"/>
          </w:tcPr>
          <w:p>
            <w:r>
              <w:t>Authorized route call and JSON response</w:t>
            </w:r>
          </w:p>
        </w:tc>
      </w:tr>
      <w:tr>
        <w:tc>
          <w:tcPr>
            <w:tcW w:type="dxa" w:w="3248"/>
          </w:tcPr>
          <w:p>
            <w:r>
              <w:t>CSV domain modules</w:t>
            </w:r>
          </w:p>
        </w:tc>
        <w:tc>
          <w:tcPr>
            <w:tcW w:type="dxa" w:w="3248"/>
          </w:tcPr>
          <w:p>
            <w:r>
              <w:t>Synthetic applicant rows</w:t>
            </w:r>
          </w:p>
        </w:tc>
        <w:tc>
          <w:tcPr>
            <w:tcW w:type="dxa" w:w="3248"/>
          </w:tcPr>
          <w:p>
            <w:r>
              <w:t>Analytics, model, forecast, or scenario result</w:t>
            </w:r>
          </w:p>
        </w:tc>
      </w:tr>
      <w:tr>
        <w:tc>
          <w:tcPr>
            <w:tcW w:type="dxa" w:w="3248"/>
          </w:tcPr>
          <w:p>
            <w:r>
              <w:t>Auth store</w:t>
            </w:r>
          </w:p>
        </w:tc>
        <w:tc>
          <w:tcPr>
            <w:tcW w:type="dxa" w:w="3248"/>
          </w:tcPr>
          <w:p>
            <w:r>
              <w:t>Identity and session operations</w:t>
            </w:r>
          </w:p>
        </w:tc>
        <w:tc>
          <w:tcPr>
            <w:tcW w:type="dxa" w:w="3248"/>
          </w:tcPr>
          <w:p>
            <w:r>
              <w:t>SQLite/PostgreSQL records or stateless JWT</w:t>
            </w:r>
          </w:p>
        </w:tc>
      </w:tr>
      <w:tr>
        <w:tc>
          <w:tcPr>
            <w:tcW w:type="dxa" w:w="3248"/>
          </w:tcPr>
          <w:p>
            <w:r>
              <w:t>Optional assistant</w:t>
            </w:r>
          </w:p>
        </w:tc>
        <w:tc>
          <w:tcPr>
            <w:tcW w:type="dxa" w:w="3248"/>
          </w:tcPr>
          <w:p>
            <w:r>
              <w:t>Question plus selected aggregate context</w:t>
            </w:r>
          </w:p>
        </w:tc>
        <w:tc>
          <w:tcPr>
            <w:tcW w:type="dxa" w:w="3248"/>
          </w:tcPr>
          <w:p>
            <w:r>
              <w:t>Provider answer or unavailable/error state</w:t>
            </w:r>
          </w:p>
        </w:tc>
      </w:tr>
    </w:tbl>
    <w:p>
      <w:pPr/>
      <w:r>
        <w:t>The boundary is intentionally aggregate-oriented: applicant rows are read from the CSV for server-side calculations, not written into the auth store or returned as an applicant list. Health and login are public entry points; protected analytics calls use bearer authorization. Scenario results are computed for the request, while the optional assistant path sends selected aggregate context to its provider. These paths have different persistence and egress behavior.</w:t>
      </w:r>
    </w:p>
    <w:p>
      <w:r>
        <w:br w:type="page"/>
      </w:r>
    </w:p>
    <w:p>
      <w:pPr>
        <w:keepNext/>
        <w:spacing w:after="240"/>
        <w:jc w:val="center"/>
      </w:pPr>
      <w:r>
        <w:rPr>
          <w:rFonts w:ascii="Times New Roman" w:hAnsi="Times New Roman" w:eastAsia="Times New Roman"/>
          <w:b/>
          <w:color w:val="000000"/>
          <w:sz w:val="24"/>
        </w:rPr>
        <w:t>2.3 FUNCTIONAL REQUIREMENTS</w:t>
      </w:r>
    </w:p>
    <w:p>
      <w:pPr>
        <w:spacing w:after="120" w:line="240" w:lineRule="auto"/>
      </w:pPr>
      <w:r>
        <w:rPr>
          <w:rFonts w:ascii="Times New Roman" w:hAnsi="Times New Roman" w:eastAsia="Times New Roman"/>
          <w:b w:val="0"/>
          <w:i w:val="0"/>
          <w:color w:val="000000"/>
          <w:sz w:val="24"/>
        </w:rPr>
        <w:t>Implemented areas include sign-in; protected analytics routes; dashboard/funnel summaries; cohort, programme and source outputs; forecast/model views; scenario requests; audit display; theme/navigation; and optional assistant requests. Stored API smoke evidence records health/login success, unauthenticated dashboard 401 and ten authenticated route operations.</w:t>
      </w:r>
    </w:p>
    <w:p>
      <w:pPr/>
      <w:r>
        <w:t>At the contract level, successful API responses provide machine-readable results, while authentication failures and provider unavailability have explicit error paths. The saved route smoke check records examples of those boundaries; it does not exercise every request schema or deployment configuration.</w:t>
      </w:r>
    </w:p>
    <w:p>
      <w:pPr/>
      <w:r>
        <w:t>Requirements should be interpreted at the implemented boundary: the protected routes return aggregate resources; the scenario endpoint accepts non-negative volume and optional adjustments; the assistant route is optional; and interface controls change local presentation state. No registration or applicant profile workflow is implied.</w:t>
      </w:r>
    </w:p>
    <w:p>
      <w:pPr/>
      <w:r>
        <w:t>The route list includes health and login paths, protected dashboard/funnel/cohort/programme/attribution/cycle/forecast/model/scenario/audit endpoints, and optional assistant endpoints. The UI uses these contracts to populate analytic workspaces, while the scenario submission sends the chosen volume and adjustments.</w:t>
      </w:r>
    </w:p>
    <w:p>
      <w:pPr/>
      <w:r>
        <w:t>Not all behaviors implied by a conventional admissions platform exist: registration and password reset are absent, OAuth is not configured, applicant-level CRUD is absent, and audit persistence is limited. These are requirements gaps rather than hidden features.</w:t>
      </w:r>
    </w:p>
    <w:p>
      <w:pPr/>
      <w:r>
        <w:t>The observable user sequence is authenticate, load analytics, select a view, optionally submit scenario assumptions, and inspect the response. Each control maps to an API route or local UI state; the command palette searches client-side data already loaded rather than a separate search service.</w:t>
      </w:r>
    </w:p>
    <w:p>
      <w:pPr/>
      <w:r>
        <w:t>API smoke evidence records both success and a boundary condition: health/login succeed, an unauthenticated dashboard request receives 401, and authenticated route operations return. This is evidence for the recorded local configuration, not proof for every deployment mode.</w:t>
      </w:r>
    </w:p>
    <w:p>
      <w:r>
        <w:br w:type="page"/>
      </w:r>
    </w:p>
    <w:p>
      <w:pPr>
        <w:keepNext/>
        <w:spacing w:after="240"/>
        <w:jc w:val="center"/>
      </w:pPr>
      <w:r>
        <w:rPr>
          <w:rFonts w:ascii="Times New Roman" w:hAnsi="Times New Roman" w:eastAsia="Times New Roman"/>
          <w:b/>
          <w:color w:val="000000"/>
          <w:sz w:val="24"/>
        </w:rPr>
        <w:t>NON-FUNCTIONAL REQUIREMENTS</w:t>
      </w:r>
    </w:p>
    <w:p>
      <w:pPr>
        <w:spacing w:after="120" w:line="240" w:lineRule="auto"/>
      </w:pPr>
      <w:r>
        <w:rPr>
          <w:rFonts w:ascii="Times New Roman" w:hAnsi="Times New Roman" w:eastAsia="Times New Roman"/>
          <w:b w:val="0"/>
          <w:i w:val="0"/>
          <w:color w:val="000000"/>
          <w:sz w:val="24"/>
        </w:rPr>
        <w:t>The app uses modular backend code and component-based frontend. Documentation describes responsive layouts and selected error/loading states. Tests cover selected API/auth and UI interactions. No formal accessibility conformance, latency target, load test, backup validation, usability study, penetration test or production certification is evidenced.</w:t>
      </w:r>
    </w:p>
    <w:p>
      <w:pPr/>
      <w:r>
        <w:t>Selected frontend tests verify a few interactions such as login rendering, theme selection, and mocked data behavior. They are useful regression checks for those components but do not establish user satisfaction, task completion time, or accessibility conformance.</w:t>
      </w:r>
    </w:p>
    <w:p>
      <w:pPr/>
      <w:r>
        <w:t>A non-functional requirement remains a statement to verify, not an attribute to assume. For example, keyboard focus styles are visible in CSS, but complete keyboard operation and screen-reader labeling require an audit; componentized code is present, but maintainability has not been measured by a longitudinal study.</w:t>
      </w:r>
    </w:p>
    <w:p>
      <w:pPr/>
      <w:r>
        <w:t>The selected UI tests check login visibility, a theme interaction, and several mocked data interactions. They are component-level checks; they do not measure task completion with representative users. Similarly, CSS breakpoints demonstrate responsive intent but do not prove correct rendering on every screen size.</w:t>
      </w:r>
    </w:p>
    <w:p>
      <w:pPr/>
      <w:r>
        <w:t>The saved build warning about a large JavaScript chunk is an optimization signal, not a functional failure. Without a measured performance test, the report does not infer the effect on load time. Reliability, availability, and accessible operation remain unverified quality attributes.</w:t>
      </w:r>
    </w:p>
    <w:p>
      <w:pPr/>
      <w:r>
        <w:t>Responsive layouts, selected loading/error states, focus styling, ARIA labels, and reduced-motion CSS are visible in frontend source. These are useful provisions, but their presence does not prove every view is accessible or usable. No participant study or formal WCAG assessment is recorded.</w:t>
      </w:r>
    </w:p>
    <w:p>
      <w:pPr/>
      <w:r>
        <w:t>Performance requirements are not quantified. There is no measured latency target or load profile, and the model route trains when called. Process-local audit entries disappear on restart. Service levels and deployment acceptance remain unverified.</w:t>
      </w:r>
    </w:p>
    <w:p>
      <w:r>
        <w:br w:type="page"/>
      </w:r>
    </w:p>
    <w:p>
      <w:pPr>
        <w:keepNext/>
        <w:spacing w:after="240"/>
        <w:jc w:val="center"/>
      </w:pPr>
      <w:r>
        <w:rPr>
          <w:rFonts w:ascii="Times New Roman" w:hAnsi="Times New Roman" w:eastAsia="Times New Roman"/>
          <w:b/>
          <w:color w:val="000000"/>
          <w:sz w:val="24"/>
        </w:rPr>
        <w:t>2.4 HARDWARE REQUIREMENTS</w:t>
      </w:r>
    </w:p>
    <w:p>
      <w:pPr>
        <w:spacing w:after="120" w:line="240" w:lineRule="auto"/>
      </w:pPr>
      <w:r>
        <w:rPr>
          <w:rFonts w:ascii="Times New Roman" w:hAnsi="Times New Roman" w:eastAsia="Times New Roman"/>
          <w:b w:val="0"/>
          <w:i w:val="0"/>
          <w:color w:val="000000"/>
          <w:sz w:val="24"/>
        </w:rPr>
        <w:t>The project files do not define minimum or recommended hardware. A development environment is not a performance benchmark. Hardware requirements are NOT VERIFIED / NEEDS INPUT. Add specifications only after a reproducible test on identified hardware and workload; do not reuse faculty-sample requirements.</w:t>
      </w:r>
    </w:p>
    <w:p>
      <w:pPr/>
      <w:r>
        <w:t>This is an intentional unknown, not an invitation to copy specifications from an unrelated sample. A future measured profile should identify the machine, data volume, route or build command, repetitions, observed resource use, and acceptance threshold.</w:t>
      </w:r>
    </w:p>
    <w:p>
      <w:pPr/>
      <w:r>
        <w:t>A resource statement should be linked to an identified task. Data generation is one-time batch work; dashboard requests read and aggregate the CSV; model requests fit classifiers; and the browser build bundles frontend assets. There are no measurements that justify converting these different workloads into one minimum configuration.</w:t>
      </w:r>
    </w:p>
    <w:p>
      <w:pPr/>
      <w:r>
        <w:t>The development machine’s operating system and runtime versions only describe an observed environment. They should not be presented as hardware requirements, tested capacity, or a guarantee of performance for a different dataset or number of users.</w:t>
      </w:r>
    </w:p>
    <w:p>
      <w:pPr/>
      <w:r>
        <w:t>No benchmark identifies processor, memory, storage, concurrent-user count, or response-time target. Data generation, pandas aggregation, model fitting, and frontend build have different resource profiles, but the repository does not record controlled measurements on specified machines.</w:t>
      </w:r>
    </w:p>
    <w:p>
      <w:pPr/>
      <w:r>
        <w:t>A defensible requirement would specify workload, environment, measurement procedure, and acceptable result. Until those inputs exist, a numeric minimum would be invented. The supportable entry is that hardware requirements are unavailable and need verification.</w:t>
      </w:r>
    </w:p>
    <w:p>
      <w:r>
        <w:br w:type="page"/>
      </w:r>
    </w:p>
    <w:p>
      <w:pPr>
        <w:keepNext/>
        <w:spacing w:after="240"/>
        <w:jc w:val="center"/>
      </w:pPr>
      <w:r>
        <w:rPr>
          <w:rFonts w:ascii="Times New Roman" w:hAnsi="Times New Roman" w:eastAsia="Times New Roman"/>
          <w:b/>
          <w:color w:val="000000"/>
          <w:sz w:val="24"/>
        </w:rPr>
        <w:t>2.5 SOFTWARE REQUIREMENTS</w:t>
      </w:r>
    </w:p>
    <w:p>
      <w:pPr>
        <w:spacing w:after="120" w:line="240" w:lineRule="auto"/>
      </w:pPr>
      <w:r>
        <w:rPr>
          <w:rFonts w:ascii="Times New Roman" w:hAnsi="Times New Roman" w:eastAsia="Times New Roman"/>
          <w:b w:val="0"/>
          <w:i w:val="0"/>
          <w:color w:val="000000"/>
          <w:sz w:val="24"/>
        </w:rPr>
        <w:t>The repository uses Python, FastAPI/Uvicorn, pandas, NumPy, scikit-learn; React/Vite and Recharts; SQLite for local auth; optional Groq SDK; pytest and Vitest. README gives Python 3.10+ and Node.js 20.19+ or 22.12+ prerequisites. Current deployment behavior depends on auth configuration and environment.</w:t>
      </w:r>
    </w:p>
    <w:p>
      <w:pPr/>
      <w:r>
        <w:t>Dependency manifests are the authoritative setup references: backend package lower bounds are in `backend/requirements.txt`, and frontend resolutions are in `frontend/package-lock.json`. Version numbers observed on one workstation should be treated as a snapshot, not a fully tested compatibility matrix.</w:t>
      </w:r>
    </w:p>
    <w:p>
      <w:pPr/>
      <w:r>
        <w:t>Python’s tabular and scientific stack performs generation, grouping, preprocessing, and evaluation; FastAPI/Uvicorn serves the local API; React/Vite builds and runs the single-page interface; and Recharts renders selected visual summaries. SQLite/PostgreSQL handle configured authentication persistence, not analytics history.</w:t>
      </w:r>
    </w:p>
    <w:p>
      <w:pPr/>
      <w:r>
        <w:t>The Groq SDK is an optional dependency for the assistant. Test tooling is split by layer: pytest for backend behavior and Vitest/Testing Library for selected frontend interactions. The stack description reflects implementation use; it is not a comparative benchmark of competing technologies.</w:t>
      </w:r>
    </w:p>
    <w:p>
      <w:pPr/>
      <w:r>
        <w:t>Python requirements use lower bounds; the frontend lockfile records resolved JavaScript versions. The README states Python 3.10+ and Node.js 20.19+ or 22.12+ as project prerequisites. These are documented development requirements, not evidence every version or operating system was tested.</w:t>
      </w:r>
    </w:p>
    <w:p>
      <w:pPr/>
      <w:r>
        <w:t>Configuration changes authentication behavior: `DATABASE_URL` selects PostgreSQL; local development defaults to SQLite; a Vercel deployment without a database uses stateless tokens requiring configured credentials and a signing secret. Groq is optional and disabled without a server-side key.</w:t>
      </w:r>
    </w:p>
    <w:p>
      <w:r>
        <w:br w:type="page"/>
      </w:r>
    </w:p>
    <w:p>
      <w:pPr>
        <w:keepNext/>
        <w:spacing w:after="240"/>
        <w:jc w:val="center"/>
      </w:pPr>
      <w:r>
        <w:rPr>
          <w:rFonts w:ascii="Times New Roman" w:hAnsi="Times New Roman" w:eastAsia="Times New Roman"/>
          <w:b/>
          <w:color w:val="000000"/>
          <w:sz w:val="24"/>
        </w:rPr>
        <w:t>2.6 TECHNOLOGY SURVEY</w:t>
      </w:r>
    </w:p>
    <w:p>
      <w:pPr/>
      <w:r>
        <w:t>The choice of a CSV for applicant input and a relational store for credentials reflects the current prototype’s distinct use cases. The code does not record an evaluated migration path for analytics storage, and the presence of both SQLite and PostgreSQL support is not evidence of a scale benchmark.</w:t>
      </w:r>
    </w:p>
    <w:p>
      <w:pPr/>
      <w:r>
        <w:t>The division of responsibilities is practical for a small local prototype: Python packages handle data/model work, FastAPI defines HTTP boundaries, and React handles interaction and presentation. The table does not claim the stack was selected through a formal comparison or that all alternatives were benchmarked.</w:t>
      </w:r>
    </w:p>
    <w:p>
      <w:pPr/>
      <w:r>
        <w:t>The table identifies each technology by its observed role rather than ranking alternatives. For example, SQLite and PostgreSQL are auth-store options selected by configuration, whereas the synthetic applicant dataset is read as CSV. scikit-learn is used for both classification pipelines and the linear forecast; those are separate estimators and evaluation procedures.</w:t>
      </w:r>
    </w:p>
    <w:p>
      <w:pPr/>
      <w:r>
        <w:t>No source in the repository records a formal selection matrix, benchmark, procurement analysis, or comparison study. The survey therefore explains why each named tool appears in the implementation and avoids claiming that an alternative was evaluated and rejected.</w:t>
      </w:r>
    </w:p>
    <w:tbl>
      <w:tblPr>
        <w:tblW w:type="auto" w:w="0"/>
        <w:jc w:val="center"/>
        <w:tblLook w:firstColumn="1" w:firstRow="1" w:lastColumn="0" w:lastRow="0" w:noHBand="0" w:noVBand="1" w:val="04A0"/>
      </w:tblPr>
      <w:tblGrid>
        <w:gridCol w:w="4872"/>
        <w:gridCol w:w="4872"/>
      </w:tblGrid>
      <w:tr>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18"/>
              </w:rPr>
              <w:t>Technology</w:t>
            </w:r>
          </w:p>
        </w:tc>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18"/>
              </w:rPr>
              <w:t>Implemented role</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Python / FastAPI</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Backend and JSON API</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pandas / NumPy</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Tabular and numeric operations</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scikit-learn</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Classifier pipeline and linear trend</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SQLite / PostgreSQL</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Configured auth storage modes</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React / Vite / Recharts</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SPA, build and charts</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Groq SDK</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Optional aggregate-grounded assistant</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pytest / Vitest</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18"/>
              </w:rPr>
              <w:t>Backend and frontend tests</w:t>
            </w:r>
          </w:p>
        </w:tc>
      </w:tr>
    </w:tbl>
    <w:p>
      <w:pPr>
        <w:spacing w:after="20"/>
      </w:pPr>
    </w:p>
    <w:p>
      <w:r>
        <w:br w:type="page"/>
      </w:r>
    </w:p>
    <w:p>
      <w:pPr>
        <w:keepNext/>
        <w:spacing w:after="240"/>
        <w:jc w:val="center"/>
      </w:pPr>
      <w:r>
        <w:rPr>
          <w:rFonts w:ascii="Times New Roman" w:hAnsi="Times New Roman" w:eastAsia="Times New Roman"/>
          <w:b/>
          <w:color w:val="000000"/>
          <w:sz w:val="24"/>
        </w:rPr>
        <w:t>DATASET AND ANALYTICAL INPUTS</w:t>
      </w:r>
    </w:p>
    <w:p>
      <w:pPr>
        <w:spacing w:after="120" w:line="240" w:lineRule="auto"/>
      </w:pPr>
      <w:r>
        <w:rPr>
          <w:rFonts w:ascii="Times New Roman" w:hAnsi="Times New Roman" w:eastAsia="Times New Roman"/>
          <w:b w:val="0"/>
          <w:i w:val="0"/>
          <w:color w:val="000000"/>
          <w:sz w:val="24"/>
        </w:rPr>
        <w:t>The data dictionary describes 4,200 synthetic rows spanning cycles 2021–2026 and five programmes. Funnel counts use all rows as leads and sum cumulative flags. `stage` is an exclusive final-stage label and must not be summed as a cumulative funnel. `admitted` and `has_offer` are duplicate indicators. Validation is partial.</w:t>
      </w:r>
    </w:p>
    <w:p>
      <w:pPr/>
      <w:r>
        <w:t>Counts and rates can be recomputed only when the same generated file and definitions are used. If a new dataset is generated or flags are redefined, stored evidence may no longer match. The report records a snapshot and describes semantics so that differences are diagnosable.</w:t>
      </w:r>
    </w:p>
    <w:p>
      <w:pPr/>
      <w:r>
        <w:t>The distinction between stage label and flags is essential for reproducing results. `stage` stores one final category per row, while flags such as `submitted` and `review` can overlap as progress indicators. The funnel function uses those flags; source data also contains `has_offer`, which currently duplicates `admitted`.</w:t>
      </w:r>
    </w:p>
    <w:p>
      <w:pPr/>
      <w:r>
        <w:t>The dataset generator’s fixed seed supports repeatable creation under the same implementation and environment, but does not make generated records realistic or representative. Any change to generator logic can change the resulting distribution, so reports should identify the dataset snapshot rather than imply universal values.</w:t>
      </w:r>
    </w:p>
    <w:p>
      <w:pPr/>
      <w:r>
        <w:t>The generator uses seed 42 and defines six cycle years, five programmes, selectivity levels, regions, and campaign-source categories. Numeric fields have documented synthetic domains. These values are generated for demonstration, not sampled from a known applicant population, so proportions and rates should not be generalized.</w:t>
      </w:r>
    </w:p>
    <w:p>
      <w:pPr/>
      <w:r>
        <w:t>Validation is a bounded set of checks: row/column counts, missingness, identifier uniqueness, selected categories, and dates. Stage-order validation is incomplete and binary-flag consistency is not comprehensive. `admitted` and `has_offer` duplicate each other; cumulative flags overlap by design.</w:t>
      </w:r>
    </w:p>
    <w:p>
      <w:r>
        <w:br w:type="page"/>
      </w:r>
    </w:p>
    <w:p>
      <w:pPr>
        <w:keepNext/>
        <w:spacing w:after="240"/>
        <w:jc w:val="center"/>
      </w:pPr>
      <w:r>
        <w:rPr>
          <w:rFonts w:ascii="Times New Roman" w:hAnsi="Times New Roman" w:eastAsia="Times New Roman"/>
          <w:b/>
          <w:color w:val="000000"/>
          <w:sz w:val="28"/>
        </w:rPr>
        <w:t>CHAPTER 3 — SYSTEM DESIGN</w:t>
      </w:r>
    </w:p>
    <w:p>
      <w:pPr>
        <w:spacing w:after="120" w:line="240" w:lineRule="auto"/>
      </w:pPr>
      <w:r>
        <w:rPr>
          <w:rFonts w:ascii="Times New Roman" w:hAnsi="Times New Roman" w:eastAsia="Times New Roman"/>
          <w:b w:val="0"/>
          <w:i w:val="0"/>
          <w:color w:val="000000"/>
          <w:sz w:val="24"/>
        </w:rPr>
        <w:t>Design views below are report representations derived from repository modules and schemas, not exports from UML tooling. Applicant analytics are CSV-based; authentication records use a separate database.</w:t>
      </w:r>
    </w:p>
    <w:p>
      <w:pPr/>
      <w:r>
        <w:t>The design focuses on data ownership, route boundaries, and control flow. It does not claim independent application servers for analytics, identity, or language-model access. The single repository and local API form the context in which these components operate.</w:t>
      </w:r>
    </w:p>
    <w:p>
      <w:pPr/>
      <w:r>
        <w:t>A key design distinction is persistence: applicant rows are read from a CSV, authentication records may be persisted in a configured database, evidence artifacts are files, and audit entries are in memory. Each has a different lifecycle and should not be depicted as a single durable store.</w:t>
      </w:r>
    </w:p>
    <w:p>
      <w:pPr/>
      <w:r>
        <w:t>This separation influences the ER view and data-flow view: login state is persistent in a database-backed deployment, analytics input is read from a file, and audit history is volatile. The optional assistant is an outbound request. These distinctions matter for retention, scale, and failure handling.</w:t>
      </w:r>
    </w:p>
    <w:p>
      <w:pPr/>
      <w:r>
        <w:t>A component diagram at this level explains code responsibilities, not deployment topology. The project does not document replicas, containers, cloud resources, or a production network design; no such infrastructure is inferred from a local API and frontend.</w:t>
      </w:r>
    </w:p>
    <w:p>
      <w:pPr/>
      <w:r>
        <w:t>Three execution contexts are distinct: the generated CSV supplies applicant rows, an auth database persists users and sessions, and selected reports/model artifacts are files. Audit events remain in process memory; an optional assistant reaches an external provider only when configured. The design must not imply a normalized applicant warehouse or durable audit table.</w:t>
      </w:r>
    </w:p>
    <w:p>
      <w:pPr/>
      <w:r>
        <w:t>Each table and flow restates implemented behavior for traceability; none is claimed as an exported UML model or evidence of deployment infrastructure.</w:t>
      </w:r>
    </w:p>
    <w:p>
      <w:r>
        <w:br w:type="page"/>
      </w:r>
    </w:p>
    <w:p>
      <w:pPr>
        <w:keepNext/>
        <w:spacing w:after="240"/>
        <w:jc w:val="center"/>
      </w:pPr>
      <w:r>
        <w:rPr>
          <w:rFonts w:ascii="Times New Roman" w:hAnsi="Times New Roman" w:eastAsia="Times New Roman"/>
          <w:b/>
          <w:color w:val="000000"/>
          <w:sz w:val="24"/>
        </w:rPr>
        <w:t>3.1 MODULE DIVISION</w:t>
      </w:r>
    </w:p>
    <w:p>
      <w:pPr>
        <w:spacing w:after="120" w:line="240" w:lineRule="auto"/>
      </w:pPr>
      <w:r>
        <w:rPr>
          <w:rFonts w:ascii="Times New Roman" w:hAnsi="Times New Roman" w:eastAsia="Times New Roman"/>
          <w:b w:val="0"/>
          <w:i w:val="0"/>
          <w:color w:val="000000"/>
          <w:sz w:val="24"/>
        </w:rPr>
        <w:t>Generation/validation: data_generator.py and scripts. Analytics: analytics.py. ML: ml.py. Forecast: forecast.py. Scenarios: scenario.py. Auth/config: auth.py and config.py. Optional assistant: assistant.py. API: server.py. UI: App.jsx, components and pages. Evidence tooling is under scripts/ and evidence/.</w:t>
      </w:r>
    </w:p>
    <w:p>
      <w:pPr/>
      <w:r>
        <w:t>This organization makes a review path possible: follow a route to the domain function, inspect its input assumptions and output shape, then locate a test or evidence file. A source path is stronger traceability than a diagram alone, but the cited code must still be checked against the delivered revision.</w:t>
      </w:r>
    </w:p>
    <w:p>
      <w:pPr/>
      <w:r>
        <w:t>The boundaries also help locate responsibility for discrepancies: generated-field properties belong to data and validation code; formulas belong to analytics/model/forecast/scenario modules; request and authorization behavior belong to the API/auth modules; and labels/layout belong to the frontend.</w:t>
      </w:r>
    </w:p>
    <w:p>
      <w:pPr/>
      <w:r>
        <w:t>The current boundaries support focused testing: analytics functions can be checked on data frames, scenario functions can be tested for scaling and invalid volume, auth functions can be checked for persistence/revocation, and API tests can exercise route responses. Frontend components can be rendered with mocked requests.</w:t>
      </w:r>
    </w:p>
    <w:p>
      <w:pPr/>
      <w:r>
        <w:t>There is still shared file/configuration state and the API is synchronous. The modular organization aids explanation, but does not mean modules are isolated services or independently deployable packages. Operational separation would require additional design and evidence.</w:t>
      </w:r>
    </w:p>
    <w:p>
      <w:pPr/>
      <w:r>
        <w:t>The dataset module supplies synthetic records; analytics transforms them into aggregates. Modeling owns feature selection, preprocessing, fitting, and metric calculation; forecasting groups by cycle and fits a linear trend; scenarios scale baseline counts and apply requested stage multipliers.</w:t>
      </w:r>
    </w:p>
    <w:p>
      <w:pPr/>
      <w:r>
        <w:t>The API coordinates authentication, request validation, route behavior, and domain calls. React owns navigation, request state, and chart rendering. This separation supports targeted tests, but the repository does not describe independently deployed services or a formal dependency-injection container.</w:t>
      </w:r>
    </w:p>
    <w:p>
      <w:r>
        <w:br w:type="page"/>
      </w:r>
    </w:p>
    <w:p>
      <w:pPr>
        <w:keepNext/>
        <w:spacing w:after="240"/>
        <w:jc w:val="center"/>
      </w:pPr>
      <w:r>
        <w:rPr>
          <w:rFonts w:ascii="Times New Roman" w:hAnsi="Times New Roman" w:eastAsia="Times New Roman"/>
          <w:b/>
          <w:color w:val="000000"/>
          <w:sz w:val="24"/>
        </w:rPr>
        <w:t>3.2 PROJECT SCHEDULE</w:t>
      </w:r>
    </w:p>
    <w:p>
      <w:pPr/>
      <w:r>
        <w:t>Neither file modification time nor document sequence supplies a reliable task start date. A dated plan should be added only from verified project records, and actual effort should remain distinct from an estimate. This report therefore avoids a speculative chart.</w:t>
      </w:r>
    </w:p>
    <w:p>
      <w:pPr/>
      <w:r>
        <w:t>The distinction between planned and actual effort is material: 121 hours is a planned estimate, while recorded actual hours are zero. Completion status in a tracker does not establish the date a task was done or the duration it required.</w:t>
      </w:r>
    </w:p>
    <w:p>
      <w:pPr/>
      <w:r>
        <w:t>A phase list can communicate intended order, but cannot support calendar overlap, critical-path claims, or milestone dates. Those details are left blank rather than reconstructed from file timestamps, which do not prove when project work was performed.</w:t>
      </w:r>
    </w:p>
    <w:p>
      <w:pPr/>
      <w:r>
        <w:t>The tracker supports reporting planned effort but cannot establish when work occurred. Tasks are marked completed, yet actual-hour values are zero and no start or completion dates are populated; the dated work-log entry is a closeout row. A calendar Gantt bar would imply unsupported timing.</w:t>
      </w:r>
    </w:p>
    <w:p>
      <w:pPr/>
      <w:r>
        <w:t>The defensible representation is a planned-hours summary and an explicit data gap. The phase order in the development plan is not a dated schedule. Verified task periods and actual work records would be needed before drawing a genuine timeline.</w:t>
      </w:r>
    </w:p>
    <w:tbl>
      <w:tblPr>
        <w:tblW w:type="auto" w:w="0"/>
        <w:jc w:val="center"/>
        <w:tblLook w:firstColumn="1" w:firstRow="1" w:lastColumn="0" w:lastRow="0" w:noHBand="0" w:noVBand="1" w:val="04A0"/>
      </w:tblPr>
      <w:tblGrid>
        <w:gridCol w:w="4872"/>
        <w:gridCol w:w="4872"/>
      </w:tblGrid>
      <w:tr>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20"/>
              </w:rPr>
              <w:t>Schedule evidence</w:t>
            </w:r>
          </w:p>
        </w:tc>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20"/>
              </w:rPr>
              <w:t>Repository record</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Planned task count</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17 (documented)</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Planned effort</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121 hours (documented)</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Actual hours / dates</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Not recorded</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Dated Gantt</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Not supported by available evidence</w:t>
            </w:r>
          </w:p>
        </w:tc>
      </w:tr>
    </w:tbl>
    <w:p>
      <w:pPr>
        <w:spacing w:after="20"/>
      </w:pPr>
    </w:p>
    <w:p>
      <w:r>
        <w:br w:type="page"/>
      </w:r>
    </w:p>
    <w:p>
      <w:pPr>
        <w:keepNext/>
        <w:spacing w:after="240"/>
        <w:jc w:val="center"/>
      </w:pPr>
      <w:r>
        <w:rPr>
          <w:rFonts w:ascii="Times New Roman" w:hAnsi="Times New Roman" w:eastAsia="Times New Roman"/>
          <w:b/>
          <w:color w:val="000000"/>
          <w:sz w:val="24"/>
        </w:rPr>
        <w:t>3.3 DATA MODEL / E-R VIEW</w:t>
      </w:r>
    </w:p>
    <w:p>
      <w:pPr/>
      <w:r>
        <w:t>The schema has no documented migrations or historical applicant snapshots. A future database-backed analytics design would need explicit ownership and retention decisions; it should not be inferred from the current auth tables.</w:t>
      </w:r>
    </w:p>
    <w:p>
      <w:pPr/>
      <w:r>
        <w:t>In database-backed mode, session validation joins the session to its user and checks expiry; logout removes the session row. Foreign-key cascade behavior links a user’s sessions to that identity. The design stores a password hash and salt rather than a plaintext password.</w:t>
      </w:r>
    </w:p>
    <w:p>
      <w:pPr/>
      <w:r>
        <w:t>The table is intentionally narrow because the database is only for authentication. It does not hold the generated applicant data, campaign attribution results, model artifacts, or audit entries. Any future persistence of those concepts would need an explicit schema, access policy, and retention design.</w:t>
      </w:r>
    </w:p>
    <w:p>
      <w:pPr/>
      <w:r>
        <w:t>`users.email` is the primary key; the row stores role, password salt/hash, and creation time. `sessions.token_hash` identifies a session with expiry and creation time and references its user with cascading deletion. In database-backed mode, raw bearer tokens are not persisted.</w:t>
      </w:r>
    </w:p>
    <w:p>
      <w:pPr/>
      <w:r>
        <w:t>This is an authentication model, not the admissions data model. Applicant attributes remain in CSV, so the diagram contains no Applicant, Campaign, Model, or Audit entity. SQLite is used locally and PostgreSQL when configured; application code creates schema without a documented ORM migration framework.</w:t>
      </w:r>
    </w:p>
    <w:tbl>
      <w:tblPr>
        <w:tblW w:type="auto" w:w="0"/>
        <w:jc w:val="center"/>
        <w:tblLook w:firstColumn="1" w:firstRow="1" w:lastColumn="0" w:lastRow="0" w:noHBand="0" w:noVBand="1" w:val="04A0"/>
      </w:tblPr>
      <w:tblGrid>
        <w:gridCol w:w="4872"/>
        <w:gridCol w:w="4872"/>
      </w:tblGrid>
      <w:tr>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20"/>
              </w:rPr>
              <w:t>Entity</w:t>
            </w:r>
          </w:p>
        </w:tc>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color w:val="000000"/>
                <w:sz w:val="20"/>
              </w:rPr>
              <w:t>Keys / relationship</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USERS</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email primary key; role; password salt/hash; created_at</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SESSIONS</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token_hash primary key; email foreign key; expiry; created_at</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Applicant analytics</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CSV, not an auth database entity</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Audit events</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r>
              <w:rPr>
                <w:rFonts w:ascii="Times New Roman" w:hAnsi="Times New Roman" w:eastAsia="Times New Roman"/>
                <w:b w:val="0"/>
                <w:color w:val="000000"/>
                <w:sz w:val="20"/>
              </w:rPr>
              <w:t>In-memory list, not a persistent table</w:t>
            </w:r>
          </w:p>
        </w:tc>
      </w:tr>
    </w:tbl>
    <w:p>
      <w:pPr>
        <w:spacing w:after="20"/>
      </w:pPr>
    </w:p>
    <w:p>
      <w:r>
        <w:br w:type="page"/>
      </w:r>
    </w:p>
    <w:p>
      <w:pPr>
        <w:keepNext/>
        <w:spacing w:after="240"/>
        <w:jc w:val="center"/>
      </w:pPr>
      <w:r>
        <w:rPr>
          <w:rFonts w:ascii="Times New Roman" w:hAnsi="Times New Roman" w:eastAsia="Times New Roman"/>
          <w:b/>
          <w:color w:val="000000"/>
          <w:sz w:val="24"/>
        </w:rPr>
        <w:t>3.4 DATA FLOW</w:t>
      </w:r>
    </w:p>
    <w:p>
      <w:pPr/>
      <w:r>
        <w:t>The response is an aggregate result for the requested route; it is not written back as an applicant record. Reports and model files are generated artifacts and may be refreshed by scripts, but no transaction links them to an institutional record-management system.</w:t>
      </w:r>
    </w:p>
    <w:p>
      <w:pPr/>
      <w:r>
        <w:t>The file-backed analytics path also means data freshness follows the configured CSV; there is no repository-backed live synchronization with an institution. A response reflects the file contents available to the service at request time.</w:t>
      </w:r>
    </w:p>
    <w:p>
      <w:pPr/>
      <w:r>
        <w:t>The analytics path reads the configured CSV, computes the requested aggregate, then serializes a JSON result. Authentication uses a separate persistence path. A scenario request adds user-provided assumptions to the computation, while an assistant request can add aggregate context and may call an external service.</w:t>
      </w:r>
    </w:p>
    <w:p>
      <w:pPr/>
      <w:r>
        <w:t>The data-flow view also identifies what is not transmitted: the optional assistant context is aggregate rather than applicant-row data according to the project documentation. The external provider remains a dependency when enabled, so configuration and provider responses can affect that path.</w:t>
      </w:r>
    </w:p>
    <w:p>
      <w:pPr/>
      <w:r>
        <w:t>The sequence is request-oriented: browser interaction calls an API, authentication is checked where required, and the server invokes a data function before returning JSON. Analytics requests do not mutate applicant rows; scenario requests calculate a response from baseline data and assumptions rather than saving a new cohort.</w:t>
      </w:r>
    </w:p>
    <w:p>
      <w:pPr/>
      <w:r>
        <w:t>Failure paths are part of the design: invalid credentials are rejected, invalid scenario volume is rejected, and unavailable assistant configuration produces a response the UI can explain. Evidence is source and selected tests, not a complete live end-to-end exercise.</w:t>
      </w:r>
    </w:p>
    <w:tbl>
      <w:tblPr>
        <w:tblW w:type="auto" w:w="0"/>
        <w:jc w:val="center"/>
        <w:tblLook w:firstColumn="1" w:firstRow="1" w:lastColumn="0" w:lastRow="0" w:noHBand="0" w:noVBand="1" w:val="04A0"/>
      </w:tblPr>
      <w:tblGrid>
        <w:gridCol w:w="4872"/>
        <w:gridCol w:w="4872"/>
      </w:tblGrid>
      <w:tr>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Element</w:t>
            </w:r>
          </w:p>
        </w:tc>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Verified data flow</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User to React</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Credentials, scenario inputs, or an assistant question originate in the browser.</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React to FastAPI</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The frontend sends JSON requests; protected API calls include a bearer token.</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FastAPI to data/auth</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Routes read the synthetic CSV and use the configured authentication store/mode.</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FastAPI to domain modules</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Analytics, ML, forecast, and scenario code compute the requested outputs.</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Optional assistant</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Selected aggregate context may be sent to Groq; this path is optional.</w:t>
            </w:r>
          </w:p>
        </w:tc>
      </w:tr>
      <w:tr>
        <w:tc>
          <w:tcPr>
            <w:tcW w:type="dxa" w:w="4872"/>
          </w:tcPr>
          <w:p>
            <w:r>
              <w:t>FastAPI to React</w:t>
            </w:r>
          </w:p>
        </w:tc>
        <w:tc>
          <w:tcPr>
            <w:tcW w:type="dxa" w:w="4872"/>
          </w:tcPr>
          <w:p>
            <w:r>
              <w:t>The API returns JSON for the frontend to render.</w:t>
            </w:r>
          </w:p>
        </w:tc>
      </w:tr>
    </w:tbl>
    <w:p>
      <w:pPr>
        <w:spacing w:after="20"/>
      </w:pPr>
    </w:p>
    <w:p>
      <w:r>
        <w:br w:type="page"/>
      </w:r>
    </w:p>
    <w:p>
      <w:pPr>
        <w:keepNext/>
        <w:spacing w:after="240"/>
        <w:jc w:val="center"/>
      </w:pPr>
      <w:r>
        <w:rPr>
          <w:rFonts w:ascii="Times New Roman" w:hAnsi="Times New Roman" w:eastAsia="Times New Roman"/>
          <w:b/>
          <w:color w:val="000000"/>
          <w:sz w:val="24"/>
        </w:rPr>
        <w:t>3.4.1 REQUEST / RESPONSE FLOW</w:t>
      </w:r>
    </w:p>
    <w:p>
      <w:pPr/>
      <w:r>
        <w:t>The route/response table should be read together with authentication: protected calls require a valid bearer token, while health and login are public. Optional assistant behavior has separate configuration requirements and should not be assumed available in every local run.</w:t>
      </w:r>
    </w:p>
    <w:p>
      <w:pPr/>
      <w:r>
        <w:t>For traceability, a request should be read across three checks: payload shape, caller access, and domain result. The current tests cover examples in each area, but they are not a complete contract suite for malformed data, storage failures, or all external-service errors.</w:t>
      </w:r>
    </w:p>
    <w:p>
      <w:pPr/>
      <w:r>
        <w:t>A successful JSON response is not by itself proof that an output is analytically valid; route behavior and domain calculations have distinct test responsibilities. Request validation constrains input shape, authorization constrains access, and analytics tests check selected calculation contracts.</w:t>
      </w:r>
    </w:p>
    <w:p>
      <w:pPr/>
      <w:r>
        <w:t>Errors can originate at different boundaries—authentication, schema validation, file loading, domain logic, or optional provider calls. The UI has selected error states, but the repository does not claim exhaustive fault-injection coverage for every dependency.</w:t>
      </w:r>
    </w:p>
    <w:tbl>
      <w:tblPr>
        <w:tblW w:type="auto" w:w="0"/>
        <w:jc w:val="center"/>
        <w:tblLook w:firstColumn="1" w:firstRow="1" w:lastColumn="0" w:lastRow="0" w:noHBand="0" w:noVBand="1" w:val="04A0"/>
      </w:tblPr>
      <w:tblGrid>
        <w:gridCol w:w="4872"/>
        <w:gridCol w:w="4872"/>
      </w:tblGrid>
      <w:tr>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Request / response stage</w:t>
            </w:r>
          </w:p>
        </w:tc>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Implemented behavior</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User action</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The browser selects an analytics view, submits a scenario, or asks the assistant.</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HTTP request</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React calls a FastAPI route with JSON; protected routes carry bearer authorization.</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Validation / access</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Request schemas are validated; protected routes check authorization.</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Domain processing</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The route calls analytics, model, forecast, scenario, or assistant logic as applicable.</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JSON response</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FastAPI returns the result; the frontend renders data or its available error state.</w:t>
            </w:r>
          </w:p>
        </w:tc>
      </w:tr>
    </w:tbl>
    <w:p>
      <w:pPr>
        <w:spacing w:after="20"/>
      </w:pPr>
    </w:p>
    <w:p>
      <w:r>
        <w:br w:type="page"/>
      </w:r>
    </w:p>
    <w:p>
      <w:pPr>
        <w:keepNext/>
        <w:spacing w:after="240"/>
        <w:jc w:val="center"/>
      </w:pPr>
      <w:r>
        <w:rPr>
          <w:rFonts w:ascii="Times New Roman" w:hAnsi="Times New Roman" w:eastAsia="Times New Roman"/>
          <w:b/>
          <w:color w:val="000000"/>
          <w:sz w:val="24"/>
        </w:rPr>
        <w:t>3.5 COMPONENT VIEW</w:t>
      </w:r>
    </w:p>
    <w:p>
      <w:pPr/>
      <w:r>
        <w:t>No ORM, message broker, applicant repository, or persistent audit service is part of the current component set. This constraint matters when interpreting the component view: it is a map of source modules, not a target architecture with infrastructure that has not been built.</w:t>
      </w:r>
    </w:p>
    <w:p>
      <w:pPr/>
      <w:r>
        <w:t>The route layer is the integration point for application behavior. It should not be confused with an analytics engine itself: grouping, model training, forecast fitting, and scenario arithmetic are implemented in domain modules, while the API handles access and serialization.</w:t>
      </w:r>
    </w:p>
    <w:p>
      <w:pPr/>
      <w:r>
        <w:t>The components share a single repository and execute in a local application flow. The UI invokes HTTP endpoints; the server calls Python domain functions; and those functions access pandas data or model libraries. Artifact files are evidence outputs, not a transactional analytics database.</w:t>
      </w:r>
    </w:p>
    <w:p>
      <w:pPr/>
      <w:r>
        <w:t>This design is adequate for a capstone prototype, but the repository provides no throughput or concurrency result. Repeated model fitting, shared file access, and in-memory audit state are constraints to consider before scaling beyond local demonstration.</w:t>
      </w:r>
    </w:p>
    <w:p>
      <w:pPr>
        <w:spacing w:after="120" w:line="240" w:lineRule="auto"/>
      </w:pPr>
      <w:r>
        <w:rPr>
          <w:rFonts w:ascii="Times New Roman" w:hAnsi="Times New Roman" w:eastAsia="Times New Roman"/>
          <w:b w:val="0"/>
          <w:i w:val="0"/>
          <w:color w:val="000000"/>
          <w:sz w:val="24"/>
        </w:rPr>
        <w:t>FastAPI coordinates request schemas, authentication and domain modules. Analytics returns aggregates; ML prepares features and evaluates estimators; forecast fits annual trend; scenario applies volume scaling and stage multipliers; assistant optionally calls external provider. Frontend renders routes, charts and controls. These are code modules, not separately deployed microservices.</w:t>
      </w:r>
    </w:p>
    <w:p>
      <w:pPr/>
      <w:r>
        <w:t>Analytics and interface modules interact through route handlers, not message queues. The server reads the configured dataset path, calls synchronous pandas/scikit-learn functions, serializes output, and returns JSON. The optional external assistant is a separate dependency and is not required for the dashboard or deterministic scenario path.</w:t>
      </w:r>
    </w:p>
    <w:p>
      <w:pPr/>
      <w:r>
        <w:t>Model training on request and process-local audit state have deployment implications: repeated calls can repeat training and separate workers do not share audit entries. These are architectural constraints, not performance measurements.</w:t>
      </w:r>
    </w:p>
    <w:p>
      <w:r>
        <w:br w:type="page"/>
      </w:r>
    </w:p>
    <w:p>
      <w:pPr>
        <w:keepNext/>
        <w:spacing w:after="240"/>
        <w:jc w:val="center"/>
      </w:pPr>
      <w:r>
        <w:rPr>
          <w:rFonts w:ascii="Times New Roman" w:hAnsi="Times New Roman" w:eastAsia="Times New Roman"/>
          <w:b/>
          <w:color w:val="000000"/>
          <w:sz w:val="24"/>
        </w:rPr>
        <w:t>3.5.1 SEQUENCE VIEW - PROTECTED REQUEST</w:t>
      </w:r>
    </w:p>
    <w:p>
      <w:pPr/>
      <w:r>
        <w:t>The local UI stores the token in browser localStorage, which is convenient for this prototype but is a security design choice that warrants review before real deployment. This report records the observed behavior and does not certify the storage choice.</w:t>
      </w:r>
    </w:p>
    <w:p>
      <w:pPr/>
      <w:r>
        <w:t>The sequence can be checked against authentication and route handlers: login authenticates configured credentials, token validation resolves identity, and protected routes check identity before returning data. The frontend holds the token locally and attaches it to later requests; no credential or token is reproduced here.</w:t>
      </w:r>
    </w:p>
    <w:p>
      <w:pPr/>
      <w:r>
        <w:t>Database-backed tokens can be revoked; stateless JWTs cannot be individually revoked by that same mechanism. Environment determines session semantics. A production deployment would need explicit storage, transport, revocation, and secret-rotation policy.</w:t>
      </w:r>
    </w:p>
    <w:tbl>
      <w:tblPr>
        <w:tblW w:type="auto" w:w="0"/>
        <w:jc w:val="center"/>
        <w:tblLook w:firstColumn="1" w:firstRow="1" w:lastColumn="0" w:lastRow="0" w:noHBand="0" w:noVBand="1" w:val="04A0"/>
      </w:tblPr>
      <w:tblGrid>
        <w:gridCol w:w="4872"/>
        <w:gridCol w:w="4872"/>
      </w:tblGrid>
      <w:tr>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Sequence participant / step</w:t>
            </w:r>
          </w:p>
        </w:tc>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Verified protected-request sequence</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1 - React</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After sign-in, the UI stores the returned bearer token in localStorage.</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2 - React to API</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The UI sends a protected `/api/*` request with the bearer Authorization header.</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3 - FastAPI auth</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The configured session or stateless mode validates the token.</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4 - Route / data</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The route reads the synthetic CSV and invokes the relevant domain module.</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5 - API to UI</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The API returns JSON; the frontend updates the requested workspace view.</w:t>
            </w:r>
          </w:p>
        </w:tc>
      </w:tr>
    </w:tbl>
    <w:p>
      <w:pPr>
        <w:spacing w:after="20"/>
      </w:pPr>
    </w:p>
    <w:p>
      <w:r>
        <w:br w:type="page"/>
      </w:r>
    </w:p>
    <w:p>
      <w:pPr>
        <w:keepNext/>
        <w:spacing w:after="240"/>
        <w:jc w:val="center"/>
      </w:pPr>
      <w:r>
        <w:rPr>
          <w:rFonts w:ascii="Times New Roman" w:hAnsi="Times New Roman" w:eastAsia="Times New Roman"/>
          <w:b/>
          <w:color w:val="000000"/>
          <w:sz w:val="24"/>
        </w:rPr>
        <w:t>3.5.2 FRONTEND STATE AND USE-CASE VIEW</w:t>
      </w:r>
    </w:p>
    <w:p>
      <w:pPr/>
      <w:r>
        <w:t>Workspace loading succeeds only after the documented set of requests completes; a failed request can place the interface in an unavailable state. The state representation helps explain that the client consumes several endpoints rather than deriving all dashboard content locally.</w:t>
      </w:r>
    </w:p>
    <w:p>
      <w:pPr/>
      <w:r>
        <w:t>The state view focuses on major login and workspace transitions. Individual pages can also have loading, empty, and error states, but the diagram is not an exhaustive state specification for every component or API failure.</w:t>
      </w:r>
    </w:p>
    <w:p>
      <w:pPr/>
      <w:r>
        <w:t>After successful login, the client requests workspace resources and renders loading, error, or available views according to response state. Navigation, theme, and search are local UI state; analytics values originate from API responses.</w:t>
      </w:r>
    </w:p>
    <w:p>
      <w:pPr/>
      <w:r>
        <w:t>The diagram records implemented flow only. It does not imply automatic retry for all errors, synchronized preferences across devices, or automatic token invalidation on every unauthorized response. Those behaviors need separate specification and tests.</w:t>
      </w:r>
    </w:p>
    <w:tbl>
      <w:tblPr>
        <w:tblW w:type="auto" w:w="0"/>
        <w:jc w:val="center"/>
        <w:tblLook w:firstColumn="1" w:firstRow="1" w:lastColumn="0" w:lastRow="0" w:noHBand="0" w:noVBand="1" w:val="04A0"/>
      </w:tblPr>
      <w:tblGrid>
        <w:gridCol w:w="4872"/>
        <w:gridCol w:w="4872"/>
      </w:tblGrid>
      <w:tr>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State / actor</w:t>
            </w:r>
          </w:p>
        </w:tc>
        <w:tc>
          <w:tcPr>
            <w:tcW w:type="dxa" w:w="4872"/>
            <w:vAlign w:val="center"/>
            <w:shd w:fill="E7E1E1"/>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Verified transition or action</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Login to Submitting</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The user submits credentials.</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Submitting to Login</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A failed login returns the UI to the login state.</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Submitting to Loading</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A successful login starts workspace loading.</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Loading to Workspace</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Workspace is shown when all 11 requests succeed.</w:t>
            </w:r>
          </w:p>
        </w:tc>
      </w:tr>
      <w:tr>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Loading to Unavailable</w:t>
            </w:r>
          </w:p>
        </w:tc>
        <w:tc>
          <w:tcPr>
            <w:tcW w:type="dxa" w:w="4872"/>
            <w:vAlign w:val="center"/>
            <w:shd w:fill="FFFFFF"/>
            <w:tcBorders>
              <w:top w:val="single" w:sz="5" w:color="777777"/>
              <w:left w:val="single" w:sz="5" w:color="777777"/>
              <w:bottom w:val="single" w:sz="5" w:color="777777"/>
              <w:right w:val="single" w:sz="5" w:color="777777"/>
              <w:insideH w:val="single" w:sz="5" w:color="777777"/>
              <w:insideV w:val="single" w:sz="5" w:color="777777"/>
            </w:tcBorders>
          </w:tcPr>
          <w:p>
            <w:pPr>
              <w:spacing w:after="20"/>
            </w:pPr>
            <w:r>
              <w:t>A failed workspace request shows the unavailable state; retry returns to loading.</w:t>
            </w:r>
          </w:p>
        </w:tc>
      </w:tr>
      <w:tr>
        <w:tc>
          <w:tcPr>
            <w:tcW w:type="dxa" w:w="4872"/>
          </w:tcPr>
          <w:p>
            <w:r>
              <w:t>Workspace to Login</w:t>
            </w:r>
          </w:p>
        </w:tc>
        <w:tc>
          <w:tcPr>
            <w:tcW w:type="dxa" w:w="4872"/>
          </w:tcPr>
          <w:p>
            <w:r>
              <w:t>Sign-out clears the local UI session and returns to login.</w:t>
            </w:r>
          </w:p>
        </w:tc>
      </w:tr>
    </w:tbl>
    <w:p>
      <w:pPr>
        <w:spacing w:after="20"/>
      </w:pPr>
    </w:p>
    <w:p>
      <w:r>
        <w:br w:type="page"/>
      </w:r>
    </w:p>
    <w:p>
      <w:pPr>
        <w:keepNext/>
        <w:spacing w:after="240"/>
        <w:jc w:val="center"/>
      </w:pPr>
      <w:r>
        <w:rPr>
          <w:rFonts w:ascii="Times New Roman" w:hAnsi="Times New Roman" w:eastAsia="Times New Roman"/>
          <w:b/>
          <w:color w:val="000000"/>
          <w:sz w:val="28"/>
        </w:rPr>
        <w:t>CHAPTER 4 — IMPLEMENTATION AND TESTING</w:t>
      </w:r>
    </w:p>
    <w:p>
      <w:pPr>
        <w:spacing w:after="120" w:line="240" w:lineRule="auto"/>
      </w:pPr>
      <w:r>
        <w:rPr>
          <w:rFonts w:ascii="Times New Roman" w:hAnsi="Times New Roman" w:eastAsia="Times New Roman"/>
          <w:b w:val="0"/>
          <w:i w:val="0"/>
          <w:color w:val="000000"/>
          <w:sz w:val="24"/>
        </w:rPr>
        <w:t>The repository contains UI captures but no authentic code-editor screenshots. Pages 27–30 use verbatim source excerpts in place of unavailable code screenshots; this is a documented deviation from the visual reference, not fabricated evidence.</w:t>
      </w:r>
    </w:p>
    <w:p>
      <w:pPr/>
      <w:r>
        <w:t>The implementation map on this page links each layer to a source location and an output type. It is intended as a navigation aid for the detailed excerpts that follow, not as evidence of a separate build artifact or of full test coverage for every module.</w:t>
      </w:r>
    </w:p>
    <w:tbl>
      <w:tblPr>
        <w:tblStyle w:val="TableGrid"/>
        <w:tblW w:type="auto" w:w="0"/>
        <w:tblLook w:firstColumn="1" w:firstRow="1" w:lastColumn="0" w:lastRow="0" w:noHBand="0" w:noVBand="1" w:val="04A0"/>
      </w:tblPr>
      <w:tblGrid>
        <w:gridCol w:w="3248"/>
        <w:gridCol w:w="3248"/>
        <w:gridCol w:w="3248"/>
      </w:tblGrid>
      <w:tr>
        <w:tc>
          <w:tcPr>
            <w:tcW w:type="dxa" w:w="3248"/>
          </w:tcPr>
          <w:p>
            <w:r>
              <w:t>Implementation area</w:t>
            </w:r>
          </w:p>
        </w:tc>
        <w:tc>
          <w:tcPr>
            <w:tcW w:type="dxa" w:w="3248"/>
          </w:tcPr>
          <w:p>
            <w:r>
              <w:t>Source of behavior</w:t>
            </w:r>
          </w:p>
        </w:tc>
        <w:tc>
          <w:tcPr>
            <w:tcW w:type="dxa" w:w="3248"/>
          </w:tcPr>
          <w:p>
            <w:r>
              <w:t>Traceable output</w:t>
            </w:r>
          </w:p>
        </w:tc>
      </w:tr>
      <w:tr>
        <w:tc>
          <w:tcPr>
            <w:tcW w:type="dxa" w:w="3248"/>
          </w:tcPr>
          <w:p>
            <w:r>
              <w:t>Data and validation</w:t>
            </w:r>
          </w:p>
        </w:tc>
        <w:tc>
          <w:tcPr>
            <w:tcW w:type="dxa" w:w="3248"/>
          </w:tcPr>
          <w:p>
            <w:r>
              <w:t>Generator, validation script</w:t>
            </w:r>
          </w:p>
        </w:tc>
        <w:tc>
          <w:tcPr>
            <w:tcW w:type="dxa" w:w="3248"/>
          </w:tcPr>
          <w:p>
            <w:r>
              <w:t>CSV and validation report</w:t>
            </w:r>
          </w:p>
        </w:tc>
      </w:tr>
      <w:tr>
        <w:tc>
          <w:tcPr>
            <w:tcW w:type="dxa" w:w="3248"/>
          </w:tcPr>
          <w:p>
            <w:r>
              <w:t>Analytics and models</w:t>
            </w:r>
          </w:p>
        </w:tc>
        <w:tc>
          <w:tcPr>
            <w:tcW w:type="dxa" w:w="3248"/>
          </w:tcPr>
          <w:p>
            <w:r>
              <w:t>Analytics, ML, forecast, scenario modules</w:t>
            </w:r>
          </w:p>
        </w:tc>
        <w:tc>
          <w:tcPr>
            <w:tcW w:type="dxa" w:w="3248"/>
          </w:tcPr>
          <w:p>
            <w:r>
              <w:t>Aggregate and evaluation outputs</w:t>
            </w:r>
          </w:p>
        </w:tc>
      </w:tr>
      <w:tr>
        <w:tc>
          <w:tcPr>
            <w:tcW w:type="dxa" w:w="3248"/>
          </w:tcPr>
          <w:p>
            <w:r>
              <w:t>Service and identity</w:t>
            </w:r>
          </w:p>
        </w:tc>
        <w:tc>
          <w:tcPr>
            <w:tcW w:type="dxa" w:w="3248"/>
          </w:tcPr>
          <w:p>
            <w:r>
              <w:t>FastAPI routes and auth module</w:t>
            </w:r>
          </w:p>
        </w:tc>
        <w:tc>
          <w:tcPr>
            <w:tcW w:type="dxa" w:w="3248"/>
          </w:tcPr>
          <w:p>
            <w:r>
              <w:t>Protected JSON routes</w:t>
            </w:r>
          </w:p>
        </w:tc>
      </w:tr>
      <w:tr>
        <w:tc>
          <w:tcPr>
            <w:tcW w:type="dxa" w:w="3248"/>
          </w:tcPr>
          <w:p>
            <w:r>
              <w:t>User interface</w:t>
            </w:r>
          </w:p>
        </w:tc>
        <w:tc>
          <w:tcPr>
            <w:tcW w:type="dxa" w:w="3248"/>
          </w:tcPr>
          <w:p>
            <w:r>
              <w:t>React app, components, pages</w:t>
            </w:r>
          </w:p>
        </w:tc>
        <w:tc>
          <w:tcPr>
            <w:tcW w:type="dxa" w:w="3248"/>
          </w:tcPr>
          <w:p>
            <w:r>
              <w:t>Dashboard and workspace views</w:t>
            </w:r>
          </w:p>
        </w:tc>
      </w:tr>
    </w:tbl>
    <w:p>
      <w:pPr/>
      <w:r>
        <w:t>Implementation detail is organized around behavior instead of a sequence of screenshots: source excerpts are followed by explanation of their role, and the API/test chapter records how selected paths can be checked. This gives a reviewer a usable evidence trail without presenting code imagery that does not exist.</w:t>
      </w:r>
    </w:p>
    <w:p>
      <w:pPr/>
      <w:r>
        <w:t>To preserve traceability without manufacturing screenshots, these implementation pages use short verbatim source excerpts paired with explanations of input, transformation, output, and edge cases. The named source file remains authoritative and may evolve independently of this report.</w:t>
      </w:r>
    </w:p>
    <w:p>
      <w:pPr/>
      <w:r>
        <w:t>The examples cover funnel construction, temporal holdout evaluation, scenario clamping, and authentication-mode selection. They are not exhaustive code listings or live IDE captures.</w:t>
      </w:r>
    </w:p>
    <w:p>
      <w:r>
        <w:br w:type="page"/>
      </w:r>
    </w:p>
    <w:p>
      <w:pPr>
        <w:keepNext/>
        <w:spacing w:after="240"/>
        <w:jc w:val="center"/>
      </w:pPr>
      <w:r>
        <w:rPr>
          <w:rFonts w:ascii="Times New Roman" w:hAnsi="Times New Roman" w:eastAsia="Times New Roman"/>
          <w:b/>
          <w:color w:val="000000"/>
          <w:sz w:val="24"/>
        </w:rPr>
        <w:t>4.1 IMPLEMENTATION — FUNNEL</w:t>
      </w:r>
    </w:p>
    <w:p>
      <w:pPr/>
      <w:r>
        <w:t>The code returns both a count and rates relative to the initial population and prior stage, supporting two different views of conversion. A row can contribute to several cumulative stage counts because flags represent progress; mutually exclusive `stage` labels are not substituted for those flags.</w:t>
      </w:r>
    </w:p>
    <w:p>
      <w:pPr/>
      <w:r>
        <w:t>The saved funnel totals can be recomputed from `data/admission_data.csv` with the fixed stage order. Rates inherit the synthetic generator’s properties and should be read as a consistency check on implementation, not a forecast of an institutional intake.</w:t>
      </w:r>
    </w:p>
    <w:p>
      <w:pPr>
        <w:spacing w:after="120" w:line="240" w:lineRule="auto"/>
      </w:pPr>
      <w:r>
        <w:rPr>
          <w:rFonts w:ascii="Times New Roman" w:hAnsi="Times New Roman" w:eastAsia="Times New Roman"/>
          <w:b w:val="0"/>
          <w:i w:val="0"/>
          <w:color w:val="000000"/>
          <w:sz w:val="24"/>
        </w:rPr>
        <w:t>The analytics implementation uses a fixed stage order and sums cumulative binary fields rather than treating final-stage labels as funnel counts.</w:t>
      </w:r>
    </w:p>
    <w:p>
      <w:pPr/>
      <w:r>
        <w:t>The returned fields include stage order and adjacent conversion information so downstream tables can preserve the defined sequence. This design makes stage labels explicit, but it does not repair inconsistent source flags; that requires additional validation and is identified as future work.</w:t>
      </w:r>
    </w:p>
    <w:p>
      <w:pPr/>
      <w:r>
        <w:t>`stage_summary()` uses row count as the lead baseline and sums cumulative indicators for later stages. It calculates overall conversion from that baseline and adjacent conversion from the preceding volume. A missing adjacent rate is returned where a prior stage has zero volume.</w:t>
      </w:r>
    </w:p>
    <w:p>
      <w:pPr/>
      <w:r>
        <w:t>An explicit stage index preserves business order rather than alphabetical order. The exclusive `stage` label is not used for cumulative totals. Interpretation still assumes logically nested flags, which validation does not comprehensively enforce.</w:t>
      </w:r>
    </w:p>
    <w:p>
      <w:pPr>
        <w:spacing w:after="60" w:line="240" w:lineRule="auto"/>
      </w:pPr>
      <w:r>
        <w:rPr>
          <w:rFonts w:ascii="Times New Roman" w:hAnsi="Times New Roman" w:eastAsia="Times New Roman"/>
          <w:b w:val="0"/>
          <w:i/>
          <w:color w:val="555555"/>
          <w:sz w:val="18"/>
        </w:rPr>
        <w:t>Source listing excerpt: backend/admitflow/analytics.py</w:t>
      </w:r>
    </w:p>
    <w:p>
      <w:pPr>
        <w:spacing w:after="0" w:line="240" w:lineRule="auto"/>
      </w:pPr>
      <w:r>
        <w:rPr>
          <w:rFonts w:ascii="Consolas" w:hAnsi="Consolas" w:eastAsia="Consolas"/>
          <w:color w:val="000000"/>
          <w:sz w:val="17"/>
        </w:rPr>
        <w:t>STAGE_ORDER = ["lead", "application", "submitted", "review", "admitted", "enrolled"]</w:t>
      </w:r>
    </w:p>
    <w:p>
      <w:pPr>
        <w:spacing w:after="0" w:line="240" w:lineRule="auto"/>
      </w:pPr>
      <w:r>
        <w:rPr>
          <w:rFonts w:ascii="Consolas" w:hAnsi="Consolas" w:eastAsia="Consolas"/>
          <w:color w:val="000000"/>
          <w:sz w:val="17"/>
        </w:rPr>
        <w:t>"volume": [</w:t>
      </w:r>
    </w:p>
    <w:p>
      <w:pPr>
        <w:spacing w:after="0" w:line="240" w:lineRule="auto"/>
      </w:pPr>
      <w:r>
        <w:rPr>
          <w:rFonts w:ascii="Consolas" w:hAnsi="Consolas" w:eastAsia="Consolas"/>
          <w:color w:val="000000"/>
          <w:sz w:val="17"/>
        </w:rPr>
        <w:t xml:space="preserve">    len(df),</w:t>
      </w:r>
    </w:p>
    <w:p>
      <w:pPr>
        <w:spacing w:after="0" w:line="240" w:lineRule="auto"/>
      </w:pPr>
      <w:r>
        <w:rPr>
          <w:rFonts w:ascii="Consolas" w:hAnsi="Consolas" w:eastAsia="Consolas"/>
          <w:color w:val="000000"/>
          <w:sz w:val="17"/>
        </w:rPr>
        <w:t xml:space="preserve">    int(df["application_started"].sum()),</w:t>
      </w:r>
    </w:p>
    <w:p>
      <w:pPr>
        <w:spacing w:after="0" w:line="240" w:lineRule="auto"/>
      </w:pPr>
      <w:r>
        <w:rPr>
          <w:rFonts w:ascii="Consolas" w:hAnsi="Consolas" w:eastAsia="Consolas"/>
          <w:color w:val="000000"/>
          <w:sz w:val="17"/>
        </w:rPr>
        <w:t xml:space="preserve">    int(df["submitted"].sum()),</w:t>
      </w:r>
    </w:p>
    <w:p>
      <w:pPr>
        <w:spacing w:after="0" w:line="240" w:lineRule="auto"/>
      </w:pPr>
      <w:r>
        <w:rPr>
          <w:rFonts w:ascii="Consolas" w:hAnsi="Consolas" w:eastAsia="Consolas"/>
          <w:color w:val="000000"/>
          <w:sz w:val="17"/>
        </w:rPr>
        <w:t xml:space="preserve">    int(df["review"].sum()),</w:t>
      </w:r>
    </w:p>
    <w:p>
      <w:pPr>
        <w:spacing w:after="0" w:line="240" w:lineRule="auto"/>
      </w:pPr>
      <w:r>
        <w:rPr>
          <w:rFonts w:ascii="Consolas" w:hAnsi="Consolas" w:eastAsia="Consolas"/>
          <w:color w:val="000000"/>
          <w:sz w:val="17"/>
        </w:rPr>
        <w:t xml:space="preserve">    int(df["admitted"].sum()),</w:t>
      </w:r>
    </w:p>
    <w:p>
      <w:pPr>
        <w:spacing w:after="0" w:line="240" w:lineRule="auto"/>
      </w:pPr>
      <w:r>
        <w:rPr>
          <w:rFonts w:ascii="Consolas" w:hAnsi="Consolas" w:eastAsia="Consolas"/>
          <w:color w:val="000000"/>
          <w:sz w:val="17"/>
        </w:rPr>
        <w:t xml:space="preserve">    int(df["enrolled"].sum()),</w:t>
      </w:r>
    </w:p>
    <w:p>
      <w:pPr>
        <w:spacing w:after="0" w:line="240" w:lineRule="auto"/>
      </w:pPr>
      <w:r>
        <w:rPr>
          <w:rFonts w:ascii="Consolas" w:hAnsi="Consolas" w:eastAsia="Consolas"/>
          <w:color w:val="000000"/>
          <w:sz w:val="17"/>
        </w:rPr>
        <w:t>]</w:t>
      </w:r>
    </w:p>
    <w:p>
      <w:r>
        <w:br w:type="page"/>
      </w:r>
    </w:p>
    <w:p>
      <w:pPr>
        <w:keepNext/>
        <w:spacing w:after="240"/>
        <w:jc w:val="center"/>
      </w:pPr>
      <w:r>
        <w:rPr>
          <w:rFonts w:ascii="Times New Roman" w:hAnsi="Times New Roman" w:eastAsia="Times New Roman"/>
          <w:b/>
          <w:color w:val="000000"/>
          <w:sz w:val="24"/>
        </w:rPr>
        <w:t>IMPLEMENTATION — FORECAST</w:t>
      </w:r>
    </w:p>
    <w:p>
      <w:pPr>
        <w:spacing w:after="120" w:line="240" w:lineRule="auto"/>
      </w:pPr>
      <w:r>
        <w:rPr>
          <w:rFonts w:ascii="Times New Roman" w:hAnsi="Times New Roman" w:eastAsia="Times New Roman"/>
          <w:b w:val="0"/>
          <w:i w:val="0"/>
          <w:color w:val="000000"/>
          <w:sz w:val="24"/>
        </w:rPr>
        <w:t>Forecast groups applicants by cycle, holds out the final two annual observations, fits a linear model on earlier points and reports metrics and horizons. The source labels total observations as `training_years`; this discrepancy is discussed later.</w:t>
      </w:r>
    </w:p>
    <w:p>
      <w:pPr/>
      <w:r>
        <w:t>Using a sequential year index keeps the regression input simple, but it assumes a linear trend over observed and future intervals. The method does not model intake size, programme mix, seasonality, policy changes, uncertainty, or external factors. Those omitted drivers limit interpretation of long-horizon values.</w:t>
      </w:r>
    </w:p>
    <w:p>
      <w:pPr/>
      <w:r>
        <w:t>MAE and RMSE summarize absolute forecast error on the two held-out points; MAPE expresses relative error for nonzero actuals. With only two evaluation points, the saved metric values are highly sensitive to individual years and do not establish future-cycle accuracy.</w:t>
      </w:r>
    </w:p>
    <w:p>
      <w:pPr/>
      <w:r>
        <w:t>`aggregate_time_series()` sums enrolments by cycle, sorts years, and assigns a sequential index. The last two observations are held out; linear regression fits earlier points and MAE, RMSE, and MAPE are computed on the holdout. The fitted model then generates six future values.</w:t>
      </w:r>
    </w:p>
    <w:p>
      <w:pPr/>
      <w:r>
        <w:t>For six cycles, this means four fit observations and two evaluation observations. `training_years` currently reports total series length rather than four fit points. With two holdout years and no uncertainty or seasonal model, projections are illustrative, not reliable enrollment plans.</w:t>
      </w:r>
    </w:p>
    <w:p>
      <w:pPr>
        <w:spacing w:after="60" w:line="240" w:lineRule="auto"/>
      </w:pPr>
      <w:r>
        <w:rPr>
          <w:rFonts w:ascii="Times New Roman" w:hAnsi="Times New Roman" w:eastAsia="Times New Roman"/>
          <w:b w:val="0"/>
          <w:i/>
          <w:color w:val="555555"/>
          <w:sz w:val="18"/>
        </w:rPr>
        <w:t>Source listing excerpt: backend/admitflow/forecast.py</w:t>
      </w:r>
    </w:p>
    <w:p>
      <w:pPr>
        <w:spacing w:after="0" w:line="240" w:lineRule="auto"/>
      </w:pPr>
      <w:r>
        <w:rPr>
          <w:rFonts w:ascii="Consolas" w:hAnsi="Consolas" w:eastAsia="Consolas"/>
          <w:color w:val="000000"/>
          <w:sz w:val="17"/>
        </w:rPr>
        <w:t>split = max(1, len(series) - 2)</w:t>
      </w:r>
    </w:p>
    <w:p>
      <w:pPr>
        <w:spacing w:after="0" w:line="240" w:lineRule="auto"/>
      </w:pPr>
      <w:r>
        <w:rPr>
          <w:rFonts w:ascii="Consolas" w:hAnsi="Consolas" w:eastAsia="Consolas"/>
          <w:color w:val="000000"/>
          <w:sz w:val="17"/>
        </w:rPr>
        <w:t>X_train, X_test = X[:split], X[split:]</w:t>
      </w:r>
    </w:p>
    <w:p>
      <w:pPr>
        <w:spacing w:after="0" w:line="240" w:lineRule="auto"/>
      </w:pPr>
      <w:r>
        <w:rPr>
          <w:rFonts w:ascii="Consolas" w:hAnsi="Consolas" w:eastAsia="Consolas"/>
          <w:color w:val="000000"/>
          <w:sz w:val="17"/>
        </w:rPr>
        <w:t>y_train, y_test = y[:split], y[split:]</w:t>
      </w:r>
    </w:p>
    <w:p>
      <w:pPr>
        <w:spacing w:after="0" w:line="240" w:lineRule="auto"/>
      </w:pPr>
      <w:r>
        <w:rPr>
          <w:rFonts w:ascii="Consolas" w:hAnsi="Consolas" w:eastAsia="Consolas"/>
          <w:color w:val="000000"/>
          <w:sz w:val="17"/>
        </w:rPr>
        <w:t>model = LinearRegression()</w:t>
      </w:r>
    </w:p>
    <w:p>
      <w:pPr>
        <w:spacing w:after="0" w:line="240" w:lineRule="auto"/>
      </w:pPr>
      <w:r>
        <w:rPr>
          <w:rFonts w:ascii="Consolas" w:hAnsi="Consolas" w:eastAsia="Consolas"/>
          <w:color w:val="000000"/>
          <w:sz w:val="17"/>
        </w:rPr>
        <w:t>model.fit(X_train, y_train)</w:t>
      </w:r>
    </w:p>
    <w:p>
      <w:pPr>
        <w:spacing w:after="0" w:line="240" w:lineRule="auto"/>
      </w:pPr>
      <w:r>
        <w:rPr>
          <w:rFonts w:ascii="Consolas" w:hAnsi="Consolas" w:eastAsia="Consolas"/>
          <w:color w:val="000000"/>
          <w:sz w:val="17"/>
        </w:rPr>
        <w:t>predicted = model.predict(X_test)</w:t>
      </w:r>
    </w:p>
    <w:p>
      <w:r>
        <w:br w:type="page"/>
      </w:r>
    </w:p>
    <w:p>
      <w:pPr>
        <w:keepNext/>
        <w:spacing w:after="240"/>
        <w:jc w:val="center"/>
      </w:pPr>
      <w:r>
        <w:rPr>
          <w:rFonts w:ascii="Times New Roman" w:hAnsi="Times New Roman" w:eastAsia="Times New Roman"/>
          <w:b/>
          <w:color w:val="000000"/>
          <w:sz w:val="24"/>
        </w:rPr>
        <w:t>IMPLEMENTATION — SCENARIO</w:t>
      </w:r>
    </w:p>
    <w:p>
      <w:pPr>
        <w:spacing w:after="120" w:line="240" w:lineRule="auto"/>
      </w:pPr>
      <w:r>
        <w:rPr>
          <w:rFonts w:ascii="Times New Roman" w:hAnsi="Times New Roman" w:eastAsia="Times New Roman"/>
          <w:b w:val="0"/>
          <w:i w:val="0"/>
          <w:color w:val="000000"/>
          <w:sz w:val="24"/>
        </w:rPr>
        <w:t>Scenario engine scales baseline counts to requested volume, applies stage multipliers, clamps counts to maintain monotonicity and returns campaign_shift metadata. Current code does not apply campaign_shift to counts.</w:t>
      </w:r>
    </w:p>
    <w:p>
      <w:pPr/>
      <w:r>
        <w:t>Each adjustment is an explicit multiplier keyed by a stage; omitted entries default to 1.0 in the implementation, while the default scenario supplies its own multipliers. Negative requested application volume raises an error. The monotonic clamps make outputs structurally plausible as a funnel but do not validate whether an assumption is achievable.</w:t>
      </w:r>
    </w:p>
    <w:p>
      <w:pPr/>
      <w:r>
        <w:t>A user should record the volume and stage values alongside every scenario result. Different assumptions produce different deterministic outputs; no probability distribution, confidence interval, or causal intervention estimate is calculated.</w:t>
      </w:r>
    </w:p>
    <w:p>
      <w:pPr/>
      <w:r>
        <w:t>The engine divides requested volume by baseline rows, scales later-stage counts, applies supplied multipliers, rounds, and clamps each count between zero and its preceding stage. This preserves a monotonic funnel even if assumptions would otherwise violate it.</w:t>
      </w:r>
    </w:p>
    <w:p>
      <w:pPr/>
      <w:r>
        <w:t>Rates and deltas describe post-clamp values, not raw multipliers. A zero baseline is guarded by a floor of one. `campaign_shift` is returned as metadata but is not applied to counts, so it is not a modeled campaign effect.</w:t>
      </w:r>
    </w:p>
    <w:p>
      <w:pPr>
        <w:spacing w:after="60" w:line="240" w:lineRule="auto"/>
      </w:pPr>
      <w:r>
        <w:rPr>
          <w:rFonts w:ascii="Times New Roman" w:hAnsi="Times New Roman" w:eastAsia="Times New Roman"/>
          <w:b w:val="0"/>
          <w:i/>
          <w:color w:val="555555"/>
          <w:sz w:val="18"/>
        </w:rPr>
        <w:t>Source listing excerpt: backend/admitflow/scenario.py</w:t>
      </w:r>
    </w:p>
    <w:p>
      <w:pPr>
        <w:spacing w:after="0" w:line="240" w:lineRule="auto"/>
      </w:pPr>
      <w:r>
        <w:rPr>
          <w:rFonts w:ascii="Consolas" w:hAnsi="Consolas" w:eastAsia="Consolas"/>
          <w:color w:val="000000"/>
          <w:sz w:val="17"/>
        </w:rPr>
        <w:t>if application_volume &lt; 0:</w:t>
      </w:r>
    </w:p>
    <w:p>
      <w:pPr>
        <w:spacing w:after="0" w:line="240" w:lineRule="auto"/>
      </w:pPr>
      <w:r>
        <w:rPr>
          <w:rFonts w:ascii="Consolas" w:hAnsi="Consolas" w:eastAsia="Consolas"/>
          <w:color w:val="000000"/>
          <w:sz w:val="17"/>
        </w:rPr>
        <w:t xml:space="preserve">    raise ValueError("application_volume must be non-negative.")</w:t>
      </w:r>
    </w:p>
    <w:p>
      <w:pPr>
        <w:spacing w:after="0" w:line="240" w:lineRule="auto"/>
      </w:pPr>
      <w:r>
        <w:rPr>
          <w:rFonts w:ascii="Consolas" w:hAnsi="Consolas" w:eastAsia="Consolas"/>
          <w:color w:val="000000"/>
          <w:sz w:val="17"/>
        </w:rPr>
        <w:t>baseline = baseline_snapshot(df)</w:t>
      </w:r>
    </w:p>
    <w:p>
      <w:pPr>
        <w:spacing w:after="0" w:line="240" w:lineRule="auto"/>
      </w:pPr>
      <w:r>
        <w:rPr>
          <w:rFonts w:ascii="Consolas" w:hAnsi="Consolas" w:eastAsia="Consolas"/>
          <w:color w:val="000000"/>
          <w:sz w:val="17"/>
        </w:rPr>
        <w:t>volume_scale = application_volume / max(baseline["applications"], 1)</w:t>
      </w:r>
    </w:p>
    <w:p>
      <w:pPr>
        <w:spacing w:after="0" w:line="240" w:lineRule="auto"/>
      </w:pPr>
      <w:r>
        <w:rPr>
          <w:rFonts w:ascii="Consolas" w:hAnsi="Consolas" w:eastAsia="Consolas"/>
          <w:color w:val="000000"/>
          <w:sz w:val="17"/>
        </w:rPr>
        <w:t>scenario["submitted"] = min(scenario["applications"], max(scenario["submitted"], 0))</w:t>
      </w:r>
    </w:p>
    <w:p>
      <w:pPr>
        <w:spacing w:after="0" w:line="240" w:lineRule="auto"/>
      </w:pPr>
      <w:r>
        <w:rPr>
          <w:rFonts w:ascii="Consolas" w:hAnsi="Consolas" w:eastAsia="Consolas"/>
          <w:color w:val="000000"/>
          <w:sz w:val="17"/>
        </w:rPr>
        <w:t>scenario["admitted"] = min(scenario["submitted"], max(scenario["admitted"], 0))</w:t>
      </w:r>
    </w:p>
    <w:p>
      <w:pPr>
        <w:spacing w:after="0" w:line="240" w:lineRule="auto"/>
      </w:pPr>
      <w:r>
        <w:rPr>
          <w:rFonts w:ascii="Consolas" w:hAnsi="Consolas" w:eastAsia="Consolas"/>
          <w:color w:val="000000"/>
          <w:sz w:val="17"/>
        </w:rPr>
        <w:t>scenario["enrolled"] = min(scenario["admitted"], max(scenario["enrolled"], 0))</w:t>
      </w:r>
    </w:p>
    <w:p>
      <w:r>
        <w:br w:type="page"/>
      </w:r>
    </w:p>
    <w:p>
      <w:pPr>
        <w:keepNext/>
        <w:spacing w:after="240"/>
        <w:jc w:val="center"/>
      </w:pPr>
      <w:r>
        <w:rPr>
          <w:rFonts w:ascii="Times New Roman" w:hAnsi="Times New Roman" w:eastAsia="Times New Roman"/>
          <w:b/>
          <w:color w:val="000000"/>
          <w:sz w:val="24"/>
        </w:rPr>
        <w:t>IMPLEMENTATION — AUTHENTICATION</w:t>
      </w:r>
    </w:p>
    <w:p>
      <w:pPr>
        <w:spacing w:after="120" w:line="240" w:lineRule="auto"/>
      </w:pPr>
      <w:r>
        <w:rPr>
          <w:rFonts w:ascii="Times New Roman" w:hAnsi="Times New Roman" w:eastAsia="Times New Roman"/>
          <w:b w:val="0"/>
          <w:i w:val="0"/>
          <w:color w:val="000000"/>
          <w:sz w:val="24"/>
        </w:rPr>
        <w:t>Auth source has database-backed sessions and a stateless JWT branch when Vercel is set without DATABASE_URL. Secrets are configuration only and are not printed. Default local/deployment behavior depends on environment.</w:t>
      </w:r>
    </w:p>
    <w:p>
      <w:pPr/>
      <w:r>
        <w:t>The database path supports local SQLite and PostgreSQL selection through environment configuration. In stateless mode, tokens carry subject, role, issuance, and expiry claims signed with the configured secret. The paths differ in storage and revocation behavior, so environment is part of the security context.</w:t>
      </w:r>
    </w:p>
    <w:p>
      <w:pPr/>
      <w:r>
        <w:t>Demo credentials exist only for local evaluation. The application documentation warns against reusing them in deployment. This section explains mechanism from source, not a penetration-test result or certification that the current settings meet institutional policy.</w:t>
      </w:r>
    </w:p>
    <w:p>
      <w:pPr/>
      <w:r>
        <w:t>Stateless mode requires a configured signing secret and admin credentials. Otherwise auth uses SQLite locally or PostgreSQL when configured. Passwords are processed with salted PBKDF2-HMAC-SHA256; database-backed session tokens are stored as SHA-256 hashes with expiry timestamps.</w:t>
      </w:r>
    </w:p>
    <w:p>
      <w:pPr/>
      <w:r>
        <w:t>The excerpt is not a complete security review. Seeded local credentials are for evaluation and must not be reused in deployment. Production readiness requires review of configuration, rate limiting, transport, monitoring, and credential lifecycle.</w:t>
      </w:r>
    </w:p>
    <w:p>
      <w:pPr>
        <w:spacing w:after="60" w:line="240" w:lineRule="auto"/>
      </w:pPr>
      <w:r>
        <w:rPr>
          <w:rFonts w:ascii="Times New Roman" w:hAnsi="Times New Roman" w:eastAsia="Times New Roman"/>
          <w:b w:val="0"/>
          <w:i/>
          <w:color w:val="555555"/>
          <w:sz w:val="18"/>
        </w:rPr>
        <w:t>Source listing excerpt: backend/admitflow/auth.py</w:t>
      </w:r>
    </w:p>
    <w:p>
      <w:pPr>
        <w:spacing w:after="0" w:line="240" w:lineRule="auto"/>
      </w:pPr>
      <w:r>
        <w:rPr>
          <w:rFonts w:ascii="Consolas" w:hAnsi="Consolas" w:eastAsia="Consolas"/>
          <w:color w:val="000000"/>
          <w:sz w:val="17"/>
        </w:rPr>
        <w:t>def _uses_stateless_auth() -&gt; bool:</w:t>
      </w:r>
    </w:p>
    <w:p>
      <w:pPr>
        <w:spacing w:after="0" w:line="240" w:lineRule="auto"/>
      </w:pPr>
      <w:r>
        <w:rPr>
          <w:rFonts w:ascii="Consolas" w:hAnsi="Consolas" w:eastAsia="Consolas"/>
          <w:color w:val="000000"/>
          <w:sz w:val="17"/>
        </w:rPr>
        <w:t xml:space="preserve">    return bool(os.getenv("VERCEL")) and not os.getenv("DATABASE_URL")</w:t>
      </w:r>
    </w:p>
    <w:p>
      <w:pPr>
        <w:spacing w:after="0" w:line="240" w:lineRule="auto"/>
      </w:pPr>
      <w:r>
        <w:rPr>
          <w:rFonts w:ascii="Consolas" w:hAnsi="Consolas" w:eastAsia="Consolas"/>
          <w:color w:val="000000"/>
          <w:sz w:val="17"/>
        </w:rPr>
        <w:t xml:space="preserve"> </w:t>
      </w:r>
    </w:p>
    <w:p>
      <w:pPr>
        <w:spacing w:after="0" w:line="240" w:lineRule="auto"/>
      </w:pPr>
      <w:r>
        <w:rPr>
          <w:rFonts w:ascii="Consolas" w:hAnsi="Consolas" w:eastAsia="Consolas"/>
          <w:color w:val="000000"/>
          <w:sz w:val="17"/>
        </w:rPr>
        <w:t>def create_token(email: str, role: str = "admin") -&gt; str:</w:t>
      </w:r>
    </w:p>
    <w:p>
      <w:pPr>
        <w:spacing w:after="0" w:line="240" w:lineRule="auto"/>
      </w:pPr>
      <w:r>
        <w:rPr>
          <w:rFonts w:ascii="Consolas" w:hAnsi="Consolas" w:eastAsia="Consolas"/>
          <w:color w:val="000000"/>
          <w:sz w:val="17"/>
        </w:rPr>
        <w:t xml:space="preserve">    if _uses_stateless_auth():</w:t>
      </w:r>
    </w:p>
    <w:p>
      <w:pPr>
        <w:spacing w:after="0" w:line="240" w:lineRule="auto"/>
      </w:pPr>
      <w:r>
        <w:rPr>
          <w:rFonts w:ascii="Consolas" w:hAnsi="Consolas" w:eastAsia="Consolas"/>
          <w:color w:val="000000"/>
          <w:sz w:val="17"/>
        </w:rPr>
        <w:t xml:space="preserve">        now = datetime.now(timezone.utc)</w:t>
      </w:r>
    </w:p>
    <w:p>
      <w:pPr>
        <w:spacing w:after="0" w:line="240" w:lineRule="auto"/>
      </w:pPr>
      <w:r>
        <w:rPr>
          <w:rFonts w:ascii="Consolas" w:hAnsi="Consolas" w:eastAsia="Consolas"/>
          <w:color w:val="000000"/>
          <w:sz w:val="17"/>
        </w:rPr>
        <w:t xml:space="preserve">        return jwt.encode(</w:t>
      </w:r>
    </w:p>
    <w:p>
      <w:pPr>
        <w:spacing w:after="0" w:line="240" w:lineRule="auto"/>
      </w:pPr>
      <w:r>
        <w:rPr>
          <w:rFonts w:ascii="Consolas" w:hAnsi="Consolas" w:eastAsia="Consolas"/>
          <w:color w:val="000000"/>
          <w:sz w:val="17"/>
        </w:rPr>
        <w:t xml:space="preserve">            {"sub": email.strip().lower(), "role": role,</w:t>
      </w:r>
    </w:p>
    <w:p>
      <w:pPr>
        <w:spacing w:after="0" w:line="240" w:lineRule="auto"/>
      </w:pPr>
      <w:r>
        <w:rPr>
          <w:rFonts w:ascii="Consolas" w:hAnsi="Consolas" w:eastAsia="Consolas"/>
          <w:color w:val="000000"/>
          <w:sz w:val="17"/>
        </w:rPr>
        <w:t xml:space="preserve">             "iat": now, "exp": now + SESSION_TTL},</w:t>
      </w:r>
    </w:p>
    <w:p>
      <w:pPr>
        <w:spacing w:after="0" w:line="240" w:lineRule="auto"/>
      </w:pPr>
      <w:r>
        <w:rPr>
          <w:rFonts w:ascii="Consolas" w:hAnsi="Consolas" w:eastAsia="Consolas"/>
          <w:color w:val="000000"/>
          <w:sz w:val="17"/>
        </w:rPr>
        <w:t xml:space="preserve">            _auth_signing_key(), algorithm="HS256")</w:t>
      </w:r>
    </w:p>
    <w:p>
      <w:pPr>
        <w:spacing w:after="0" w:line="240" w:lineRule="auto"/>
      </w:pPr>
      <w:r>
        <w:rPr>
          <w:rFonts w:ascii="Consolas" w:hAnsi="Consolas" w:eastAsia="Consolas"/>
          <w:color w:val="000000"/>
          <w:sz w:val="17"/>
        </w:rPr>
        <w:t># The alternative branch persists a hash of a random token in a database.</w:t>
      </w:r>
    </w:p>
    <w:p>
      <w:r>
        <w:br w:type="page"/>
      </w:r>
    </w:p>
    <w:p>
      <w:pPr>
        <w:keepNext/>
        <w:spacing w:after="240"/>
        <w:jc w:val="center"/>
      </w:pPr>
      <w:r>
        <w:rPr>
          <w:rFonts w:ascii="Times New Roman" w:hAnsi="Times New Roman" w:eastAsia="Times New Roman"/>
          <w:b/>
          <w:color w:val="000000"/>
          <w:sz w:val="24"/>
        </w:rPr>
        <w:t>4.2 TESTING APPROACH AND CASES</w:t>
      </w:r>
    </w:p>
    <w:p>
      <w:pPr>
        <w:spacing w:after="120" w:line="240" w:lineRule="auto"/>
      </w:pPr>
      <w:r>
        <w:rPr>
          <w:rFonts w:ascii="Times New Roman" w:hAnsi="Times New Roman" w:eastAsia="Times New Roman"/>
          <w:b w:val="0"/>
          <w:i w:val="0"/>
          <w:color w:val="000000"/>
          <w:sz w:val="24"/>
        </w:rPr>
        <w:t>Backend tests use pytest; frontend interaction tests use Vitest, jsdom and Testing Library. Documented test areas include analytics output/order; API health and authentication boundaries; assistant offline/mock behavior; auth persistence/revocation; data validation; model-result shape; scenario scaling/invalid input; and selected frontend interactions. Checked-in logs record 20 backend and 3 frontend tests passing, clean lint and successful build with a large JavaScript chunk warning. These are saved records, not a fresh execution for this stage. Logs provide suite totals, not a versioned per-case ledger.</w:t>
      </w:r>
    </w:p>
    <w:p>
      <w:pPr/>
      <w:r>
        <w:t>Backend test modules cover separate areas such as API/auth, data validation, scenario logic, model output, and assistant behavior. Test case identifiers in the report are descriptive labels, not identifiers embedded in the source test framework.</w:t>
      </w:r>
    </w:p>
    <w:p>
      <w:pPr/>
      <w:r>
        <w:t>Test names and source functions show coverage for selected normal and failure paths. Examples include missing authentication, invalid credentials, assistant offline behavior, scenario negative volume, and model-result structure. These checks provide executable examples of expected behavior without proving every possible input combination.</w:t>
      </w:r>
    </w:p>
    <w:p>
      <w:pPr/>
      <w:r>
        <w:t>Stored outputs should be distinguished from current execution. The report does not relabel the historical count as the present suite total; the release process should rerun tests after source changes and retain the new console output with its exact command and environment.</w:t>
      </w:r>
    </w:p>
    <w:p>
      <w:pPr/>
      <w:r>
        <w:t>The suite covers analytics, data validation, scenarios, model output, authentication, API routes, security boundaries, and assistant fallback/context. Frontend tests use Vitest, jsdom, and Testing Library with mocked API calls; they test selected interactions rather than a live full-stack browser workflow.</w:t>
      </w:r>
    </w:p>
    <w:p>
      <w:pPr/>
      <w:r>
        <w:t>Checked-in logs report 20 backend tests and three frontend tests. Source has changed since capture, so these are not fresh totals. A release record should bind command, source revision, environment, and log, and reconcile the discrepancy before final verification.</w:t>
      </w:r>
    </w:p>
    <w:p>
      <w:r>
        <w:br w:type="page"/>
      </w:r>
    </w:p>
    <w:p>
      <w:pPr>
        <w:keepNext/>
        <w:spacing w:after="240"/>
        <w:jc w:val="center"/>
      </w:pPr>
      <w:r>
        <w:rPr>
          <w:rFonts w:ascii="Times New Roman" w:hAnsi="Times New Roman" w:eastAsia="Times New Roman"/>
          <w:b/>
          <w:color w:val="000000"/>
          <w:sz w:val="24"/>
        </w:rPr>
        <w:t>TEST COVERAGE AND RECORD</w:t>
      </w:r>
    </w:p>
    <w:p>
      <w:pPr>
        <w:spacing w:after="120" w:line="240" w:lineRule="auto"/>
      </w:pPr>
      <w:r>
        <w:rPr>
          <w:rFonts w:ascii="Times New Roman" w:hAnsi="Times New Roman" w:eastAsia="Times New Roman"/>
          <w:b w:val="0"/>
          <w:i w:val="0"/>
          <w:color w:val="000000"/>
          <w:sz w:val="24"/>
        </w:rPr>
        <w:t>Stored backend output: 20 passed; frontend: 3 passed; lint: no diagnostics; build: succeeded with large-chunk warning. API smoke JSON records health 200, login 200, unauthenticated dashboard 401, and ten authenticated route operations. No fresh tests were run for this draft.</w:t>
      </w:r>
    </w:p>
    <w:p>
      <w:pPr/>
      <w:r>
        <w:t>The `20 passed` record is the text in the stored evidence log, not a present-tense certification. The supplied task explicitly requires preservation of unrelated repository changes, so this report does not modify those application sources or replace their evidence logs as part of document-density work.</w:t>
      </w:r>
    </w:p>
    <w:p>
      <w:pPr/>
      <w:r>
        <w:t>Smoke checks complement automated unit and component tests by exercising a sequence through the running API. They do not cover every authentication mode, database provider, AI configuration, or deployment. Frontend tests mock network responses and therefore do not establish live integration.</w:t>
      </w:r>
    </w:p>
    <w:p>
      <w:pPr/>
      <w:r>
        <w:t>A successful build only confirms that the configured bundler completed; the chunk-size warning remains visible as a non-failing concern. Neither the build nor screenshot evidence substitutes for measured performance, accessibility, or user acceptance.</w:t>
      </w:r>
    </w:p>
    <w:p>
      <w:pPr/>
      <w:r>
        <w:t>API smoke evidence records health/login responses, rejects an unauthenticated dashboard request, and exercises authenticated endpoints. Route checks complement unit tests; mocked frontend tests verify selected state transitions. Neither establishes concurrency behavior or live external-provider quality.</w:t>
      </w:r>
    </w:p>
    <w:p>
      <w:pPr/>
      <w:r>
        <w:t>The saved build succeeded with a documented large JavaScript chunk warning. A warning is not a failed build, but remains an optimization item. No fresh test/build claim is made from stored logs alone.</w:t>
      </w:r>
    </w:p>
    <w:p>
      <w:r>
        <w:br w:type="page"/>
      </w:r>
    </w:p>
    <w:p>
      <w:pPr>
        <w:keepNext/>
        <w:spacing w:after="240"/>
        <w:jc w:val="center"/>
      </w:pPr>
      <w:r>
        <w:rPr>
          <w:rFonts w:ascii="Times New Roman" w:hAnsi="Times New Roman" w:eastAsia="Times New Roman"/>
          <w:b/>
          <w:color w:val="000000"/>
          <w:sz w:val="28"/>
        </w:rPr>
        <w:t>CHAPTER 5 - RESULTS AND DISCUSSION</w:t>
        <w:br/>
        <w:t>5.1 DASHBOARD EVIDENCE</w:t>
      </w:r>
    </w:p>
    <w:p>
      <w:pPr>
        <w:spacing w:after="60"/>
        <w:jc w:val="center"/>
      </w:pPr>
      <w:r>
        <w:drawing>
          <wp:inline xmlns:a="http://schemas.openxmlformats.org/drawingml/2006/main" xmlns:pic="http://schemas.openxmlformats.org/drawingml/2006/picture">
            <wp:extent cx="5989320" cy="4211240"/>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989320" cy="4211240"/>
                    </a:xfrm>
                    <a:prstGeom prst="rect"/>
                  </pic:spPr>
                </pic:pic>
              </a:graphicData>
            </a:graphic>
          </wp:inline>
        </w:drawing>
      </w:r>
    </w:p>
    <w:p>
      <w:pPr>
        <w:spacing w:after="40" w:line="240" w:lineRule="auto"/>
        <w:jc w:val="center"/>
      </w:pPr>
      <w:r>
        <w:rPr>
          <w:rFonts w:ascii="Times New Roman" w:hAnsi="Times New Roman" w:eastAsia="Times New Roman"/>
          <w:b w:val="0"/>
          <w:i/>
          <w:color w:val="000000"/>
          <w:sz w:val="20"/>
        </w:rPr>
        <w:t>Stored dashboard capture — evidence/screenshots/dashboard.png</w:t>
      </w:r>
    </w:p>
    <w:p>
      <w:pPr/>
      <w:r>
        <w:t>The capture records an interface state, not a user-study result. It can show which summaries and controls appeared, but cannot prove calculation correctness, accessibility, or speed. Those questions require separate source, test, and measurement evidence.</w:t>
      </w:r>
    </w:p>
    <w:p>
      <w:pPr/>
      <w:r>
        <w:t>Displayed counts inherit synthetic-data definitions: row count is the lead base and later stages sum cumulative flags. This is a demonstration view, not a real admissions cycle report.</w:t>
      </w:r>
    </w:p>
    <w:p>
      <w:r>
        <w:br w:type="page"/>
      </w:r>
    </w:p>
    <w:p>
      <w:pPr>
        <w:keepNext/>
        <w:spacing w:after="240"/>
        <w:jc w:val="center"/>
      </w:pPr>
      <w:r>
        <w:rPr>
          <w:rFonts w:ascii="Times New Roman" w:hAnsi="Times New Roman" w:eastAsia="Times New Roman"/>
          <w:b/>
          <w:color w:val="000000"/>
          <w:sz w:val="24"/>
        </w:rPr>
        <w:t>5.2 MOBILE INTERFACE EVIDENCE</w:t>
      </w:r>
    </w:p>
    <w:p>
      <w:pPr>
        <w:spacing w:after="60"/>
        <w:jc w:val="center"/>
      </w:pPr>
      <w:r>
        <w:drawing>
          <wp:inline xmlns:a="http://schemas.openxmlformats.org/drawingml/2006/main" xmlns:pic="http://schemas.openxmlformats.org/drawingml/2006/picture">
            <wp:extent cx="1536192" cy="7120856"/>
            <wp:docPr id="2" name="Picture 2"/>
            <wp:cNvGraphicFramePr>
              <a:graphicFrameLocks noChangeAspect="1"/>
            </wp:cNvGraphicFramePr>
            <a:graphic>
              <a:graphicData uri="http://schemas.openxmlformats.org/drawingml/2006/picture">
                <pic:pic>
                  <pic:nvPicPr>
                    <pic:cNvPr id="0" name="dashboard-mobile.png"/>
                    <pic:cNvPicPr/>
                  </pic:nvPicPr>
                  <pic:blipFill>
                    <a:blip r:embed="rId11"/>
                    <a:stretch>
                      <a:fillRect/>
                    </a:stretch>
                  </pic:blipFill>
                  <pic:spPr>
                    <a:xfrm>
                      <a:off x="0" y="0"/>
                      <a:ext cx="1536192" cy="7120856"/>
                    </a:xfrm>
                    <a:prstGeom prst="rect"/>
                  </pic:spPr>
                </pic:pic>
              </a:graphicData>
            </a:graphic>
          </wp:inline>
        </w:drawing>
      </w:r>
    </w:p>
    <w:p>
      <w:pPr>
        <w:spacing w:after="40" w:line="240" w:lineRule="auto"/>
        <w:jc w:val="center"/>
      </w:pPr>
      <w:r>
        <w:rPr>
          <w:rFonts w:ascii="Times New Roman" w:hAnsi="Times New Roman" w:eastAsia="Times New Roman"/>
          <w:b w:val="0"/>
          <w:i/>
          <w:color w:val="000000"/>
          <w:sz w:val="20"/>
        </w:rPr>
        <w:t>Stored mobile capture — evidence/screenshots/dashboard-mobile.png</w:t>
      </w:r>
    </w:p>
    <w:p>
      <w:pPr/>
      <w:r>
        <w:t>The screenshot records one narrow viewport. It shows a mobile presentation but does not establish behavior across devices, zoom levels, or assistive technologies. Metrics still describe synthetic records.</w:t>
      </w:r>
    </w:p>
    <w:p>
      <w:pPr/>
      <w:r>
        <w:t>Responsive CSS and one capture are not breakpoint-by-breakpoint testing. Formal usability or accessibility claims require a repeatable plan and recorded results, neither of which is present.</w:t>
      </w:r>
    </w:p>
    <w:p>
      <w:r>
        <w:br w:type="page"/>
      </w:r>
    </w:p>
    <w:p>
      <w:pPr>
        <w:keepNext/>
        <w:spacing w:after="240"/>
        <w:jc w:val="center"/>
      </w:pPr>
      <w:r>
        <w:rPr>
          <w:rFonts w:ascii="Times New Roman" w:hAnsi="Times New Roman" w:eastAsia="Times New Roman"/>
          <w:b/>
          <w:color w:val="000000"/>
          <w:sz w:val="24"/>
        </w:rPr>
        <w:t>5.3 SCENARIO EVIDENCE</w:t>
      </w:r>
    </w:p>
    <w:p>
      <w:pPr>
        <w:spacing w:after="60"/>
        <w:jc w:val="center"/>
      </w:pPr>
      <w:r>
        <w:drawing>
          <wp:inline xmlns:a="http://schemas.openxmlformats.org/drawingml/2006/main" xmlns:pic="http://schemas.openxmlformats.org/drawingml/2006/picture">
            <wp:extent cx="5989320" cy="4461105"/>
            <wp:docPr id="3" name="Picture 3"/>
            <wp:cNvGraphicFramePr>
              <a:graphicFrameLocks noChangeAspect="1"/>
            </wp:cNvGraphicFramePr>
            <a:graphic>
              <a:graphicData uri="http://schemas.openxmlformats.org/drawingml/2006/picture">
                <pic:pic>
                  <pic:nvPicPr>
                    <pic:cNvPr id="0" name="scenario.png"/>
                    <pic:cNvPicPr/>
                  </pic:nvPicPr>
                  <pic:blipFill>
                    <a:blip r:embed="rId12"/>
                    <a:stretch>
                      <a:fillRect/>
                    </a:stretch>
                  </pic:blipFill>
                  <pic:spPr>
                    <a:xfrm>
                      <a:off x="0" y="0"/>
                      <a:ext cx="5989320" cy="4461105"/>
                    </a:xfrm>
                    <a:prstGeom prst="rect"/>
                  </pic:spPr>
                </pic:pic>
              </a:graphicData>
            </a:graphic>
          </wp:inline>
        </w:drawing>
      </w:r>
    </w:p>
    <w:p>
      <w:pPr>
        <w:spacing w:after="40" w:line="240" w:lineRule="auto"/>
        <w:jc w:val="center"/>
      </w:pPr>
      <w:r>
        <w:rPr>
          <w:rFonts w:ascii="Times New Roman" w:hAnsi="Times New Roman" w:eastAsia="Times New Roman"/>
          <w:b w:val="0"/>
          <w:i/>
          <w:color w:val="000000"/>
          <w:sz w:val="20"/>
        </w:rPr>
        <w:t>Stored scenario capture — evidence/screenshots/scenario.png</w:t>
      </w:r>
    </w:p>
    <w:p>
      <w:pPr/>
      <w:r>
        <w:t>The view illustrates assumed application volume and stage adjustments. The deterministic engine scales baseline counts, applies multipliers, clamps stage order, and calculates deltas; it does not retrain a model or estimate campaign causality.</w:t>
      </w:r>
    </w:p>
    <w:p>
      <w:pPr/>
      <w:r>
        <w:t>The captured UI state and saved 5,000-application report have different inputs and are separate artifacts. `campaign_shift` currently remains metadata and does not change counts.</w:t>
      </w:r>
    </w:p>
    <w:p>
      <w:r>
        <w:br w:type="page"/>
      </w:r>
    </w:p>
    <w:p>
      <w:pPr>
        <w:keepNext/>
        <w:spacing w:after="240"/>
        <w:jc w:val="center"/>
      </w:pPr>
      <w:r>
        <w:rPr>
          <w:rFonts w:ascii="Times New Roman" w:hAnsi="Times New Roman" w:eastAsia="Times New Roman"/>
          <w:b/>
          <w:color w:val="000000"/>
          <w:sz w:val="24"/>
        </w:rPr>
        <w:t>5.4 ASSISTANT EVIDENCE</w:t>
      </w:r>
    </w:p>
    <w:p>
      <w:pPr>
        <w:spacing w:after="60"/>
        <w:jc w:val="center"/>
      </w:pPr>
      <w:r>
        <w:drawing>
          <wp:inline xmlns:a="http://schemas.openxmlformats.org/drawingml/2006/main" xmlns:pic="http://schemas.openxmlformats.org/drawingml/2006/picture">
            <wp:extent cx="5989320" cy="4159250"/>
            <wp:docPr id="4" name="Picture 4"/>
            <wp:cNvGraphicFramePr>
              <a:graphicFrameLocks noChangeAspect="1"/>
            </wp:cNvGraphicFramePr>
            <a:graphic>
              <a:graphicData uri="http://schemas.openxmlformats.org/drawingml/2006/picture">
                <pic:pic>
                  <pic:nvPicPr>
                    <pic:cNvPr id="0" name="assistant-offline.png"/>
                    <pic:cNvPicPr/>
                  </pic:nvPicPr>
                  <pic:blipFill>
                    <a:blip r:embed="rId13"/>
                    <a:stretch>
                      <a:fillRect/>
                    </a:stretch>
                  </pic:blipFill>
                  <pic:spPr>
                    <a:xfrm>
                      <a:off x="0" y="0"/>
                      <a:ext cx="5989320" cy="4159250"/>
                    </a:xfrm>
                    <a:prstGeom prst="rect"/>
                  </pic:spPr>
                </pic:pic>
              </a:graphicData>
            </a:graphic>
          </wp:inline>
        </w:drawing>
      </w:r>
    </w:p>
    <w:p>
      <w:pPr>
        <w:spacing w:after="40" w:line="240" w:lineRule="auto"/>
        <w:jc w:val="center"/>
      </w:pPr>
      <w:r>
        <w:rPr>
          <w:rFonts w:ascii="Times New Roman" w:hAnsi="Times New Roman" w:eastAsia="Times New Roman"/>
          <w:b w:val="0"/>
          <w:i/>
          <w:color w:val="000000"/>
          <w:sz w:val="20"/>
        </w:rPr>
        <w:t>Stored offline-state capture — evidence/screenshots/assistant-offline.png</w:t>
      </w:r>
    </w:p>
    <w:p>
      <w:pPr/>
      <w:r>
        <w:t>Without a provider key, status reports the assistant unavailable; dashboard and scenario workflows remain usable. When configured, the server sends selected aggregate context and a bounded question to Groq, not applicant-level rows.</w:t>
      </w:r>
    </w:p>
    <w:p>
      <w:pPr/>
      <w:r>
        <w:t>The image documents an offline state, not answer quality. Prompt/schema checks do not guarantee factual correctness, privacy compliance, or provider availability; live evaluation remains future work.</w:t>
      </w:r>
    </w:p>
    <w:p>
      <w:r>
        <w:br w:type="page"/>
      </w:r>
    </w:p>
    <w:p>
      <w:pPr>
        <w:keepNext/>
        <w:spacing w:after="240"/>
        <w:jc w:val="center"/>
      </w:pPr>
      <w:r>
        <w:rPr>
          <w:rFonts w:ascii="Times New Roman" w:hAnsi="Times New Roman" w:eastAsia="Times New Roman"/>
          <w:b/>
          <w:color w:val="000000"/>
          <w:sz w:val="24"/>
        </w:rPr>
        <w:t>5.5 ANALYTICAL RESULTS</w:t>
      </w:r>
    </w:p>
    <w:p>
      <w:pPr>
        <w:spacing w:after="120" w:line="240" w:lineRule="auto"/>
      </w:pPr>
      <w:r>
        <w:rPr>
          <w:rFonts w:ascii="Times New Roman" w:hAnsi="Times New Roman" w:eastAsia="Times New Roman"/>
          <w:b w:val="0"/>
          <w:i w:val="0"/>
          <w:color w:val="000000"/>
          <w:sz w:val="24"/>
        </w:rPr>
        <w:t>The saved cumulative funnel is 4,200 leads; 3,106 application starts; 1,983 submissions; 1,015 reviews; 708 offers/admissions; and 351 enrolments. Overall enrolment is 8.36%; the largest absolute decline is 1,123 from application-start to submitted. Attribution is descriptive: Partner has 749 records (17.83%); Social has 65/674 enrolments (9.64%). Logistic regression ROC-AUC / PR-AUC is .5573 / .0964; random forest is .5195 / .1037 and has zero precision, recall, and F1 at threshold .5. Forecast MAE / RMSE / MAPE is 14.55 / 15.5726 / 27.33%; H1/H2/H4/H6 are 74.2 / 77.3 / 83.5 / 89.7. The report records a 5,000-application scenario (2,479 submissions, 910 admissions, 435 enrolments; +84 vs baseline); the separate UI capture shows 8,400 applications. These are different documented inputs/snapshots, not one run. Scenario values are arithmetic under stated assumptions; no causal effect is established.</w:t>
      </w:r>
    </w:p>
    <w:p>
      <w:pPr/>
      <w:r>
        <w:t>The funnel’s largest step loss identifies a point for further investigation, not a cause or intervention. The data has no documented reasons for non-submission and contains no exposure experiment, so the result cannot support a recommendation to change recruitment or review policy.</w:t>
      </w:r>
    </w:p>
    <w:p>
      <w:pPr/>
      <w:r>
        <w:t>The six-stage sequence is non-increasing in the saved report, consistent with the intended funnel. That arithmetic property is not proof that every record obeys all stage-flag constraints; the validator’s incomplete order check remains an explicit data-quality limitation.</w:t>
      </w:r>
    </w:p>
    <w:p>
      <w:pPr/>
      <w:r>
        <w:t>Classifier interpretation requires more than accuracy. In the holdout, 88 rows are positive and 962 negative; a model predicting all negatives can achieve a high accuracy while having zero positive-class recall. ROC-AUC values near 0.5 and low PR-AUC reinforce the documented caution against decision use.</w:t>
      </w:r>
    </w:p>
    <w:p>
      <w:pPr/>
      <w:r>
        <w:t>Forecast values are based on a short linear fit and the saved 5,000-volume scenario is separate arithmetic. The scenario’s +84 enrolment difference is conditional on its volume and multipliers, not a causal effect or guarantee. These distinctions keep unlike outputs from being combined into one claimed result.</w:t>
      </w:r>
    </w:p>
    <w:p>
      <w:pPr/>
      <w:r>
        <w:t>Application starts are 3,106/4,200 of leads, submissions 1,983/4,200, and enrolments 351/4,200. The largest absolute step decline is 1,123 between starts and submissions; that count does not explain why records did not progress.</w:t>
      </w:r>
    </w:p>
    <w:p>
      <w:pPr/>
      <w:r>
        <w:t>Partner has the largest recorded row count (749); Social’s observed enrolment rate is 65/674, or 9.64%. These rates do not control for programme, cycle, or other attributes. The forest’s 91.62% accuracy accompanies zero predicted positives, while logistic ranking is only modestly above chance.</w:t>
      </w:r>
    </w:p>
    <w:p>
      <w:r>
        <w:br w:type="page"/>
      </w:r>
    </w:p>
    <w:p>
      <w:pPr>
        <w:keepNext/>
        <w:spacing w:after="240"/>
        <w:jc w:val="center"/>
      </w:pPr>
      <w:r>
        <w:rPr>
          <w:rFonts w:ascii="Times New Roman" w:hAnsi="Times New Roman" w:eastAsia="Times New Roman"/>
          <w:b/>
          <w:color w:val="000000"/>
          <w:sz w:val="24"/>
        </w:rPr>
        <w:t>5.6 DATA-QUALITY RESULTS</w:t>
      </w:r>
    </w:p>
    <w:p>
      <w:pPr>
        <w:spacing w:after="120" w:line="240" w:lineRule="auto"/>
      </w:pPr>
      <w:r>
        <w:rPr>
          <w:rFonts w:ascii="Times New Roman" w:hAnsi="Times New Roman" w:eastAsia="Times New Roman"/>
          <w:b w:val="0"/>
          <w:i w:val="0"/>
          <w:color w:val="000000"/>
          <w:sz w:val="24"/>
        </w:rPr>
        <w:t>The validation report records 4,200 rows and 22 columns, with no missing cells, duplicate applicant IDs, invalid dates, or invalid categories reported. This is limited to implemented checks: the stage-order check is incomplete and flag consistency is not comprehensively validated. The dataset is synthetic; these checks do not establish real-world data quality.</w:t>
      </w:r>
    </w:p>
    <w:p>
      <w:pPr/>
      <w:r>
        <w:t>No missing cells and unique identifiers are useful properties for the generated sample, but they are not sufficient assurance for analytical validity. Semantic rules, provenance, subgroup representation, and real-world measurement quality would need separate checks.</w:t>
      </w:r>
    </w:p>
    <w:p>
      <w:pPr/>
      <w:r>
        <w:t>The current report records no missing cells, duplicate identifiers, invalid dates, or invalid categories among the tested fields. These are finite checks against generated data. They do not check all cross-field logic, measure fairness, establish provenance from real institutions, or show that a schema is suitable for production.</w:t>
      </w:r>
    </w:p>
    <w:p>
      <w:pPr/>
      <w:r>
        <w:t>A future validation improvement should encode explicit constraints for binary domains, nested progression flags, `admitted`/`has_offer` consistency, and date/cycle agreement, then test both valid and invalid fixtures. This describes a gap and a testable next step, not an outcome already observed.</w:t>
      </w:r>
    </w:p>
    <w:p>
      <w:pPr/>
      <w:r>
        <w:t>The data dictionary defines rows as synthetic applicant records and uniqueness on `applicant_id`. Category/date checks complement missingness, but do not establish representativeness or correctness for admissions policy. Clean missingness alone is not proof of data quality.</w:t>
      </w:r>
    </w:p>
    <w:p>
      <w:pPr/>
      <w:r>
        <w:t>Nested stage flags and equality of `admitted`/`has_offer` are potential validation rules, not new results from an unrun validator. The dataset must remain labeled synthetic and should not be mixed with personal data without governance.</w:t>
      </w:r>
    </w:p>
    <w:p>
      <w:pPr/>
      <w:r>
        <w:rPr>
          <w:rFonts w:ascii="Times New Roman" w:hAnsi="Times New Roman"/>
          <w:b/>
          <w:sz w:val="24"/>
        </w:rPr>
        <w:t>5.7 DEFECT AND DISCREPANCY SUMMARY</w:t>
      </w:r>
    </w:p>
    <w:p>
      <w:pPr/>
      <w:r>
        <w:t>Repository inconsistencies remain: forecast metadata labels six annual points as training years although four are fit points and two are held out; scenario campaign_shift is reported but does not change counts; some documentation describes older authentication behavior. Stored logs show 20 backend and 3 frontend passes, but these suites were not rerun for this review. No formal defect register or user survey/interview evidence is present. Refresh tests/evidence and address metadata, documentation, validation, and model limitations before operational use.</w:t>
      </w:r>
    </w:p>
    <w:p>
      <w:pPr/>
      <w:r>
        <w:t>This chapter records observed inconsistencies and non-evidenced areas without assigning unsupported severity or claiming they were fixed. A future issue register should link each finding to an owner, source revision, acceptance test, and closure evidence.</w:t>
      </w:r>
    </w:p>
    <w:p>
      <w:pPr/>
      <w:r>
        <w:t>Saved test evidence itself is historical: backend output shows 20 passes and frontend output shows three, while source has evolved. A current test run is needed to establish release status. The project should also reconcile outdated prose about authentication with its current database-backed and stateless modes.</w:t>
      </w:r>
    </w:p>
    <w:p>
      <w:pPr/>
      <w:r>
        <w:t>These issues are reported because they can alter reader understanding. They do not imply that the entire application is defective, nor do the earlier logs prove the current source is fully verified. A defect register and clear resolution evidence remain future work.</w:t>
      </w:r>
    </w:p>
    <w:p>
      <w:pPr/>
      <w:r>
        <w:t>These gaps affect interpretation: forecast metadata can misstate the fit sample; campaign-shift metadata can be mistaken for an applied intervention; and stale auth descriptions can confuse deployment behavior. They are follow-up issues, not concealed successes.</w:t>
      </w:r>
    </w:p>
    <w:p>
      <w:pPr/>
      <w:r>
        <w:t>Priority corrections are align forecast metadata to four fit points, define campaign-shift semantics before claiming an effect, reconcile logs with current source, and expand validation. Completion requires a source change and corresponding test evidence.</w:t>
      </w:r>
    </w:p>
    <w:p>
      <w:r>
        <w:br w:type="page"/>
      </w:r>
    </w:p>
    <w:p>
      <w:pPr>
        <w:keepNext/>
        <w:spacing w:after="240"/>
        <w:jc w:val="center"/>
      </w:pPr>
      <w:r>
        <w:t>CHAPTER 6 - CONCLUSION AND FUTURE WORK</w:t>
        <w:br/>
        <w:t>6.1 CONCLUSION</w:t>
      </w:r>
    </w:p>
    <w:p>
      <w:r>
        <w:t>AdmitFlow demonstrates a local analytics workflow over reproducibly generated synthetic applicant data. It brings together funnel and cohort summaries, descriptive source comparisons, exploratory classifier evaluation, a linear annual enrolment forecast, deterministic scenarios, a FastAPI service and a React interface. Its outputs are exploratory, not evidence of real-world admissions performance: classifier discrimination is weak, the forecast uses a short history, source comparisons are non-causal, and scenarios depend on user assumptions. The repository therefore supports describing AdmitFlow as an academic prototype, not production-ready admissions decision software.</w:t>
      </w:r>
    </w:p>
    <w:p>
      <w:pPr/>
      <w:r>
        <w:t>Taken together, the design and results answer the project’s technical objective—connect data processing, model evaluation, forecast/scenario logic, an API, and a user interface—while leaving institutional effectiveness unanswered. That distinction should be maintained in any presentation of the project.</w:t>
      </w:r>
    </w:p>
    <w:p>
      <w:pPr/>
      <w:r>
        <w:t>The conclusion is therefore both positive and bounded: the repository contains an integrated, reviewable prototype, while its outputs remain exploratory. Current evidence supports neither real-world predictive validity nor institutional readiness.</w:t>
      </w:r>
    </w:p>
    <w:p>
      <w:pPr/>
      <w:r>
        <w:t>The project demonstrates how descriptive analysis and application engineering can be composed, and how limitations can be exposed alongside results. It gives a reviewer a path from data dictionary to implementation, tests, saved metrics, and visible interface rather than asking the reader to accept a headline claim.</w:t>
      </w:r>
    </w:p>
    <w:p>
      <w:pPr/>
      <w:r>
        <w:t>Its current value is therefore methodological and educational. The repository provides no external validation, stakeholder adoption evidence, causal study, or production control set. Any claim beyond a local synthetic-data prototype would exceed available evidence.</w:t>
      </w:r>
    </w:p>
    <w:p>
      <w:pPr/>
      <w:r>
        <w:t>The chain is concrete: generated rows receive selected checks; analytics groups them; model code applies a defined feature/preprocessing pipeline; forecasting evaluates an annual sequence; scenarios transform baseline counts under assumptions; and an API exposes results to React. Source, tests, saved reports, and screenshots allow parts to be traced.</w:t>
      </w:r>
    </w:p>
    <w:p>
      <w:pPr/>
      <w:r>
        <w:t>The outcome is an integrated academic prototype and an inspectable account of limits. Saved metrics do not show reliable applicant-level discrimination; the forecast lacks uncertainty; and source-rate differences do not identify campaign effects. These are boundaries, not grounds for institutional adoption.</w:t>
      </w:r>
    </w:p>
    <w:p>
      <w:r>
        <w:br w:type="page"/>
      </w:r>
    </w:p>
    <w:p>
      <w:pPr>
        <w:spacing w:after="120" w:line="240" w:lineRule="auto"/>
      </w:pPr>
      <w:r>
        <w:rPr>
          <w:rFonts w:ascii="Times New Roman" w:hAnsi="Times New Roman" w:eastAsia="Times New Roman"/>
          <w:b w:val="0"/>
          <w:i w:val="0"/>
          <w:color w:val="000000"/>
          <w:sz w:val="24"/>
        </w:rPr>
        <w:t>6.2 FUTURE WORK</w:t>
      </w:r>
    </w:p>
    <w:p>
      <w:r>
        <w:t>Future work: obtain permissioned representative data; define outcome semantics and privacy controls; expand validation; evaluate models temporally, calibrate and assess subgroup errors; correct forecast metadata and add baselines/uncertainty; establish a defensible causal design before causal attribution; and improve audit, security, and deployment controls.</w:t>
      </w:r>
    </w:p>
    <w:p>
      <w:pPr/>
      <w:r>
        <w:t>There is no supported calendar estimate, named owner assignment, budget, or Gantt schedule for these items. They should be prioritized after project-owner and faculty review rather than represented as already committed milestones.</w:t>
      </w:r>
    </w:p>
    <w:p>
      <w:pPr/>
      <w:r>
        <w:t>Analytical improvements should be sequenced with data access: agree outcome definitions and governance first, then assess sample coverage and data quality, and only then evaluate model or forecast utility. Thresholds and subgroup comparisons require documented objectives and review because the domain concerns consequential admissions decisions.</w:t>
      </w:r>
    </w:p>
    <w:p>
      <w:pPr/>
      <w:r>
        <w:t>Engineering changes should add explicit tests for each corrected behavior and update reports from the same revision. No calendar dates, assigned owners, cost estimates, or resources are available, so future work is described as technical direction rather than a dated commitment.</w:t>
      </w:r>
    </w:p>
    <w:p>
      <w:pPr/>
      <w:r>
        <w:t>Future work should follow evidence and risk. First establish lawful access, field definitions, retention controls, and an evaluation population; then strengthen schema and flag-consistency checks. Only after governance should temporal/repeated validation, calibration, subgroup analysis, and utility be evaluated.</w:t>
      </w:r>
    </w:p>
    <w:p>
      <w:pPr/>
      <w:r>
        <w:t>Engineering follow-ups include correcting fit-count metadata, defining campaign-shift semantics, deciding audit persistence, and specifying deployment secrets/session behavior. These are recommendations, not dated commitments or completed activities.</w:t>
      </w:r>
    </w:p>
    <w:p>
      <w:pPr/>
      <w:r>
        <w:rPr>
          <w:rFonts w:ascii="Times New Roman" w:hAnsi="Times New Roman"/>
          <w:b/>
          <w:sz w:val="24"/>
        </w:rPr>
        <w:t>6.3 LIMITATIONS</w:t>
      </w:r>
    </w:p>
    <w:p>
      <w:pPr/>
      <w:r>
        <w:rPr>
          <w:rFonts w:ascii="Times New Roman" w:hAnsi="Times New Roman"/>
          <w:b w:val="0"/>
          <w:sz w:val="24"/>
        </w:rPr>
        <w:t>Limitations: synthetic applicant records; weak classifier discrimination; a six-year series with only four fit and two holdout points and no forecast interval; descriptive, non-causal attribution; user-assumed scenarios; process-local audit; local/demo authentication; and no formal UX, load, security, or institutional deployment evaluation. These limitations preclude admissions decision use.</w:t>
      </w:r>
    </w:p>
    <w:p>
      <w:pPr/>
      <w:r>
        <w:t>The score outputs are not applicant recommendations, and no new-applicant scoring route is exposed. The dataset is synthetic and model quality is weak; using the classifier for a real selection decision would not be supported by these results.</w:t>
      </w:r>
    </w:p>
    <w:p>
      <w:pPr/>
      <w:r>
        <w:t>The report also lacks independent academic citations, verified institutional certificate wording, guide approval, author signatures, and required student identifiers. Those are legitimate front-matter gaps that require authorized input and cannot be filled from repository code.</w:t>
      </w:r>
    </w:p>
    <w:p>
      <w:pPr/>
      <w:r>
        <w:t>Synthetic generation restricts population validity; weak classification restricts predictive use; six annual points make fit and holdout results fragile; source aggregation cannot isolate campaign influence; and scenarios inherit user assumptions rather than observed interventions.</w:t>
      </w:r>
    </w:p>
    <w:p>
      <w:pPr/>
      <w:r>
        <w:t>Operational limits are distinct: audit history is process-local, auth depends on configuration, the assistant depends on an external service, and formal performance/security/accessibility studies are absent. These cautions should accompany any reused chart or metric.</w:t>
      </w:r>
    </w:p>
    <w:p>
      <w:r>
        <w:br w:type="page"/>
      </w:r>
    </w:p>
    <w:p>
      <w:pPr>
        <w:jc w:val="center"/>
      </w:pPr>
      <w:r>
        <w:rPr>
          <w:rFonts w:ascii="Times New Roman" w:hAnsi="Times New Roman"/>
          <w:b/>
          <w:sz w:val="28"/>
        </w:rPr>
        <w:t>CHAPTER 7 - REFERENCES</w:t>
      </w:r>
    </w:p>
    <w:p>
      <w:pPr>
        <w:keepNext/>
        <w:spacing w:after="240"/>
        <w:jc w:val="center"/>
      </w:pPr>
      <w:r>
        <w:rPr>
          <w:rFonts w:ascii="Times New Roman" w:hAnsi="Times New Roman" w:eastAsia="Times New Roman"/>
          <w:b/>
          <w:color w:val="000000"/>
          <w:sz w:val="24"/>
        </w:rPr>
        <w:t>AdmitFlow. Project Specification. `docs/PROJECT_SPEC.md`.</w:t>
      </w:r>
      <w:r>
        <w:t xml:space="preserve"> Defines intended project scope and requirements.</w:t>
      </w:r>
    </w:p>
    <w:p>
      <w:pPr>
        <w:spacing w:after="120" w:line="240" w:lineRule="auto"/>
      </w:pPr>
      <w:r>
        <w:rPr>
          <w:rFonts w:ascii="Times New Roman" w:hAnsi="Times New Roman" w:eastAsia="Times New Roman"/>
          <w:b w:val="0"/>
          <w:i w:val="0"/>
          <w:color w:val="000000"/>
          <w:sz w:val="24"/>
        </w:rPr>
        <w:t>AdmitFlow. Data Dictionary. `docs/DATA_DICTIONARY.md`.</w:t>
      </w:r>
      <w:r>
        <w:t xml:space="preserve"> Documents generated columns, domains, and funnel semantics.</w:t>
      </w:r>
    </w:p>
    <w:p>
      <w:r>
        <w:t>AdmitFlow. API Reference. `docs/API.md`.</w:t>
      </w:r>
      <w:r>
        <w:t xml:space="preserve"> Lists local routes, authentication boundaries, and optional provider configuration.</w:t>
      </w:r>
    </w:p>
    <w:p>
      <w:pPr>
        <w:keepNext/>
        <w:spacing w:after="240"/>
        <w:jc w:val="center"/>
      </w:pPr>
      <w:r>
        <w:rPr>
          <w:rFonts w:ascii="Times New Roman" w:hAnsi="Times New Roman" w:eastAsia="Times New Roman"/>
          <w:b/>
          <w:color w:val="000000"/>
          <w:sz w:val="28"/>
        </w:rPr>
        <w:t>AdmitFlow. Architecture Blueprint. `docs/ARCHITECTURE.md`.</w:t>
      </w:r>
      <w:r>
        <w:t xml:space="preserve"> Describes intended component and evidence organization.</w:t>
      </w:r>
    </w:p>
    <w:p>
      <w:pPr>
        <w:spacing w:after="120" w:line="240" w:lineRule="auto"/>
      </w:pPr>
      <w:r>
        <w:rPr>
          <w:rFonts w:ascii="Times New Roman" w:hAnsi="Times New Roman" w:eastAsia="Times New Roman"/>
          <w:b w:val="0"/>
          <w:i w:val="0"/>
          <w:color w:val="000000"/>
          <w:sz w:val="24"/>
        </w:rPr>
        <w:t>AdmitFlow. Model Methodology. `docs/MODEL_METHODOLOGY.md`.</w:t>
      </w:r>
      <w:r>
        <w:t xml:space="preserve"> Records features, split, saved metrics, and model limitations.</w:t>
      </w:r>
    </w:p>
    <w:p>
      <w:pPr>
        <w:spacing w:after="120" w:line="240" w:lineRule="auto"/>
      </w:pPr>
      <w:r>
        <w:rPr>
          <w:rFonts w:ascii="Times New Roman" w:hAnsi="Times New Roman" w:eastAsia="Times New Roman"/>
          <w:b w:val="0"/>
          <w:i w:val="0"/>
          <w:color w:val="000000"/>
          <w:sz w:val="24"/>
        </w:rPr>
        <w:t>AdmitFlow. Testing Documentation. `docs/TESTING.md`.</w:t>
      </w:r>
      <w:r>
        <w:t xml:space="preserve"> Identifies test commands, coverage areas, and stored outcomes.</w:t>
      </w:r>
    </w:p>
    <w:p>
      <w:pPr>
        <w:spacing w:after="120" w:line="240" w:lineRule="auto"/>
      </w:pPr>
      <w:r>
        <w:rPr>
          <w:rFonts w:ascii="Times New Roman" w:hAnsi="Times New Roman" w:eastAsia="Times New Roman"/>
          <w:b w:val="0"/>
          <w:i w:val="0"/>
          <w:color w:val="000000"/>
          <w:sz w:val="24"/>
        </w:rPr>
        <w:t>AdmitFlow. Evidence Register. `docs/EVIDENCE.md`.</w:t>
      </w:r>
      <w:r>
        <w:t xml:space="preserve"> Maps repository evidence artifacts to claims.</w:t>
      </w:r>
    </w:p>
    <w:p>
      <w:pPr>
        <w:spacing w:after="120" w:line="240" w:lineRule="auto"/>
      </w:pPr>
      <w:r>
        <w:rPr>
          <w:rFonts w:ascii="Times New Roman" w:hAnsi="Times New Roman" w:eastAsia="Times New Roman"/>
          <w:b w:val="0"/>
          <w:i w:val="0"/>
          <w:color w:val="000000"/>
          <w:sz w:val="24"/>
        </w:rPr>
        <w:t>AdmitFlow. Final Verification. `docs/FINAL_VERIFICATION.md`.</w:t>
      </w:r>
      <w:r>
        <w:t xml:space="preserve"> Records acceptance status and unresolved risks.</w:t>
      </w:r>
    </w:p>
    <w:p>
      <w:pPr>
        <w:spacing w:after="120" w:line="240" w:lineRule="auto"/>
      </w:pPr>
      <w:r>
        <w:rPr>
          <w:rFonts w:ascii="Times New Roman" w:hAnsi="Times New Roman" w:eastAsia="Times New Roman"/>
          <w:b w:val="0"/>
          <w:i w:val="0"/>
          <w:color w:val="000000"/>
          <w:sz w:val="24"/>
        </w:rPr>
        <w:t>AdmitFlow. Final Project Report. `docs/FINAL_PROJECT_REPORT.md`.</w:t>
      </w:r>
      <w:r>
        <w:t xml:space="preserve"> Summarizes implementation and documented results.</w:t>
      </w:r>
    </w:p>
    <w:p>
      <w:pPr>
        <w:spacing w:after="120" w:line="240" w:lineRule="auto"/>
      </w:pPr>
      <w:r>
        <w:rPr>
          <w:rFonts w:ascii="Times New Roman" w:hAnsi="Times New Roman" w:eastAsia="Times New Roman"/>
          <w:b w:val="0"/>
          <w:i w:val="0"/>
          <w:color w:val="000000"/>
          <w:sz w:val="24"/>
        </w:rPr>
        <w:t>AdmitFlow. Black-book source content. `docs/ADMITFLOW_BLACK_BOOK.md`.</w:t>
      </w:r>
      <w:r>
        <w:t xml:space="preserve"> Supplies project narrative and evidence references.</w:t>
      </w:r>
    </w:p>
    <w:p>
      <w:pPr>
        <w:spacing w:after="120" w:line="240" w:lineRule="auto"/>
      </w:pPr>
      <w:r>
        <w:rPr>
          <w:rFonts w:ascii="Times New Roman" w:hAnsi="Times New Roman" w:eastAsia="Times New Roman"/>
          <w:b w:val="0"/>
          <w:i w:val="0"/>
          <w:color w:val="000000"/>
          <w:sz w:val="24"/>
        </w:rPr>
        <w:t>Implementation source: `backend/admitflow/`, `frontend/src/`, and `scripts/`.</w:t>
      </w:r>
    </w:p>
    <w:p>
      <w:pPr>
        <w:spacing w:after="120" w:line="240" w:lineRule="auto"/>
      </w:pPr>
      <w:r>
        <w:rPr>
          <w:rFonts w:ascii="Times New Roman" w:hAnsi="Times New Roman" w:eastAsia="Times New Roman"/>
          <w:b w:val="0"/>
          <w:i w:val="0"/>
          <w:color w:val="000000"/>
          <w:sz w:val="24"/>
        </w:rPr>
        <w:t>Repository evidence index: `evidence/` (reports, logs, and screenshots).</w:t>
      </w:r>
    </w:p>
    <w:p>
      <w:pPr>
        <w:spacing w:after="120" w:line="240" w:lineRule="auto"/>
      </w:pPr>
      <w:r>
        <w:rPr>
          <w:rFonts w:ascii="Times New Roman" w:hAnsi="Times New Roman" w:eastAsia="Times New Roman"/>
          <w:b w:val="0"/>
          <w:i w:val="0"/>
          <w:color w:val="000000"/>
          <w:sz w:val="24"/>
        </w:rPr>
        <w:t>This list contains repository sources only. No external academic literature or institution-specific submission rules are verified in the repository; supplement only with verified sources and required institutional material.</w:t>
      </w:r>
    </w:p>
    <w:p>
      <w:pPr>
        <w:spacing w:after="120" w:line="240" w:lineRule="auto"/>
      </w:pPr>
      <w:r>
        <w:t>Source note: this reference list identifies repository documentation, implementation and evidence; it is not an independently verified academic literature review.</w:t>
      </w:r>
    </w:p>
    <w:sectPr w:rsidR="00FC693F" w:rsidRPr="0006063C" w:rsidSect="00034616">
      <w:footerReference w:type="default" r:id="rId9"/>
      <w:pgSz w:w="11905" w:h="16838"/>
      <w:pgMar w:top="1037" w:right="1080" w:bottom="1037" w:left="1080" w:header="504" w:footer="504" w:gutter="0"/>
      <w:cols w:space="720"/>
      <w:docGrid w:linePitch="360"/>
      <w:pgBorders w:offsetFrom="page" w:display="allPages">
        <w:top w:val="single" w:sz="8" w:space="22" w:color="7A1B2B"/>
        <w:left w:val="single" w:sz="8" w:space="22" w:color="7A1B2B"/>
        <w:bottom w:val="single" w:sz="8" w:space="22" w:color="7A1B2B"/>
        <w:right w:val="single" w:sz="8" w:space="22" w:color="7A1B2B"/>
        <w:top w:val="single" w:sz="5" w:space="22" w:color="000000"/>
        <w:left w:val="single" w:sz="5" w:space="22" w:color="000000"/>
        <w:bottom w:val="single" w:sz="5" w:space="22" w:color="000000"/>
        <w:right w:val="single" w:sz="5" w:space="22" w:color="000000"/>
        <w:top w:val="single" w:sz="5" w:space="22" w:color="000000"/>
        <w:left w:val="single" w:sz="5" w:space="22" w:color="000000"/>
        <w:bottom w:val="single" w:sz="5" w:space="22" w:color="000000"/>
        <w:right w:val="single" w:sz="5" w:space="22" w:color="000000"/>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AdmitFlow Blackbook — Stage 2 Build Draft</dc:title>
  <dc:subject>Intermediate 50-page draft; pending PDF renderer and QA</dc:subject>
  <dc:creator>AdmitFlow project authors</dc:creator>
  <cp:keywords/>
  <dc:description>Not a final submission. Built from repository content and evidence.</dc:description>
  <cp:lastModifiedBy/>
  <cp:revision>1</cp:revision>
  <dcterms:created xsi:type="dcterms:W3CDTF">2013-12-23T23:15:00Z</dcterms:created>
  <dcterms:modified xsi:type="dcterms:W3CDTF">2013-12-23T23:15:00Z</dcterms:modified>
  <cp:category/>
</cp:coreProperties>
</file>