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Release candidate</w:t>
      </w:r>
    </w:p>
    <w:p>
      <w:r>
        <w:t>This is not a filing and not court-safe.</w:t>
      </w:r>
    </w:p>
    <w:p>
      <w:r>
        <w:t>content_hash: sha256:900805d0268323394597b725d73c3d500734afc05cf2e4f7d8e6b544a1017d9d</w:t>
      </w:r>
    </w:p>
    <w:p>
      <w:r>
        <w:t>package_id: a0f3675e-9563-4535-a6be-9e0051090b31</w:t>
      </w:r>
    </w:p>
    <w:p>
      <w:r>
        <w:t>state: release_candidate</w:t>
      </w:r>
    </w:p>
    <w:p>
      <w:r>
        <w:t>filed: false</w:t>
      </w:r>
    </w:p>
    <w:p>
      <w:r>
        <w:t>Omitted: strategy_notes, redteam_runs, todos, review_rationale</w:t>
      </w:r>
    </w:p>
    <w:p>
      <w:pPr>
        <w:pStyle w:val="Heading2"/>
      </w:pPr>
      <w:r>
        <w:t>MOCK Factor (j) — facilitation (test only)</w:t>
      </w:r>
    </w:p>
    <w:p>
      <w:r>
        <w:t>MOCK TEST ROW. Parenting-time exchange occurred at the ordered public location. Replace this with clerk-confirmed facts before filing.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