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tnnvz1u6w1bx" w:id="0"/>
      <w:bookmarkEnd w:id="0"/>
      <w:r w:rsidDel="00000000" w:rsidR="00000000" w:rsidRPr="00000000">
        <w:rPr>
          <w:b w:val="1"/>
          <w:bCs w:val="1"/>
          <w:color w:val="1f1f1f"/>
          <w:sz w:val="46"/>
          <w:szCs w:val="46"/>
          <w:rtl w:val="0"/>
        </w:rPr>
        <w:t xml:space="preserve">Advanced Evidentiary Strategy in Michigan Domestic Relations Litigation: Navigating the Intersection of Digital Privacy, Unauthorized Access, and the Best Interests of the Child</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bnqz261mkvj0" w:id="1"/>
      <w:bookmarkEnd w:id="1"/>
      <w:r w:rsidDel="00000000" w:rsidR="00000000" w:rsidRPr="00000000">
        <w:rPr>
          <w:b w:val="1"/>
          <w:bCs w:val="1"/>
          <w:color w:val="1f1f1f"/>
          <w:sz w:val="34"/>
          <w:szCs w:val="34"/>
          <w:rtl w:val="0"/>
        </w:rPr>
        <w:t xml:space="preserve">1. Executive Introduction: The Convergence of Criminal Prohibitions and Civil Equities</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In the contemporary landscape of Michigan family law, legal practitioners and litigants frequently encounter a volatile intersection where the rapid evolution of digital technology collides with established evidentiary rules and statutory privacy protections. The modern domestic relations case is rarely confined to oral testimony and financial ledgers; rather, it is increasingly defined by a digital footprint—Global Positioning System (GPS) logs, text message histories, cloud-based data archives, and surreptitiously recorded conversations. These digital artifacts often contain the most probative evidence of marital misconduct, domestic violence, or parental unfitness. However, the procurement of this evidence often treads a perilous line between zealous advocacy and criminal liability, particularly when access to devices or accounts is obtained without explicit, contemporaneous consent.</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This report provides an exhaustive analysis of the legal strategies available in complex, high-conflict Michigan divorce and custody cases, specifically addressing "edge cases" where evidence may have been procured through means that are potentially problematic under criminal statutes such as </w:t>
      </w:r>
      <w:r w:rsidDel="00000000" w:rsidR="00000000" w:rsidRPr="00000000">
        <w:rPr>
          <w:b w:val="1"/>
          <w:bCs w:val="1"/>
          <w:color w:val="1f1f1f"/>
          <w:rtl w:val="0"/>
        </w:rPr>
        <w:t xml:space="preserve">MCL 752.795</w:t>
      </w:r>
      <w:r w:rsidDel="00000000" w:rsidR="00000000" w:rsidRPr="00000000">
        <w:rPr>
          <w:color w:val="1f1f1f"/>
          <w:rtl w:val="0"/>
        </w:rPr>
        <w:t xml:space="preserve"> (unauthorized access to computers) or </w:t>
      </w:r>
      <w:r w:rsidDel="00000000" w:rsidR="00000000" w:rsidRPr="00000000">
        <w:rPr>
          <w:b w:val="1"/>
          <w:bCs w:val="1"/>
          <w:color w:val="1f1f1f"/>
          <w:rtl w:val="0"/>
        </w:rPr>
        <w:t xml:space="preserve">MCL 750.539c</w:t>
      </w:r>
      <w:r w:rsidDel="00000000" w:rsidR="00000000" w:rsidRPr="00000000">
        <w:rPr>
          <w:color w:val="1f1f1f"/>
          <w:rtl w:val="0"/>
        </w:rPr>
        <w:t xml:space="preserve"> (eavesdropping). The analysis is rooted in a detailed examination of the Michigan Rules of Evidence (MRE), the Michigan Court Rules (MCR), and controlling case law, including </w:t>
      </w:r>
      <w:r w:rsidDel="00000000" w:rsidR="00000000" w:rsidRPr="00000000">
        <w:rPr>
          <w:i w:val="1"/>
          <w:iCs w:val="1"/>
          <w:color w:val="1f1f1f"/>
          <w:rtl w:val="0"/>
        </w:rPr>
        <w:t xml:space="preserve">People v. Walker</w:t>
      </w:r>
      <w:r w:rsidDel="00000000" w:rsidR="00000000" w:rsidRPr="00000000">
        <w:rPr>
          <w:color w:val="1f1f1f"/>
          <w:rtl w:val="0"/>
        </w:rPr>
        <w:t xml:space="preserve">, </w:t>
      </w:r>
      <w:r w:rsidDel="00000000" w:rsidR="00000000" w:rsidRPr="00000000">
        <w:rPr>
          <w:i w:val="1"/>
          <w:iCs w:val="1"/>
          <w:color w:val="1f1f1f"/>
          <w:rtl w:val="0"/>
        </w:rPr>
        <w:t xml:space="preserve">Sullivan v. Gray</w:t>
      </w:r>
      <w:r w:rsidDel="00000000" w:rsidR="00000000" w:rsidRPr="00000000">
        <w:rPr>
          <w:color w:val="1f1f1f"/>
          <w:rtl w:val="0"/>
        </w:rPr>
        <w:t xml:space="preserve">, and </w:t>
      </w:r>
      <w:r w:rsidDel="00000000" w:rsidR="00000000" w:rsidRPr="00000000">
        <w:rPr>
          <w:i w:val="1"/>
          <w:iCs w:val="1"/>
          <w:color w:val="1f1f1f"/>
          <w:rtl w:val="0"/>
        </w:rPr>
        <w:t xml:space="preserve">Stachnik v. Winkel</w:t>
      </w:r>
      <w:r w:rsidDel="00000000" w:rsidR="00000000" w:rsidRPr="00000000">
        <w:rPr>
          <w:color w:val="1f1f1f"/>
          <w:rtl w:val="0"/>
        </w:rPr>
        <w:t xml:space="preserve">.</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 central thesis of this report is that while Michigan law imposes strict criminal penalties for unauthorized digital intrusion—rejecting a broad spousal exception—the admissibility of such evidence in civil family court proceedings operates under a fundamentally different jurisprudential paradigm. The constitutional "exclusionary rule," designed to deter state actors from Fourth Amendment violations, applies with significantly reduced force, if at all, to private civil litigants. Consequently, the battle over this evidence shifts to the equitable doctrine of "unclean hands" and the statutory mandate of </w:t>
      </w:r>
      <w:r w:rsidDel="00000000" w:rsidR="00000000" w:rsidRPr="00000000">
        <w:rPr>
          <w:b w:val="1"/>
          <w:bCs w:val="1"/>
          <w:color w:val="1f1f1f"/>
          <w:rtl w:val="0"/>
        </w:rPr>
        <w:t xml:space="preserve">MCL 722.23</w:t>
      </w:r>
      <w:r w:rsidDel="00000000" w:rsidR="00000000" w:rsidRPr="00000000">
        <w:rPr>
          <w:color w:val="1f1f1f"/>
          <w:rtl w:val="0"/>
        </w:rPr>
        <w:t xml:space="preserve">, which prioritizes the "best interests of the child" above almost all other considerations. This report delineates how a litigant may argue that the necessity of protecting a child or a victim of domestic violence overrides the equitable penalty of unclean hands, thereby permitting the introduction of technically "tainted" but substantively vital evidence.</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Furthermore, this document serves as a procedural manual for navigating the Friend of the Court (FOC) referee system. It details the specific mechanisms for preserving the record during referee hearings, a critical step that is often mishandled by pro se litigants and inexperienced counsel alike. Without a properly preserved record, the right to a </w:t>
      </w:r>
      <w:r w:rsidDel="00000000" w:rsidR="00000000" w:rsidRPr="00000000">
        <w:rPr>
          <w:i w:val="1"/>
          <w:iCs w:val="1"/>
          <w:color w:val="1f1f1f"/>
          <w:rtl w:val="0"/>
        </w:rPr>
        <w:t xml:space="preserve">de novo</w:t>
      </w:r>
      <w:r w:rsidDel="00000000" w:rsidR="00000000" w:rsidRPr="00000000">
        <w:rPr>
          <w:color w:val="1f1f1f"/>
          <w:rtl w:val="0"/>
        </w:rPr>
        <w:t xml:space="preserve"> judicial hearing—the "second bite at the apple" provided by </w:t>
      </w:r>
      <w:r w:rsidDel="00000000" w:rsidR="00000000" w:rsidRPr="00000000">
        <w:rPr>
          <w:b w:val="1"/>
          <w:bCs w:val="1"/>
          <w:color w:val="1f1f1f"/>
          <w:rtl w:val="0"/>
        </w:rPr>
        <w:t xml:space="preserve">MCL 552.507</w:t>
      </w:r>
      <w:r w:rsidDel="00000000" w:rsidR="00000000" w:rsidRPr="00000000">
        <w:rPr>
          <w:color w:val="1f1f1f"/>
          <w:rtl w:val="0"/>
        </w:rPr>
        <w:t xml:space="preserve">—may be rendered effectively useless. By synthesizing procedural rigor with aggressive evidentiary arguments, this report offers a roadmap for admitting complex digital evidence in the face of intense legal opposition.</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kt3lv05ll5fb" w:id="2"/>
      <w:bookmarkEnd w:id="2"/>
      <w:r w:rsidDel="00000000" w:rsidR="00000000" w:rsidRPr="00000000">
        <w:rPr>
          <w:b w:val="1"/>
          <w:bCs w:val="1"/>
          <w:color w:val="1f1f1f"/>
          <w:sz w:val="34"/>
          <w:szCs w:val="34"/>
          <w:rtl w:val="0"/>
        </w:rPr>
        <w:t xml:space="preserve">2. The Procedural Architecture: Referee Hearings, Preservation of Record, and De Novo Review</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initial staging ground for the vast majority of evidentiary disputes in Michigan domestic relations cases is the Friend of the Court referee hearing. While referees serve as essential judicial adjuncts, their authority is limited by statute and court rule. Understanding the precise scope of a referee's power, and the procedural prerequisites for challenging their findings, is the first line of defense in a messy evidentiary case.</w:t>
      </w:r>
    </w:p>
    <w:p w:rsidR="00000000" w:rsidDel="00000000" w:rsidP="00000000" w:rsidRDefault="00000000" w:rsidRPr="00000000" w14:paraId="0000000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qi5p5wx7stxf" w:id="3"/>
      <w:bookmarkEnd w:id="3"/>
      <w:r w:rsidDel="00000000" w:rsidR="00000000" w:rsidRPr="00000000">
        <w:rPr>
          <w:b w:val="1"/>
          <w:bCs w:val="1"/>
          <w:color w:val="1f1f1f"/>
          <w:sz w:val="26"/>
          <w:szCs w:val="26"/>
          <w:rtl w:val="0"/>
        </w:rPr>
        <w:t xml:space="preserve">2.1. The Statutory Authority and Limitations of the Referee</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f1f1f"/>
          <w:rtl w:val="0"/>
        </w:rPr>
        <w:t xml:space="preserve">Referees in Michigan are not judges; they are hearing officers appointed under the Friend of the Court Act. Their authority is derivative, stemming from </w:t>
      </w:r>
      <w:r w:rsidDel="00000000" w:rsidR="00000000" w:rsidRPr="00000000">
        <w:rPr>
          <w:b w:val="1"/>
          <w:bCs w:val="1"/>
          <w:color w:val="1f1f1f"/>
          <w:rtl w:val="0"/>
        </w:rPr>
        <w:t xml:space="preserve">MCL 552.507</w:t>
      </w:r>
      <w:r w:rsidDel="00000000" w:rsidR="00000000" w:rsidRPr="00000000">
        <w:rPr>
          <w:color w:val="1f1f1f"/>
          <w:rtl w:val="0"/>
        </w:rPr>
        <w:t xml:space="preserve"> and governed procedurally by </w:t>
      </w:r>
      <w:r w:rsidDel="00000000" w:rsidR="00000000" w:rsidRPr="00000000">
        <w:rPr>
          <w:b w:val="1"/>
          <w:bCs w:val="1"/>
          <w:color w:val="1f1f1f"/>
          <w:rtl w:val="0"/>
        </w:rPr>
        <w:t xml:space="preserve">MCR 3.215</w:t>
      </w:r>
      <w:r w:rsidDel="00000000" w:rsidR="00000000" w:rsidRPr="00000000">
        <w:rPr>
          <w:color w:val="1f1f1f"/>
          <w:rtl w:val="0"/>
        </w:rPr>
        <w:t xml:space="preserve">.</w:t>
      </w:r>
      <w:r w:rsidDel="00000000" w:rsidR="00000000" w:rsidRPr="00000000">
        <w:rPr>
          <w:color w:val="444746"/>
          <w:sz w:val="40"/>
          <w:szCs w:val="40"/>
          <w:highlight w:val="white"/>
          <w:vertAlign w:val="superscript"/>
          <w:rtl w:val="0"/>
        </w:rPr>
        <w:t xml:space="preserve">1</w:t>
      </w:r>
      <w:r w:rsidDel="00000000" w:rsidR="00000000" w:rsidRPr="00000000">
        <w:rPr>
          <w:color w:val="1f1f1f"/>
          <w:rtl w:val="0"/>
        </w:rPr>
        <w:t xml:space="preserve"> It is imperative to recognize that a referee does not issue final orders; they issue </w:t>
      </w:r>
      <w:r w:rsidDel="00000000" w:rsidR="00000000" w:rsidRPr="00000000">
        <w:rPr>
          <w:i w:val="1"/>
          <w:iCs w:val="1"/>
          <w:color w:val="1f1f1f"/>
          <w:rtl w:val="0"/>
        </w:rPr>
        <w:t xml:space="preserve">recommendations</w:t>
      </w:r>
      <w:r w:rsidDel="00000000" w:rsidR="00000000" w:rsidRPr="00000000">
        <w:rPr>
          <w:color w:val="1f1f1f"/>
          <w:rtl w:val="0"/>
        </w:rPr>
        <w:t xml:space="preserve">. A referee’s recommendation only becomes a binding order of the court if a circuit court judge signs it, or if neither party files a written objection within the statutory 21-day window.</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This distinction is not merely semantic; it dictates the strategy for evidentiary presentation. Because the referee acts as a fact-finder whose findings are subject to judicial review, the hearing must be treated with the same formality as a circuit court trial. </w:t>
      </w:r>
      <w:r w:rsidDel="00000000" w:rsidR="00000000" w:rsidRPr="00000000">
        <w:rPr>
          <w:b w:val="1"/>
          <w:bCs w:val="1"/>
          <w:color w:val="1f1f1f"/>
          <w:rtl w:val="0"/>
        </w:rPr>
        <w:t xml:space="preserve">MCL 552.507(2)(c)</w:t>
      </w:r>
      <w:r w:rsidDel="00000000" w:rsidR="00000000" w:rsidRPr="00000000">
        <w:rPr>
          <w:color w:val="1f1f1f"/>
          <w:rtl w:val="0"/>
        </w:rPr>
        <w:t xml:space="preserve"> empowers referees to make a written, signed report containing a summary of testimony and a statement of findings.</w:t>
      </w:r>
      <w:r w:rsidDel="00000000" w:rsidR="00000000" w:rsidRPr="00000000">
        <w:rPr>
          <w:color w:val="444746"/>
          <w:sz w:val="40"/>
          <w:szCs w:val="40"/>
          <w:highlight w:val="white"/>
          <w:vertAlign w:val="superscript"/>
          <w:rtl w:val="0"/>
        </w:rPr>
        <w:t xml:space="preserve">1</w:t>
      </w:r>
      <w:r w:rsidDel="00000000" w:rsidR="00000000" w:rsidRPr="00000000">
        <w:rPr>
          <w:color w:val="1f1f1f"/>
          <w:rtl w:val="0"/>
        </w:rPr>
        <w:t xml:space="preserve"> However, unlike a judge, a referee’s evidentiary rulings are provisional in the sense that they can be revisited by the judge during a </w:t>
      </w:r>
      <w:r w:rsidDel="00000000" w:rsidR="00000000" w:rsidRPr="00000000">
        <w:rPr>
          <w:i w:val="1"/>
          <w:iCs w:val="1"/>
          <w:color w:val="1f1f1f"/>
          <w:rtl w:val="0"/>
        </w:rPr>
        <w:t xml:space="preserve">de novo</w:t>
      </w:r>
      <w:r w:rsidDel="00000000" w:rsidR="00000000" w:rsidRPr="00000000">
        <w:rPr>
          <w:color w:val="1f1f1f"/>
          <w:rtl w:val="0"/>
        </w:rPr>
        <w:t xml:space="preserve"> hearing.</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Critically, </w:t>
      </w:r>
      <w:r w:rsidDel="00000000" w:rsidR="00000000" w:rsidRPr="00000000">
        <w:rPr>
          <w:b w:val="1"/>
          <w:bCs w:val="1"/>
          <w:color w:val="1f1f1f"/>
          <w:rtl w:val="0"/>
        </w:rPr>
        <w:t xml:space="preserve">MCR 3.215(D)</w:t>
      </w:r>
      <w:r w:rsidDel="00000000" w:rsidR="00000000" w:rsidRPr="00000000">
        <w:rPr>
          <w:color w:val="1f1f1f"/>
          <w:rtl w:val="0"/>
        </w:rPr>
        <w:t xml:space="preserve"> mandates that a referee </w:t>
      </w:r>
      <w:r w:rsidDel="00000000" w:rsidR="00000000" w:rsidRPr="00000000">
        <w:rPr>
          <w:i w:val="1"/>
          <w:iCs w:val="1"/>
          <w:color w:val="1f1f1f"/>
          <w:rtl w:val="0"/>
        </w:rPr>
        <w:t xml:space="preserve">must</w:t>
      </w:r>
      <w:r w:rsidDel="00000000" w:rsidR="00000000" w:rsidRPr="00000000">
        <w:rPr>
          <w:color w:val="1f1f1f"/>
          <w:rtl w:val="0"/>
        </w:rPr>
        <w:t xml:space="preserve"> make a record of each hearing.</w:t>
      </w:r>
      <w:r w:rsidDel="00000000" w:rsidR="00000000" w:rsidRPr="00000000">
        <w:rPr>
          <w:color w:val="444746"/>
          <w:sz w:val="40"/>
          <w:szCs w:val="40"/>
          <w:highlight w:val="white"/>
          <w:vertAlign w:val="superscript"/>
          <w:rtl w:val="0"/>
        </w:rPr>
        <w:t xml:space="preserve">1</w:t>
      </w:r>
      <w:r w:rsidDel="00000000" w:rsidR="00000000" w:rsidRPr="00000000">
        <w:rPr>
          <w:color w:val="1f1f1f"/>
          <w:rtl w:val="0"/>
        </w:rPr>
        <w:t xml:space="preserve"> This is typically accomplished via audio or video recording equipment. The existence of this record is the linchpin of any future appeal or objection. If the recording equipment fails, or if the referee goes "off the record" to discuss settlement or procedural matters, the litigant loses the ability to prove what transpired. Therefore, a litigant must be vigilant in ensuring that all substantive interactions—especially rulings excluding evidence—are captured on the record.</w:t>
      </w:r>
    </w:p>
    <w:p w:rsidR="00000000" w:rsidDel="00000000" w:rsidP="00000000" w:rsidRDefault="00000000" w:rsidRPr="00000000" w14:paraId="0000000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5ztx3xh8lwl4" w:id="4"/>
      <w:bookmarkEnd w:id="4"/>
      <w:r w:rsidDel="00000000" w:rsidR="00000000" w:rsidRPr="00000000">
        <w:rPr>
          <w:b w:val="1"/>
          <w:bCs w:val="1"/>
          <w:color w:val="1f1f1f"/>
          <w:sz w:val="26"/>
          <w:szCs w:val="26"/>
          <w:rtl w:val="0"/>
        </w:rPr>
        <w:t xml:space="preserve">2.2. The Imperative of Preserving the Record</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In complex cases involving "edge case" evidence—such as GPS logs or hacked text messages—referees often default to excluding the evidence to avoid potential legal complications or lengthy foundational arguments. This is where the case is often lost. If a referee excludes a piece of evidence and the litigant accepts the ruling without further action, the issue is arguably waived for the purposes of the </w:t>
      </w:r>
      <w:r w:rsidDel="00000000" w:rsidR="00000000" w:rsidRPr="00000000">
        <w:rPr>
          <w:i w:val="1"/>
          <w:iCs w:val="1"/>
          <w:color w:val="1f1f1f"/>
          <w:rtl w:val="0"/>
        </w:rPr>
        <w:t xml:space="preserve">de novo</w:t>
      </w:r>
      <w:r w:rsidDel="00000000" w:rsidR="00000000" w:rsidRPr="00000000">
        <w:rPr>
          <w:color w:val="1f1f1f"/>
          <w:rtl w:val="0"/>
        </w:rPr>
        <w:t xml:space="preserve"> hearing.</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To preserve the record for the circuit court judge, the litigant must utilize the </w:t>
      </w:r>
      <w:r w:rsidDel="00000000" w:rsidR="00000000" w:rsidRPr="00000000">
        <w:rPr>
          <w:b w:val="1"/>
          <w:bCs w:val="1"/>
          <w:color w:val="1f1f1f"/>
          <w:rtl w:val="0"/>
        </w:rPr>
        <w:t xml:space="preserve">Offer of Proof</w:t>
      </w:r>
      <w:r w:rsidDel="00000000" w:rsidR="00000000" w:rsidRPr="00000000">
        <w:rPr>
          <w:color w:val="1f1f1f"/>
          <w:rtl w:val="0"/>
        </w:rPr>
        <w:t xml:space="preserve"> pursuant to </w:t>
      </w:r>
      <w:r w:rsidDel="00000000" w:rsidR="00000000" w:rsidRPr="00000000">
        <w:rPr>
          <w:b w:val="1"/>
          <w:bCs w:val="1"/>
          <w:color w:val="1f1f1f"/>
          <w:rtl w:val="0"/>
        </w:rPr>
        <w:t xml:space="preserve">MRE 103(a)(2)</w:t>
      </w:r>
      <w:r w:rsidDel="00000000" w:rsidR="00000000" w:rsidRPr="00000000">
        <w:rPr>
          <w:color w:val="1f1f1f"/>
          <w:rtl w:val="0"/>
        </w:rPr>
        <w:t xml:space="preserve">.</w:t>
      </w:r>
      <w:r w:rsidDel="00000000" w:rsidR="00000000" w:rsidRPr="00000000">
        <w:rPr>
          <w:color w:val="444746"/>
          <w:sz w:val="40"/>
          <w:szCs w:val="40"/>
          <w:highlight w:val="white"/>
          <w:vertAlign w:val="superscript"/>
          <w:rtl w:val="0"/>
        </w:rPr>
        <w:t xml:space="preserve">3</w:t>
      </w:r>
      <w:r w:rsidDel="00000000" w:rsidR="00000000" w:rsidRPr="00000000">
        <w:rPr>
          <w:color w:val="1f1f1f"/>
          <w:rtl w:val="0"/>
        </w:rPr>
        <w:t xml:space="preserve"> The rule explicitly states that error may not be predicated upon a ruling which excludes evidence unless a substantial right of the party is affected </w:t>
      </w:r>
      <w:r w:rsidDel="00000000" w:rsidR="00000000" w:rsidRPr="00000000">
        <w:rPr>
          <w:i w:val="1"/>
          <w:iCs w:val="1"/>
          <w:color w:val="1f1f1f"/>
          <w:rtl w:val="0"/>
        </w:rPr>
        <w:t xml:space="preserve">and</w:t>
      </w:r>
      <w:r w:rsidDel="00000000" w:rsidR="00000000" w:rsidRPr="00000000">
        <w:rPr>
          <w:color w:val="1f1f1f"/>
          <w:rtl w:val="0"/>
        </w:rPr>
        <w:t xml:space="preserve"> the substance of the evidence was made known to the court by offer or was apparent from the context.</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In the context of a referee hearing, an Offer of Proof serves two functions: first, it places the content of the excluded evidence into the record so the judge can review it later; second, it forces the referee to articulate the specific legal basis for exclusion, which provides a target for the objection.</w:t>
      </w:r>
    </w:p>
    <w:p w:rsidR="00000000" w:rsidDel="00000000" w:rsidP="00000000" w:rsidRDefault="00000000" w:rsidRPr="00000000" w14:paraId="00000012">
      <w:pPr>
        <w:pBdr>
          <w:top w:color="auto" w:space="0" w:sz="0" w:val="none"/>
          <w:bottom w:color="auto" w:space="0" w:sz="0" w:val="none"/>
          <w:between w:color="auto" w:space="0" w:sz="0" w:val="none"/>
        </w:pBdr>
        <w:spacing w:after="240" w:lineRule="auto"/>
        <w:rPr/>
      </w:pPr>
      <w:r w:rsidDel="00000000" w:rsidR="00000000" w:rsidRPr="00000000">
        <w:rPr>
          <w:rtl w:val="0"/>
        </w:rPr>
        <w:t xml:space="preserve">Practical Application of the Offer of Proof:</w:t>
      </w:r>
    </w:p>
    <w:p w:rsidR="00000000" w:rsidDel="00000000" w:rsidP="00000000" w:rsidRDefault="00000000" w:rsidRPr="00000000" w14:paraId="00000013">
      <w:pPr>
        <w:pBdr>
          <w:top w:color="auto" w:space="0" w:sz="0" w:val="none"/>
          <w:bottom w:color="auto" w:space="0" w:sz="0" w:val="none"/>
          <w:between w:color="auto" w:space="0" w:sz="0" w:val="none"/>
        </w:pBdr>
        <w:spacing w:after="240" w:lineRule="auto"/>
        <w:rPr/>
      </w:pPr>
      <w:r w:rsidDel="00000000" w:rsidR="00000000" w:rsidRPr="00000000">
        <w:rPr>
          <w:rtl w:val="0"/>
        </w:rPr>
        <w:t xml:space="preserve">When a referee sustains an objection to the admission of GPS data on the grounds of hearsay or lack of foundation, the litigant must not simply move on. Instead, the litigant should state: "Your Honor, legal exception noted. However, for the purpose of preserving the record for potential judicial review, I would like to make an offer of proof. If Exhibit A had been admitted, it would have shown that the Defendant's device was located at at, which directly contradicts their sworn testimony. I ask that this Exhibit be marked and held by the court as a 'proposed but denied' exhibit."</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By marking the exhibit and describing its contents on the record, the litigant ensures that the circuit court judge, upon reviewing the transcript or video, can see exactly what was excluded. Without this step, the judge acts in a vacuum, unable to determine if the exclusion was harmless error or a miscarriage of justice.</w:t>
      </w:r>
    </w:p>
    <w:p w:rsidR="00000000" w:rsidDel="00000000" w:rsidP="00000000" w:rsidRDefault="00000000" w:rsidRPr="00000000" w14:paraId="0000001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fzkk5edlxsbx" w:id="5"/>
      <w:bookmarkEnd w:id="5"/>
      <w:r w:rsidDel="00000000" w:rsidR="00000000" w:rsidRPr="00000000">
        <w:rPr>
          <w:b w:val="1"/>
          <w:bCs w:val="1"/>
          <w:color w:val="1f1f1f"/>
          <w:sz w:val="26"/>
          <w:szCs w:val="26"/>
          <w:rtl w:val="0"/>
        </w:rPr>
        <w:t xml:space="preserve">2.3. The De Novo Hearing: Strategic Reset and the "21-Day Rule"</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f1f1f"/>
          <w:rtl w:val="0"/>
        </w:rPr>
        <w:t xml:space="preserve">The right to a judicial hearing </w:t>
      </w:r>
      <w:r w:rsidDel="00000000" w:rsidR="00000000" w:rsidRPr="00000000">
        <w:rPr>
          <w:i w:val="1"/>
          <w:iCs w:val="1"/>
          <w:color w:val="1f1f1f"/>
          <w:rtl w:val="0"/>
        </w:rPr>
        <w:t xml:space="preserve">de novo</w:t>
      </w:r>
      <w:r w:rsidDel="00000000" w:rsidR="00000000" w:rsidRPr="00000000">
        <w:rPr>
          <w:color w:val="1f1f1f"/>
          <w:rtl w:val="0"/>
        </w:rPr>
        <w:t xml:space="preserve"> is the statutory safety valve of the referee system. </w:t>
      </w:r>
      <w:r w:rsidDel="00000000" w:rsidR="00000000" w:rsidRPr="00000000">
        <w:rPr>
          <w:b w:val="1"/>
          <w:bCs w:val="1"/>
          <w:color w:val="1f1f1f"/>
          <w:rtl w:val="0"/>
        </w:rPr>
        <w:t xml:space="preserve">MCL 552.507(4)</w:t>
      </w:r>
      <w:r w:rsidDel="00000000" w:rsidR="00000000" w:rsidRPr="00000000">
        <w:rPr>
          <w:color w:val="1f1f1f"/>
          <w:rtl w:val="0"/>
        </w:rPr>
        <w:t xml:space="preserve"> provides that the court "shall hold a de novo hearing on any matter that has been the subject of a referee hearing, upon the written request of either party or upon motion of the court".</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17">
      <w:pPr>
        <w:pBdr>
          <w:top w:color="auto" w:space="0" w:sz="0" w:val="none"/>
          <w:bottom w:color="auto" w:space="0" w:sz="0" w:val="none"/>
          <w:between w:color="auto" w:space="0" w:sz="0" w:val="none"/>
        </w:pBdr>
        <w:spacing w:after="240" w:lineRule="auto"/>
        <w:rPr/>
      </w:pPr>
      <w:r w:rsidDel="00000000" w:rsidR="00000000" w:rsidRPr="00000000">
        <w:rPr>
          <w:rtl w:val="0"/>
        </w:rPr>
        <w:t xml:space="preserve">The Strict Jurisdictional Deadline:</w:t>
      </w:r>
    </w:p>
    <w:p w:rsidR="00000000" w:rsidDel="00000000" w:rsidP="00000000" w:rsidRDefault="00000000" w:rsidRPr="00000000" w14:paraId="00000018">
      <w:pPr>
        <w:pBdr>
          <w:top w:color="auto" w:space="0" w:sz="0" w:val="none"/>
          <w:bottom w:color="auto" w:space="0" w:sz="0" w:val="none"/>
          <w:between w:color="auto" w:space="0" w:sz="0" w:val="none"/>
        </w:pBdr>
        <w:spacing w:after="240" w:lineRule="auto"/>
        <w:rPr/>
      </w:pPr>
      <w:r w:rsidDel="00000000" w:rsidR="00000000" w:rsidRPr="00000000">
        <w:rPr>
          <w:rtl w:val="0"/>
        </w:rPr>
        <w:t xml:space="preserve">The request for a de novo hearing must be made within 21 days after the recommendation of the referee is made available to the party.1 This deadline is strictly enforced. Failure to file the objection within 21 days results in the referee's recommendation becoming a final order (provided the judge signs it), and the right to object is waived. The objection must be in writing and must be specific. Broad, generalized objections such as "I disagree with the outcome" are insufficient and may be dismissed without a hearing. The objection should cite specific findings of fact (e.g., "The referee erred in finding the GPS data was unreliable") and conclusions of law (e.g., "The referee erred in applying the hearsay rule to machine-generated data").2</w:t>
      </w:r>
    </w:p>
    <w:p w:rsidR="00000000" w:rsidDel="00000000" w:rsidP="00000000" w:rsidRDefault="00000000" w:rsidRPr="00000000" w14:paraId="00000019">
      <w:pPr>
        <w:pBdr>
          <w:top w:color="auto" w:space="0" w:sz="0" w:val="none"/>
          <w:bottom w:color="auto" w:space="0" w:sz="0" w:val="none"/>
          <w:between w:color="auto" w:space="0" w:sz="0" w:val="none"/>
        </w:pBdr>
        <w:spacing w:after="240" w:lineRule="auto"/>
        <w:rPr/>
      </w:pPr>
      <w:r w:rsidDel="00000000" w:rsidR="00000000" w:rsidRPr="00000000">
        <w:rPr>
          <w:rtl w:val="0"/>
        </w:rPr>
        <w:t xml:space="preserve">The Scope of the Review:</w:t>
      </w:r>
    </w:p>
    <w:p w:rsidR="00000000" w:rsidDel="00000000" w:rsidP="00000000" w:rsidRDefault="00000000" w:rsidRPr="00000000" w14:paraId="0000001A">
      <w:pPr>
        <w:pBdr>
          <w:top w:color="auto" w:space="0" w:sz="0" w:val="none"/>
          <w:bottom w:color="auto" w:space="0" w:sz="0" w:val="none"/>
          <w:between w:color="auto" w:space="0" w:sz="0" w:val="none"/>
        </w:pBdr>
        <w:spacing w:after="240" w:lineRule="auto"/>
        <w:rPr/>
      </w:pPr>
      <w:r w:rsidDel="00000000" w:rsidR="00000000" w:rsidRPr="00000000">
        <w:rPr>
          <w:rtl w:val="0"/>
        </w:rPr>
        <w:t xml:space="preserve">The term de novo implies a fresh look, where the judge may substitute their judgment for that of the referee. However, MCL 552.507(6) grants the court significant discretion in how that hearing is conducted.1 The court is not necessarily required to conduct a completely new trial with live witnesses. The statute allows the court to conduct the hearing in one of three ways:</w:t>
      </w:r>
    </w:p>
    <w:p w:rsidR="00000000" w:rsidDel="00000000" w:rsidP="00000000" w:rsidRDefault="00000000" w:rsidRPr="00000000" w14:paraId="0000001B">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Record Review:</w:t>
      </w:r>
      <w:r w:rsidDel="00000000" w:rsidR="00000000" w:rsidRPr="00000000">
        <w:rPr>
          <w:color w:val="1f1f1f"/>
          <w:rtl w:val="0"/>
        </w:rPr>
        <w:t xml:space="preserve"> A new decision based entirely on the record of the referee hearing (transcripts and exhibits).</w:t>
      </w:r>
    </w:p>
    <w:p w:rsidR="00000000" w:rsidDel="00000000" w:rsidP="00000000" w:rsidRDefault="00000000" w:rsidRPr="00000000" w14:paraId="0000001C">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Live Hearing:</w:t>
      </w:r>
      <w:r w:rsidDel="00000000" w:rsidR="00000000" w:rsidRPr="00000000">
        <w:rPr>
          <w:color w:val="1f1f1f"/>
          <w:rtl w:val="0"/>
        </w:rPr>
        <w:t xml:space="preserve"> A new decision based only on evidence presented at the time of the </w:t>
      </w:r>
      <w:r w:rsidDel="00000000" w:rsidR="00000000" w:rsidRPr="00000000">
        <w:rPr>
          <w:i w:val="1"/>
          <w:iCs w:val="1"/>
          <w:color w:val="1f1f1f"/>
          <w:rtl w:val="0"/>
        </w:rPr>
        <w:t xml:space="preserve">de novo</w:t>
      </w:r>
      <w:r w:rsidDel="00000000" w:rsidR="00000000" w:rsidRPr="00000000">
        <w:rPr>
          <w:color w:val="1f1f1f"/>
          <w:rtl w:val="0"/>
        </w:rPr>
        <w:t xml:space="preserve"> hearing.</w:t>
      </w:r>
    </w:p>
    <w:p w:rsidR="00000000" w:rsidDel="00000000" w:rsidP="00000000" w:rsidRDefault="00000000" w:rsidRPr="00000000" w14:paraId="0000001D">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Hybrid Approach:</w:t>
      </w:r>
      <w:r w:rsidDel="00000000" w:rsidR="00000000" w:rsidRPr="00000000">
        <w:rPr>
          <w:color w:val="1f1f1f"/>
          <w:rtl w:val="0"/>
        </w:rPr>
        <w:t xml:space="preserve"> A new decision based in part on the referee record and supplemented by new evidence.</w:t>
      </w:r>
    </w:p>
    <w:p w:rsidR="00000000" w:rsidDel="00000000" w:rsidP="00000000" w:rsidRDefault="00000000" w:rsidRPr="00000000" w14:paraId="0000001E">
      <w:pPr>
        <w:pBdr>
          <w:top w:color="auto" w:space="0" w:sz="0" w:val="none"/>
          <w:bottom w:color="auto" w:space="0" w:sz="0" w:val="none"/>
          <w:between w:color="auto" w:space="0" w:sz="0" w:val="none"/>
        </w:pBdr>
        <w:spacing w:after="240" w:lineRule="auto"/>
        <w:rPr/>
      </w:pPr>
      <w:r w:rsidDel="00000000" w:rsidR="00000000" w:rsidRPr="00000000">
        <w:rPr>
          <w:rtl w:val="0"/>
        </w:rPr>
        <w:t xml:space="preserve">Strategic Edge Case: Introducing "New" Evidence:</w:t>
      </w:r>
    </w:p>
    <w:p w:rsidR="00000000" w:rsidDel="00000000" w:rsidP="00000000" w:rsidRDefault="00000000" w:rsidRPr="00000000" w14:paraId="0000001F">
      <w:pPr>
        <w:pBdr>
          <w:top w:color="auto" w:space="0" w:sz="0" w:val="none"/>
          <w:bottom w:color="auto" w:space="0" w:sz="0" w:val="none"/>
          <w:between w:color="auto" w:space="0" w:sz="0" w:val="none"/>
        </w:pBdr>
        <w:spacing w:after="240" w:lineRule="auto"/>
        <w:rPr/>
      </w:pPr>
      <w:r w:rsidDel="00000000" w:rsidR="00000000" w:rsidRPr="00000000">
        <w:rPr>
          <w:rtl w:val="0"/>
        </w:rPr>
        <w:t xml:space="preserve">Crucially for cases involving complex digital evidence, MCL 552.507(6)(c) allows the record to be "supplemented by evidence that was not introduced at a previous hearing." This provision is the strategic key for correcting evidentiary missteps made at the referee level. If the referee excluded GPS data because the foundation was messy, the litigant can use the de novo objection to argue that the complexity of the evidence requires a judicial determination and that they are prepared to offer additional foundational testimony—perhaps an expert or a more detailed affidavit—that was not available or not permitted during the expedited referee hearing.</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f1f1f"/>
          <w:rtl w:val="0"/>
        </w:rPr>
        <w:t xml:space="preserve">The burden is on the objecting party to show that they were not given a "full opportunity to present and preserve important evidence" at the referee stage (</w:t>
      </w:r>
      <w:r w:rsidDel="00000000" w:rsidR="00000000" w:rsidRPr="00000000">
        <w:rPr>
          <w:b w:val="1"/>
          <w:bCs w:val="1"/>
          <w:color w:val="1f1f1f"/>
          <w:rtl w:val="0"/>
        </w:rPr>
        <w:t xml:space="preserve">MCL 552.507(5)(a)</w:t>
      </w:r>
      <w:r w:rsidDel="00000000" w:rsidR="00000000" w:rsidRPr="00000000">
        <w:rPr>
          <w:color w:val="1f1f1f"/>
          <w:rtl w:val="0"/>
        </w:rPr>
        <w:t xml:space="preserve">). If the referee rushed the hearing or refused to allow a witness to testify fully, this constitutes a failure of the "full opportunity" standard, mandating a broader </w:t>
      </w:r>
      <w:r w:rsidDel="00000000" w:rsidR="00000000" w:rsidRPr="00000000">
        <w:rPr>
          <w:i w:val="1"/>
          <w:iCs w:val="1"/>
          <w:color w:val="1f1f1f"/>
          <w:rtl w:val="0"/>
        </w:rPr>
        <w:t xml:space="preserve">de novo</w:t>
      </w:r>
      <w:r w:rsidDel="00000000" w:rsidR="00000000" w:rsidRPr="00000000">
        <w:rPr>
          <w:color w:val="1f1f1f"/>
          <w:rtl w:val="0"/>
        </w:rPr>
        <w:t xml:space="preserve"> review where the evidence can be properly introduced.</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2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rmzals7fasoy" w:id="6"/>
      <w:bookmarkEnd w:id="6"/>
      <w:r w:rsidDel="00000000" w:rsidR="00000000" w:rsidRPr="00000000">
        <w:rPr>
          <w:b w:val="1"/>
          <w:bCs w:val="1"/>
          <w:color w:val="1f1f1f"/>
          <w:sz w:val="26"/>
          <w:szCs w:val="26"/>
          <w:rtl w:val="0"/>
        </w:rPr>
        <w:t xml:space="preserve">2.4. Procedural Checklist for Referee Hearings</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To ensure the record is preserved and the </w:t>
      </w:r>
      <w:r w:rsidDel="00000000" w:rsidR="00000000" w:rsidRPr="00000000">
        <w:rPr>
          <w:i w:val="1"/>
          <w:iCs w:val="1"/>
          <w:color w:val="1f1f1f"/>
          <w:rtl w:val="0"/>
        </w:rPr>
        <w:t xml:space="preserve">de novo</w:t>
      </w:r>
      <w:r w:rsidDel="00000000" w:rsidR="00000000" w:rsidRPr="00000000">
        <w:rPr>
          <w:color w:val="1f1f1f"/>
          <w:rtl w:val="0"/>
        </w:rPr>
        <w:t xml:space="preserve"> right is protected, litigants should adhere to the following procedural workflow:</w:t>
      </w:r>
    </w:p>
    <w:tbl>
      <w:tblPr>
        <w:tblStyle w:val="Table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1710"/>
        <w:gridCol w:w="5055"/>
        <w:tblGridChange w:id="0">
          <w:tblGrid>
            <w:gridCol w:w="2025"/>
            <w:gridCol w:w="1710"/>
            <w:gridCol w:w="5055"/>
          </w:tblGrid>
        </w:tblGridChange>
      </w:tblGrid>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spacing w:after="480" w:lineRule="auto"/>
              <w:rPr>
                <w:color w:val="1f1f1f"/>
              </w:rPr>
            </w:pPr>
            <w:r w:rsidDel="00000000" w:rsidR="00000000" w:rsidRPr="00000000">
              <w:rPr>
                <w:b w:val="1"/>
                <w:bCs w:val="1"/>
                <w:color w:val="1f1f1f"/>
                <w:rtl w:val="0"/>
              </w:rPr>
              <w:t xml:space="preserve">Procedural Step</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spacing w:after="480" w:lineRule="auto"/>
              <w:rPr>
                <w:color w:val="1f1f1f"/>
              </w:rPr>
            </w:pPr>
            <w:r w:rsidDel="00000000" w:rsidR="00000000" w:rsidRPr="00000000">
              <w:rPr>
                <w:b w:val="1"/>
                <w:bCs w:val="1"/>
                <w:color w:val="1f1f1f"/>
                <w:rtl w:val="0"/>
              </w:rPr>
              <w:t xml:space="preserve">Statutory Basis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spacing w:after="480" w:lineRule="auto"/>
              <w:rPr>
                <w:color w:val="1f1f1f"/>
              </w:rPr>
            </w:pPr>
            <w:r w:rsidDel="00000000" w:rsidR="00000000" w:rsidRPr="00000000">
              <w:rPr>
                <w:b w:val="1"/>
                <w:bCs w:val="1"/>
                <w:color w:val="1f1f1f"/>
                <w:rtl w:val="0"/>
              </w:rPr>
              <w:t xml:space="preserve">Strategic Action</w:t>
            </w:r>
            <w:r w:rsidDel="00000000" w:rsidR="00000000" w:rsidRPr="00000000">
              <w:rPr>
                <w:rtl w:val="0"/>
              </w:rPr>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spacing w:after="480" w:lineRule="auto"/>
              <w:rPr>
                <w:color w:val="1f1f1f"/>
              </w:rPr>
            </w:pPr>
            <w:r w:rsidDel="00000000" w:rsidR="00000000" w:rsidRPr="00000000">
              <w:rPr>
                <w:b w:val="1"/>
                <w:bCs w:val="1"/>
                <w:color w:val="1f1f1f"/>
                <w:rtl w:val="0"/>
              </w:rPr>
              <w:t xml:space="preserve">Pre-Hearing Disclosure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spacing w:after="480" w:lineRule="auto"/>
              <w:rPr>
                <w:color w:val="1f1f1f"/>
              </w:rPr>
            </w:pPr>
            <w:r w:rsidDel="00000000" w:rsidR="00000000" w:rsidRPr="00000000">
              <w:rPr>
                <w:b w:val="1"/>
                <w:bCs w:val="1"/>
                <w:color w:val="1f1f1f"/>
                <w:rtl w:val="0"/>
              </w:rPr>
              <w:t xml:space="preserve">MCR 3.215</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spacing w:after="480" w:lineRule="auto"/>
              <w:rPr>
                <w:color w:val="1f1f1f"/>
              </w:rPr>
            </w:pPr>
            <w:r w:rsidDel="00000000" w:rsidR="00000000" w:rsidRPr="00000000">
              <w:rPr>
                <w:color w:val="1f1f1f"/>
                <w:rtl w:val="0"/>
              </w:rPr>
              <w:t xml:space="preserve">Exchange exhibits at least 48 hours in advance (or as per local rule). Failure to disclose is a primary ground for exclusion.</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spacing w:after="480" w:lineRule="auto"/>
              <w:rPr>
                <w:color w:val="1f1f1f"/>
              </w:rPr>
            </w:pPr>
            <w:r w:rsidDel="00000000" w:rsidR="00000000" w:rsidRPr="00000000">
              <w:rPr>
                <w:b w:val="1"/>
                <w:bCs w:val="1"/>
                <w:color w:val="1f1f1f"/>
                <w:rtl w:val="0"/>
              </w:rPr>
              <w:t xml:space="preserve">Record Verification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spacing w:after="480" w:lineRule="auto"/>
              <w:rPr>
                <w:color w:val="1f1f1f"/>
              </w:rPr>
            </w:pPr>
            <w:r w:rsidDel="00000000" w:rsidR="00000000" w:rsidRPr="00000000">
              <w:rPr>
                <w:b w:val="1"/>
                <w:bCs w:val="1"/>
                <w:color w:val="1f1f1f"/>
                <w:rtl w:val="0"/>
              </w:rPr>
              <w:t xml:space="preserve">MCR 3.215(D)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spacing w:after="480" w:lineRule="auto"/>
              <w:rPr>
                <w:color w:val="1f1f1f"/>
              </w:rPr>
            </w:pPr>
            <w:r w:rsidDel="00000000" w:rsidR="00000000" w:rsidRPr="00000000">
              <w:rPr>
                <w:color w:val="1f1f1f"/>
                <w:rtl w:val="0"/>
              </w:rPr>
              <w:t xml:space="preserve">At the start of the hearing, verbally confirm on the record that the proceedings are being recorded.</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spacing w:after="480" w:lineRule="auto"/>
              <w:rPr>
                <w:color w:val="1f1f1f"/>
              </w:rPr>
            </w:pPr>
            <w:r w:rsidDel="00000000" w:rsidR="00000000" w:rsidRPr="00000000">
              <w:rPr>
                <w:b w:val="1"/>
                <w:bCs w:val="1"/>
                <w:color w:val="1f1f1f"/>
                <w:rtl w:val="0"/>
              </w:rPr>
              <w:t xml:space="preserve">Marking Exhibits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spacing w:after="480" w:lineRule="auto"/>
              <w:rPr>
                <w:color w:val="1f1f1f"/>
              </w:rPr>
            </w:pPr>
            <w:r w:rsidDel="00000000" w:rsidR="00000000" w:rsidRPr="00000000">
              <w:rPr>
                <w:b w:val="1"/>
                <w:bCs w:val="1"/>
                <w:color w:val="1f1f1f"/>
                <w:rtl w:val="0"/>
              </w:rPr>
              <w:t xml:space="preserve">MRE 103</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spacing w:after="480" w:lineRule="auto"/>
              <w:rPr>
                <w:color w:val="1f1f1f"/>
              </w:rPr>
            </w:pPr>
            <w:r w:rsidDel="00000000" w:rsidR="00000000" w:rsidRPr="00000000">
              <w:rPr>
                <w:color w:val="1f1f1f"/>
                <w:rtl w:val="0"/>
              </w:rPr>
              <w:t xml:space="preserve">Request that </w:t>
            </w:r>
            <w:r w:rsidDel="00000000" w:rsidR="00000000" w:rsidRPr="00000000">
              <w:rPr>
                <w:i w:val="1"/>
                <w:iCs w:val="1"/>
                <w:color w:val="1f1f1f"/>
                <w:rtl w:val="0"/>
              </w:rPr>
              <w:t xml:space="preserve">all</w:t>
            </w:r>
            <w:r w:rsidDel="00000000" w:rsidR="00000000" w:rsidRPr="00000000">
              <w:rPr>
                <w:color w:val="1f1f1f"/>
                <w:rtl w:val="0"/>
              </w:rPr>
              <w:t xml:space="preserve"> documents be marked for identification, even if the other side objects to their admission.</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spacing w:after="480" w:lineRule="auto"/>
              <w:rPr>
                <w:color w:val="1f1f1f"/>
              </w:rPr>
            </w:pPr>
            <w:r w:rsidDel="00000000" w:rsidR="00000000" w:rsidRPr="00000000">
              <w:rPr>
                <w:b w:val="1"/>
                <w:bCs w:val="1"/>
                <w:color w:val="1f1f1f"/>
                <w:rtl w:val="0"/>
              </w:rPr>
              <w:t xml:space="preserve">Offer of Proof</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spacing w:after="480" w:lineRule="auto"/>
              <w:rPr>
                <w:color w:val="1f1f1f"/>
              </w:rPr>
            </w:pPr>
            <w:r w:rsidDel="00000000" w:rsidR="00000000" w:rsidRPr="00000000">
              <w:rPr>
                <w:b w:val="1"/>
                <w:bCs w:val="1"/>
                <w:color w:val="1f1f1f"/>
                <w:rtl w:val="0"/>
              </w:rPr>
              <w:t xml:space="preserve">MRE 103(a)(2)</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spacing w:after="480" w:lineRule="auto"/>
              <w:rPr>
                <w:color w:val="1f1f1f"/>
              </w:rPr>
            </w:pPr>
            <w:r w:rsidDel="00000000" w:rsidR="00000000" w:rsidRPr="00000000">
              <w:rPr>
                <w:color w:val="1f1f1f"/>
                <w:rtl w:val="0"/>
              </w:rPr>
              <w:t xml:space="preserve">If evidence is excluded, dictate onto the record exactly what that evidence would have proven.</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spacing w:after="480" w:lineRule="auto"/>
              <w:rPr>
                <w:color w:val="1f1f1f"/>
              </w:rPr>
            </w:pPr>
            <w:r w:rsidDel="00000000" w:rsidR="00000000" w:rsidRPr="00000000">
              <w:rPr>
                <w:b w:val="1"/>
                <w:bCs w:val="1"/>
                <w:color w:val="1f1f1f"/>
                <w:rtl w:val="0"/>
              </w:rPr>
              <w:t xml:space="preserve">Request for Transcript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spacing w:after="480" w:lineRule="auto"/>
              <w:rPr>
                <w:color w:val="1f1f1f"/>
              </w:rPr>
            </w:pPr>
            <w:r w:rsidDel="00000000" w:rsidR="00000000" w:rsidRPr="00000000">
              <w:rPr>
                <w:b w:val="1"/>
                <w:bCs w:val="1"/>
                <w:color w:val="1f1f1f"/>
                <w:rtl w:val="0"/>
              </w:rPr>
              <w:t xml:space="preserve">MCL 552.507(3)</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spacing w:after="480" w:lineRule="auto"/>
              <w:rPr>
                <w:color w:val="1f1f1f"/>
              </w:rPr>
            </w:pPr>
            <w:r w:rsidDel="00000000" w:rsidR="00000000" w:rsidRPr="00000000">
              <w:rPr>
                <w:color w:val="1f1f1f"/>
                <w:rtl w:val="0"/>
              </w:rPr>
              <w:t xml:space="preserve">Immediately upon receiving an unfavorable recommendation, order the transcript. This is often required for the objection.</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spacing w:after="480" w:lineRule="auto"/>
              <w:rPr>
                <w:color w:val="1f1f1f"/>
              </w:rPr>
            </w:pPr>
            <w:r w:rsidDel="00000000" w:rsidR="00000000" w:rsidRPr="00000000">
              <w:rPr>
                <w:b w:val="1"/>
                <w:bCs w:val="1"/>
                <w:color w:val="1f1f1f"/>
                <w:rtl w:val="0"/>
              </w:rPr>
              <w:t xml:space="preserve">Filing Objection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spacing w:after="480" w:lineRule="auto"/>
              <w:rPr>
                <w:color w:val="1f1f1f"/>
              </w:rPr>
            </w:pPr>
            <w:r w:rsidDel="00000000" w:rsidR="00000000" w:rsidRPr="00000000">
              <w:rPr>
                <w:b w:val="1"/>
                <w:bCs w:val="1"/>
                <w:color w:val="1f1f1f"/>
                <w:rtl w:val="0"/>
              </w:rPr>
              <w:t xml:space="preserve">MCL 552.507(4)</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spacing w:after="480" w:lineRule="auto"/>
              <w:rPr>
                <w:color w:val="1f1f1f"/>
              </w:rPr>
            </w:pPr>
            <w:r w:rsidDel="00000000" w:rsidR="00000000" w:rsidRPr="00000000">
              <w:rPr>
                <w:color w:val="1f1f1f"/>
                <w:rtl w:val="0"/>
              </w:rPr>
              <w:t xml:space="preserve">File written objection within </w:t>
            </w:r>
            <w:r w:rsidDel="00000000" w:rsidR="00000000" w:rsidRPr="00000000">
              <w:rPr>
                <w:b w:val="1"/>
                <w:bCs w:val="1"/>
                <w:color w:val="1f1f1f"/>
                <w:rtl w:val="0"/>
              </w:rPr>
              <w:t xml:space="preserve">21 days</w:t>
            </w:r>
            <w:r w:rsidDel="00000000" w:rsidR="00000000" w:rsidRPr="00000000">
              <w:rPr>
                <w:color w:val="1f1f1f"/>
                <w:rtl w:val="0"/>
              </w:rPr>
              <w:t xml:space="preserve">. Be specific about evidentiary errors (e.g., "Referee erred in excluding Exhibit A").</w:t>
            </w:r>
          </w:p>
        </w:tc>
      </w:tr>
    </w:tbl>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gu78rxiaghpc" w:id="7"/>
      <w:bookmarkEnd w:id="7"/>
      <w:r w:rsidDel="00000000" w:rsidR="00000000" w:rsidRPr="00000000">
        <w:rPr>
          <w:b w:val="1"/>
          <w:bCs w:val="1"/>
          <w:color w:val="1f1f1f"/>
          <w:sz w:val="34"/>
          <w:szCs w:val="34"/>
          <w:rtl w:val="0"/>
        </w:rPr>
        <w:t xml:space="preserve">3. The Jurisprudence of Digital Evidence: Foundation, Authentication, and Hearsay</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Once the procedural stage is set, the core conflict shifts to the admissibility of the digital evidence itself. In a case involving domestic violence and child welfare, the most relevant evidence often consists of GPS location history (proving a party was at a specific place) and text message logs (proving harassment, threats, or admissions). These forms of evidence face two primary hurdles under the Michigan Rules of Evidence: </w:t>
      </w:r>
      <w:r w:rsidDel="00000000" w:rsidR="00000000" w:rsidRPr="00000000">
        <w:rPr>
          <w:b w:val="1"/>
          <w:bCs w:val="1"/>
          <w:color w:val="1f1f1f"/>
          <w:rtl w:val="0"/>
        </w:rPr>
        <w:t xml:space="preserve">Authentication (MRE 901)</w:t>
      </w:r>
      <w:r w:rsidDel="00000000" w:rsidR="00000000" w:rsidRPr="00000000">
        <w:rPr>
          <w:color w:val="1f1f1f"/>
          <w:rtl w:val="0"/>
        </w:rPr>
        <w:t xml:space="preserve"> and </w:t>
      </w:r>
      <w:r w:rsidDel="00000000" w:rsidR="00000000" w:rsidRPr="00000000">
        <w:rPr>
          <w:b w:val="1"/>
          <w:bCs w:val="1"/>
          <w:color w:val="1f1f1f"/>
          <w:rtl w:val="0"/>
        </w:rPr>
        <w:t xml:space="preserve">Hearsay (MRE 801-803)</w:t>
      </w:r>
      <w:r w:rsidDel="00000000" w:rsidR="00000000" w:rsidRPr="00000000">
        <w:rPr>
          <w:color w:val="1f1f1f"/>
          <w:rtl w:val="0"/>
        </w:rPr>
        <w:t xml:space="preserve">.</w:t>
      </w:r>
    </w:p>
    <w:p w:rsidR="00000000" w:rsidDel="00000000" w:rsidP="00000000" w:rsidRDefault="00000000" w:rsidRPr="00000000" w14:paraId="0000003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x4munmg8sx8x" w:id="8"/>
      <w:bookmarkEnd w:id="8"/>
      <w:r w:rsidDel="00000000" w:rsidR="00000000" w:rsidRPr="00000000">
        <w:rPr>
          <w:b w:val="1"/>
          <w:bCs w:val="1"/>
          <w:color w:val="1f1f1f"/>
          <w:sz w:val="26"/>
          <w:szCs w:val="26"/>
          <w:rtl w:val="0"/>
        </w:rPr>
        <w:t xml:space="preserve">3.1. Global Positioning System (GPS) Data: The "Machine Statement" Theory</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admissibility of GPS data, such as Google Timeline logs or "Find My iPhone" screenshots, is frequently challenged on hearsay grounds. Hearsay is defined as an "out-of-court statement offered to prove the truth of the matter asserted" (</w:t>
      </w:r>
      <w:r w:rsidDel="00000000" w:rsidR="00000000" w:rsidRPr="00000000">
        <w:rPr>
          <w:b w:val="1"/>
          <w:bCs w:val="1"/>
          <w:color w:val="1f1f1f"/>
          <w:rtl w:val="0"/>
        </w:rPr>
        <w:t xml:space="preserve">MRE 801(c)</w:t>
      </w:r>
      <w:r w:rsidDel="00000000" w:rsidR="00000000" w:rsidRPr="00000000">
        <w:rPr>
          <w:color w:val="1f1f1f"/>
          <w:rtl w:val="0"/>
        </w:rPr>
        <w:t xml:space="preserve">). The critical nuance lies in the definition of a "statement." Under </w:t>
      </w:r>
      <w:r w:rsidDel="00000000" w:rsidR="00000000" w:rsidRPr="00000000">
        <w:rPr>
          <w:b w:val="1"/>
          <w:bCs w:val="1"/>
          <w:color w:val="1f1f1f"/>
          <w:rtl w:val="0"/>
        </w:rPr>
        <w:t xml:space="preserve">MRE 801(a)</w:t>
      </w:r>
      <w:r w:rsidDel="00000000" w:rsidR="00000000" w:rsidRPr="00000000">
        <w:rPr>
          <w:color w:val="1f1f1f"/>
          <w:rtl w:val="0"/>
        </w:rPr>
        <w:t xml:space="preserve">, a statement is an oral or written assertion by a </w:t>
      </w:r>
      <w:r w:rsidDel="00000000" w:rsidR="00000000" w:rsidRPr="00000000">
        <w:rPr>
          <w:i w:val="1"/>
          <w:iCs w:val="1"/>
          <w:color w:val="1f1f1f"/>
          <w:rtl w:val="0"/>
        </w:rPr>
        <w:t xml:space="preserve">person</w:t>
      </w:r>
      <w:r w:rsidDel="00000000" w:rsidR="00000000" w:rsidRPr="00000000">
        <w:rPr>
          <w:color w:val="1f1f1f"/>
          <w:rtl w:val="0"/>
        </w:rPr>
        <w:t xml:space="preserve">.</w:t>
      </w:r>
    </w:p>
    <w:p w:rsidR="00000000" w:rsidDel="00000000" w:rsidP="00000000" w:rsidRDefault="00000000" w:rsidRPr="00000000" w14:paraId="0000003D">
      <w:pPr>
        <w:pBdr>
          <w:top w:color="auto" w:space="0" w:sz="0" w:val="none"/>
          <w:bottom w:color="auto" w:space="0" w:sz="0" w:val="none"/>
          <w:between w:color="auto" w:space="0" w:sz="0" w:val="none"/>
        </w:pBdr>
        <w:spacing w:after="240" w:lineRule="auto"/>
        <w:rPr/>
      </w:pPr>
      <w:r w:rsidDel="00000000" w:rsidR="00000000" w:rsidRPr="00000000">
        <w:rPr>
          <w:rtl w:val="0"/>
        </w:rPr>
        <w:t xml:space="preserve">The Non-Hearsay Argument:</w:t>
      </w:r>
    </w:p>
    <w:p w:rsidR="00000000" w:rsidDel="00000000" w:rsidP="00000000" w:rsidRDefault="00000000" w:rsidRPr="00000000" w14:paraId="0000003E">
      <w:pPr>
        <w:pBdr>
          <w:top w:color="auto" w:space="0" w:sz="0" w:val="none"/>
          <w:bottom w:color="auto" w:space="0" w:sz="0" w:val="none"/>
          <w:between w:color="auto" w:space="0" w:sz="0" w:val="none"/>
        </w:pBdr>
        <w:spacing w:after="240" w:lineRule="auto"/>
        <w:rPr/>
      </w:pPr>
      <w:r w:rsidDel="00000000" w:rsidR="00000000" w:rsidRPr="00000000">
        <w:rPr>
          <w:rtl w:val="0"/>
        </w:rPr>
        <w:t xml:space="preserve">Michigan courts, aligning with federal precedents such as United States v. Lizarraga-Tirado, generally hold that raw data generated by a machine is not a statement because a machine is not a person and cannot intend to make an assertion.7 Therefore, a GPS coordinate recorded by a satellite and logged by a server is not hearsay. It is a "machine statement" or simply data. This distinction is vital. If the evidence is raw data (lat/long coordinates, timestamps), the hearsay objection should be overruled.</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However, if the evidence includes </w:t>
      </w:r>
      <w:r w:rsidDel="00000000" w:rsidR="00000000" w:rsidRPr="00000000">
        <w:rPr>
          <w:i w:val="1"/>
          <w:iCs w:val="1"/>
          <w:color w:val="1f1f1f"/>
          <w:rtl w:val="0"/>
        </w:rPr>
        <w:t xml:space="preserve">labels</w:t>
      </w:r>
      <w:r w:rsidDel="00000000" w:rsidR="00000000" w:rsidRPr="00000000">
        <w:rPr>
          <w:color w:val="1f1f1f"/>
          <w:rtl w:val="0"/>
        </w:rPr>
        <w:t xml:space="preserve"> added by a human user (e.g., a pin dropped on a map labeled "Cheating Spouse's House"), that label </w:t>
      </w:r>
      <w:r w:rsidDel="00000000" w:rsidR="00000000" w:rsidRPr="00000000">
        <w:rPr>
          <w:i w:val="1"/>
          <w:iCs w:val="1"/>
          <w:color w:val="1f1f1f"/>
          <w:rtl w:val="0"/>
        </w:rPr>
        <w:t xml:space="preserve">is</w:t>
      </w:r>
      <w:r w:rsidDel="00000000" w:rsidR="00000000" w:rsidRPr="00000000">
        <w:rPr>
          <w:color w:val="1f1f1f"/>
          <w:rtl w:val="0"/>
        </w:rPr>
        <w:t xml:space="preserve"> hearsay because it is a human assertion offered for its truth. The strategy, therefore, is to introduce the raw map data without user-generated labels, or to argue that the labels are admissible under a separate exception.</w:t>
      </w:r>
    </w:p>
    <w:p w:rsidR="00000000" w:rsidDel="00000000" w:rsidP="00000000" w:rsidRDefault="00000000" w:rsidRPr="00000000" w14:paraId="00000040">
      <w:pPr>
        <w:pBdr>
          <w:top w:color="auto" w:space="0" w:sz="0" w:val="none"/>
          <w:bottom w:color="auto" w:space="0" w:sz="0" w:val="none"/>
          <w:between w:color="auto" w:space="0" w:sz="0" w:val="none"/>
        </w:pBdr>
        <w:spacing w:after="240" w:lineRule="auto"/>
        <w:rPr/>
      </w:pPr>
      <w:r w:rsidDel="00000000" w:rsidR="00000000" w:rsidRPr="00000000">
        <w:rPr>
          <w:rtl w:val="0"/>
        </w:rPr>
        <w:t xml:space="preserve">Authentication of GPS Data (MRE 901):</w:t>
      </w:r>
    </w:p>
    <w:p w:rsidR="00000000" w:rsidDel="00000000" w:rsidP="00000000" w:rsidRDefault="00000000" w:rsidRPr="00000000" w14:paraId="00000041">
      <w:pPr>
        <w:pBdr>
          <w:top w:color="auto" w:space="0" w:sz="0" w:val="none"/>
          <w:bottom w:color="auto" w:space="0" w:sz="0" w:val="none"/>
          <w:between w:color="auto" w:space="0" w:sz="0" w:val="none"/>
        </w:pBdr>
        <w:spacing w:after="240" w:lineRule="auto"/>
        <w:rPr/>
      </w:pPr>
      <w:r w:rsidDel="00000000" w:rsidR="00000000" w:rsidRPr="00000000">
        <w:rPr>
          <w:rtl w:val="0"/>
        </w:rPr>
        <w:t xml:space="preserve">Even if not hearsay, the data must be authenticated. The proponent must prove that the data is what it purports to be: a record of the device's location. MRE 901(b)(9) (Evidence About a Process or System) is the primary vehicle for this.8</w:t>
      </w:r>
    </w:p>
    <w:p w:rsidR="00000000" w:rsidDel="00000000" w:rsidP="00000000" w:rsidRDefault="00000000" w:rsidRPr="00000000" w14:paraId="00000042">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Judicial Notice (MRE 201):</w:t>
      </w:r>
      <w:r w:rsidDel="00000000" w:rsidR="00000000" w:rsidRPr="00000000">
        <w:rPr>
          <w:color w:val="1f1f1f"/>
          <w:rtl w:val="0"/>
        </w:rPr>
        <w:t xml:space="preserve"> The most efficient path is to request the court take judicial notice of the reliability of the GPS system and Google Maps. </w:t>
      </w:r>
      <w:r w:rsidDel="00000000" w:rsidR="00000000" w:rsidRPr="00000000">
        <w:rPr>
          <w:b w:val="1"/>
          <w:bCs w:val="1"/>
          <w:color w:val="1f1f1f"/>
          <w:rtl w:val="0"/>
        </w:rPr>
        <w:t xml:space="preserve">MRE 201</w:t>
      </w:r>
      <w:r w:rsidDel="00000000" w:rsidR="00000000" w:rsidRPr="00000000">
        <w:rPr>
          <w:color w:val="1f1f1f"/>
          <w:rtl w:val="0"/>
        </w:rPr>
        <w:t xml:space="preserve"> allows notice of facts "capable of accurate and ready determination by resort to sources whose accuracy cannot reasonably be questioned".</w:t>
      </w:r>
      <w:r w:rsidDel="00000000" w:rsidR="00000000" w:rsidRPr="00000000">
        <w:rPr>
          <w:color w:val="444746"/>
          <w:sz w:val="40"/>
          <w:szCs w:val="40"/>
          <w:highlight w:val="white"/>
          <w:vertAlign w:val="superscript"/>
          <w:rtl w:val="0"/>
        </w:rPr>
        <w:t xml:space="preserve">10</w:t>
      </w:r>
      <w:r w:rsidDel="00000000" w:rsidR="00000000" w:rsidRPr="00000000">
        <w:rPr>
          <w:color w:val="1f1f1f"/>
          <w:rtl w:val="0"/>
        </w:rPr>
        <w:t xml:space="preserve"> Courts increasingly accept Google Maps as a reliable source for location and distance data.</w:t>
      </w:r>
    </w:p>
    <w:p w:rsidR="00000000" w:rsidDel="00000000" w:rsidP="00000000" w:rsidRDefault="00000000" w:rsidRPr="00000000" w14:paraId="00000043">
      <w:pPr>
        <w:numPr>
          <w:ilvl w:val="0"/>
          <w:numId w:val="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Corroborative Testimony:</w:t>
      </w:r>
      <w:r w:rsidDel="00000000" w:rsidR="00000000" w:rsidRPr="00000000">
        <w:rPr>
          <w:color w:val="1f1f1f"/>
          <w:rtl w:val="0"/>
        </w:rPr>
        <w:t xml:space="preserve"> If judicial notice is denied, the proponent must lay a foundation through testimony. The witness does not need to be a Google engineer. Under </w:t>
      </w:r>
      <w:r w:rsidDel="00000000" w:rsidR="00000000" w:rsidRPr="00000000">
        <w:rPr>
          <w:b w:val="1"/>
          <w:bCs w:val="1"/>
          <w:color w:val="1f1f1f"/>
          <w:rtl w:val="0"/>
        </w:rPr>
        <w:t xml:space="preserve">MRE 901(b)(4)</w:t>
      </w:r>
      <w:r w:rsidDel="00000000" w:rsidR="00000000" w:rsidRPr="00000000">
        <w:rPr>
          <w:color w:val="1f1f1f"/>
          <w:rtl w:val="0"/>
        </w:rPr>
        <w:t xml:space="preserve"> (Distinctive Characteristics), a witness can authenticate the data by correlating it with known facts. For example, if the GPS log shows the device at the marital home at 6:00 PM, and the witness knows the party was home at that time, this correlation authenticates the accuracy of the system for that timeframe.</w:t>
      </w:r>
      <w:r w:rsidDel="00000000" w:rsidR="00000000" w:rsidRPr="00000000">
        <w:rPr>
          <w:color w:val="444746"/>
          <w:sz w:val="40"/>
          <w:szCs w:val="40"/>
          <w:highlight w:val="white"/>
          <w:vertAlign w:val="superscript"/>
          <w:rtl w:val="0"/>
        </w:rPr>
        <w:t xml:space="preserve">8</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Foundational Script for GPS Evidence:</w:t>
      </w:r>
    </w:p>
    <w:p w:rsidR="00000000" w:rsidDel="00000000" w:rsidP="00000000" w:rsidRDefault="00000000" w:rsidRPr="00000000" w14:paraId="00000045">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i w:val="1"/>
          <w:iCs w:val="1"/>
          <w:color w:val="1f1f1f"/>
          <w:rtl w:val="0"/>
        </w:rPr>
        <w:t xml:space="preserve">Witness:</w:t>
      </w:r>
      <w:r w:rsidDel="00000000" w:rsidR="00000000" w:rsidRPr="00000000">
        <w:rPr>
          <w:color w:val="1f1f1f"/>
          <w:rtl w:val="0"/>
        </w:rPr>
        <w:t xml:space="preserve"> "I recognize Exhibit X as a printout of the Google Location History for the account [Name]."</w:t>
      </w:r>
    </w:p>
    <w:p w:rsidR="00000000" w:rsidDel="00000000" w:rsidP="00000000" w:rsidRDefault="00000000" w:rsidRPr="00000000" w14:paraId="00000046">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i w:val="1"/>
          <w:iCs w:val="1"/>
          <w:color w:val="1f1f1f"/>
          <w:rtl w:val="0"/>
        </w:rPr>
        <w:t xml:space="preserve">Witness:</w:t>
      </w:r>
      <w:r w:rsidDel="00000000" w:rsidR="00000000" w:rsidRPr="00000000">
        <w:rPr>
          <w:color w:val="1f1f1f"/>
          <w:rtl w:val="0"/>
        </w:rPr>
        <w:t xml:space="preserve"> "I have personal knowledge of this account because [I set it up / I have the password / it is a joint account]."</w:t>
      </w:r>
    </w:p>
    <w:p w:rsidR="00000000" w:rsidDel="00000000" w:rsidP="00000000" w:rsidRDefault="00000000" w:rsidRPr="00000000" w14:paraId="00000047">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i w:val="1"/>
          <w:iCs w:val="1"/>
          <w:color w:val="1f1f1f"/>
          <w:rtl w:val="0"/>
        </w:rPr>
        <w:t xml:space="preserve">Witness:</w:t>
      </w:r>
      <w:r w:rsidDel="00000000" w:rsidR="00000000" w:rsidRPr="00000000">
        <w:rPr>
          <w:color w:val="1f1f1f"/>
          <w:rtl w:val="0"/>
        </w:rPr>
        <w:t xml:space="preserve"> "I can verify the accuracy of this log because it correctly identifies the device's location at and, times when I personally observed the device at those locations."</w:t>
      </w:r>
    </w:p>
    <w:p w:rsidR="00000000" w:rsidDel="00000000" w:rsidP="00000000" w:rsidRDefault="00000000" w:rsidRPr="00000000" w14:paraId="00000048">
      <w:pPr>
        <w:numPr>
          <w:ilvl w:val="0"/>
          <w:numId w:val="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i w:val="1"/>
          <w:iCs w:val="1"/>
          <w:color w:val="1f1f1f"/>
          <w:rtl w:val="0"/>
        </w:rPr>
        <w:t xml:space="preserve">Legal Argument:</w:t>
      </w:r>
      <w:r w:rsidDel="00000000" w:rsidR="00000000" w:rsidRPr="00000000">
        <w:rPr>
          <w:color w:val="1f1f1f"/>
          <w:rtl w:val="0"/>
        </w:rPr>
        <w:t xml:space="preserve"> "Your Honor, the witness has established a foundation under MRE 901(b)(4) by validating the data against known events. The system's accuracy is further supported by MRE 901(b)(9) and is suitable for judicial notice under MRE 201 regarding the general reliability of GPS technology."</w:t>
      </w:r>
    </w:p>
    <w:p w:rsidR="00000000" w:rsidDel="00000000" w:rsidP="00000000" w:rsidRDefault="00000000" w:rsidRPr="00000000" w14:paraId="0000004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flcnq1amzmgq" w:id="9"/>
      <w:bookmarkEnd w:id="9"/>
      <w:r w:rsidDel="00000000" w:rsidR="00000000" w:rsidRPr="00000000">
        <w:rPr>
          <w:b w:val="1"/>
          <w:bCs w:val="1"/>
          <w:color w:val="1f1f1f"/>
          <w:sz w:val="26"/>
          <w:szCs w:val="26"/>
          <w:rtl w:val="0"/>
        </w:rPr>
        <w:t xml:space="preserve">3.2. Text Messages and "Screenshots": Addressing the Best Evidence Rule</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f1f1f"/>
          <w:rtl w:val="0"/>
        </w:rPr>
        <w:t xml:space="preserve">Text messages are often presented as screenshots, which invites objections under the </w:t>
      </w:r>
      <w:r w:rsidDel="00000000" w:rsidR="00000000" w:rsidRPr="00000000">
        <w:rPr>
          <w:b w:val="1"/>
          <w:bCs w:val="1"/>
          <w:color w:val="1f1f1f"/>
          <w:rtl w:val="0"/>
        </w:rPr>
        <w:t xml:space="preserve">Best Evidence Rule (MRE 1002)</w:t>
      </w:r>
      <w:r w:rsidDel="00000000" w:rsidR="00000000" w:rsidRPr="00000000">
        <w:rPr>
          <w:color w:val="1f1f1f"/>
          <w:rtl w:val="0"/>
        </w:rPr>
        <w:t xml:space="preserve">, which generally requires the "original" writing. However, </w:t>
      </w:r>
      <w:r w:rsidDel="00000000" w:rsidR="00000000" w:rsidRPr="00000000">
        <w:rPr>
          <w:b w:val="1"/>
          <w:bCs w:val="1"/>
          <w:color w:val="1f1f1f"/>
          <w:rtl w:val="0"/>
        </w:rPr>
        <w:t xml:space="preserve">MRE 1001(3)</w:t>
      </w:r>
      <w:r w:rsidDel="00000000" w:rsidR="00000000" w:rsidRPr="00000000">
        <w:rPr>
          <w:color w:val="1f1f1f"/>
          <w:rtl w:val="0"/>
        </w:rPr>
        <w:t xml:space="preserve"> defines an "original" of electronically stored information as any "printout or other output readable by sight, shown to reflect the data accurately." Therefore, a screenshot is legally an "original".</w:t>
      </w:r>
      <w:r w:rsidDel="00000000" w:rsidR="00000000" w:rsidRPr="00000000">
        <w:rPr>
          <w:color w:val="444746"/>
          <w:sz w:val="40"/>
          <w:szCs w:val="40"/>
          <w:highlight w:val="white"/>
          <w:vertAlign w:val="superscript"/>
          <w:rtl w:val="0"/>
        </w:rPr>
        <w:t xml:space="preserve">13</w:t>
      </w:r>
    </w:p>
    <w:p w:rsidR="00000000" w:rsidDel="00000000" w:rsidP="00000000" w:rsidRDefault="00000000" w:rsidRPr="00000000" w14:paraId="0000004B">
      <w:pPr>
        <w:pBdr>
          <w:top w:color="auto" w:space="0" w:sz="0" w:val="none"/>
          <w:bottom w:color="auto" w:space="0" w:sz="0" w:val="none"/>
          <w:between w:color="auto" w:space="0" w:sz="0" w:val="none"/>
        </w:pBdr>
        <w:spacing w:after="240" w:lineRule="auto"/>
        <w:rPr/>
      </w:pPr>
      <w:r w:rsidDel="00000000" w:rsidR="00000000" w:rsidRPr="00000000">
        <w:rPr>
          <w:rtl w:val="0"/>
        </w:rPr>
        <w:t xml:space="preserve">Authentication via "Distinctive Characteristics":</w:t>
      </w:r>
    </w:p>
    <w:p w:rsidR="00000000" w:rsidDel="00000000" w:rsidP="00000000" w:rsidRDefault="00000000" w:rsidRPr="00000000" w14:paraId="0000004C">
      <w:pPr>
        <w:pBdr>
          <w:top w:color="auto" w:space="0" w:sz="0" w:val="none"/>
          <w:bottom w:color="auto" w:space="0" w:sz="0" w:val="none"/>
          <w:between w:color="auto" w:space="0" w:sz="0" w:val="none"/>
        </w:pBdr>
        <w:spacing w:after="240" w:lineRule="auto"/>
        <w:rPr/>
      </w:pPr>
      <w:r w:rsidDel="00000000" w:rsidR="00000000" w:rsidRPr="00000000">
        <w:rPr>
          <w:rtl w:val="0"/>
        </w:rPr>
        <w:t xml:space="preserve">The primary challenge with text messages is proving who sent them. "Spoofing" is possible, so courts require more than just the name at the top of the screen. MRE 901(b)(4) allows authentication through "appearance, contents, substance, internal patterns, or other distinctive characteristics".15</w:t>
      </w:r>
    </w:p>
    <w:p w:rsidR="00000000" w:rsidDel="00000000" w:rsidP="00000000" w:rsidRDefault="00000000" w:rsidRPr="00000000" w14:paraId="0000004D">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Content Knowledge:</w:t>
      </w:r>
      <w:r w:rsidDel="00000000" w:rsidR="00000000" w:rsidRPr="00000000">
        <w:rPr>
          <w:color w:val="1f1f1f"/>
          <w:rtl w:val="0"/>
        </w:rPr>
        <w:t xml:space="preserve"> If the text discusses unique details known only to the parties (e.g., "I forgot to pick up [Child's Name] from class"), this content authenticates the sender.</w:t>
      </w:r>
    </w:p>
    <w:p w:rsidR="00000000" w:rsidDel="00000000" w:rsidP="00000000" w:rsidRDefault="00000000" w:rsidRPr="00000000" w14:paraId="0000004E">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Contextual Flow:</w:t>
      </w:r>
      <w:r w:rsidDel="00000000" w:rsidR="00000000" w:rsidRPr="00000000">
        <w:rPr>
          <w:color w:val="1f1f1f"/>
          <w:rtl w:val="0"/>
        </w:rPr>
        <w:t xml:space="preserve"> If the text is part of a continuous conversation where the recipient is responding in real-time to known events, this authenticates the chain.</w:t>
      </w:r>
    </w:p>
    <w:p w:rsidR="00000000" w:rsidDel="00000000" w:rsidP="00000000" w:rsidRDefault="00000000" w:rsidRPr="00000000" w14:paraId="0000004F">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Metadata:</w:t>
      </w:r>
      <w:r w:rsidDel="00000000" w:rsidR="00000000" w:rsidRPr="00000000">
        <w:rPr>
          <w:color w:val="1f1f1f"/>
          <w:rtl w:val="0"/>
        </w:rPr>
        <w:t xml:space="preserve"> Whenever possible, litigants should use export software that preserves metadata (sender ID, timestamp, message status) rather than simple screenshots. This provides a deeper layer of authentication that is harder to challenge.</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v9o36arl4pki" w:id="10"/>
      <w:bookmarkEnd w:id="10"/>
      <w:r w:rsidDel="00000000" w:rsidR="00000000" w:rsidRPr="00000000">
        <w:rPr>
          <w:b w:val="1"/>
          <w:bCs w:val="1"/>
          <w:color w:val="1f1f1f"/>
          <w:sz w:val="34"/>
          <w:szCs w:val="34"/>
          <w:rtl w:val="0"/>
        </w:rPr>
        <w:t xml:space="preserve">4. The "Edge Cases" of Procurement: Unauthorized Access, Spousal Immunity, and the Private Search Doctrine</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most contentious aspect of the user's inquiry involves the admissibility of evidence obtained through means that may be legally "problematic"—specifically, accessing a spouse's device or accounts without explicit permission. This scenario activates a complex interplay between criminal statutes and civil evidentiary rules.</w:t>
      </w:r>
    </w:p>
    <w:p w:rsidR="00000000" w:rsidDel="00000000" w:rsidP="00000000" w:rsidRDefault="00000000" w:rsidRPr="00000000" w14:paraId="0000005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9jq0n9p1kbt1" w:id="11"/>
      <w:bookmarkEnd w:id="11"/>
      <w:r w:rsidDel="00000000" w:rsidR="00000000" w:rsidRPr="00000000">
        <w:rPr>
          <w:b w:val="1"/>
          <w:bCs w:val="1"/>
          <w:color w:val="1f1f1f"/>
          <w:sz w:val="26"/>
          <w:szCs w:val="26"/>
          <w:rtl w:val="0"/>
        </w:rPr>
        <w:t xml:space="preserve">4.1. The Criminal Prohibition: </w:t>
      </w:r>
      <w:r w:rsidDel="00000000" w:rsidR="00000000" w:rsidRPr="00000000">
        <w:rPr>
          <w:b w:val="1"/>
          <w:bCs w:val="1"/>
          <w:i w:val="1"/>
          <w:iCs w:val="1"/>
          <w:color w:val="1f1f1f"/>
          <w:sz w:val="26"/>
          <w:szCs w:val="26"/>
          <w:rtl w:val="0"/>
        </w:rPr>
        <w:t xml:space="preserve">People v. Walker</w:t>
      </w:r>
      <w:r w:rsidDel="00000000" w:rsidR="00000000" w:rsidRPr="00000000">
        <w:rPr>
          <w:b w:val="1"/>
          <w:bCs w:val="1"/>
          <w:color w:val="1f1f1f"/>
          <w:sz w:val="26"/>
          <w:szCs w:val="26"/>
          <w:rtl w:val="0"/>
        </w:rPr>
        <w:t xml:space="preserve"> and MCL 752.795</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f1f1f"/>
          <w:rtl w:val="0"/>
        </w:rPr>
        <w:t xml:space="preserve">Michigan has one of the strictest unauthorized access statutes in the country. </w:t>
      </w:r>
      <w:r w:rsidDel="00000000" w:rsidR="00000000" w:rsidRPr="00000000">
        <w:rPr>
          <w:b w:val="1"/>
          <w:bCs w:val="1"/>
          <w:color w:val="1f1f1f"/>
          <w:rtl w:val="0"/>
        </w:rPr>
        <w:t xml:space="preserve">MCL 752.795</w:t>
      </w:r>
      <w:r w:rsidDel="00000000" w:rsidR="00000000" w:rsidRPr="00000000">
        <w:rPr>
          <w:color w:val="1f1f1f"/>
          <w:rtl w:val="0"/>
        </w:rPr>
        <w:t xml:space="preserve"> makes it a felony to intentionally and without authorization access a computer, computer program, or network.</w:t>
      </w:r>
      <w:r w:rsidDel="00000000" w:rsidR="00000000" w:rsidRPr="00000000">
        <w:rPr>
          <w:color w:val="444746"/>
          <w:sz w:val="40"/>
          <w:szCs w:val="40"/>
          <w:highlight w:val="white"/>
          <w:vertAlign w:val="superscript"/>
          <w:rtl w:val="0"/>
        </w:rPr>
        <w:t xml:space="preserve">17</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seminal case interpreting this statute in a domestic context is </w:t>
      </w:r>
      <w:r w:rsidDel="00000000" w:rsidR="00000000" w:rsidRPr="00000000">
        <w:rPr>
          <w:b w:val="1"/>
          <w:bCs w:val="1"/>
          <w:i w:val="1"/>
          <w:iCs w:val="1"/>
          <w:color w:val="1f1f1f"/>
          <w:rtl w:val="0"/>
        </w:rPr>
        <w:t xml:space="preserve">People v. Walker</w:t>
      </w:r>
      <w:r w:rsidDel="00000000" w:rsidR="00000000" w:rsidRPr="00000000">
        <w:rPr>
          <w:b w:val="1"/>
          <w:bCs w:val="1"/>
          <w:color w:val="1f1f1f"/>
          <w:rtl w:val="0"/>
        </w:rPr>
        <w:t xml:space="preserve">, 2011 WL 6786935 (Mich. Ct. App. 2011)</w:t>
      </w:r>
      <w:r w:rsidDel="00000000" w:rsidR="00000000" w:rsidRPr="00000000">
        <w:rPr>
          <w:color w:val="1f1f1f"/>
          <w:rtl w:val="0"/>
        </w:rPr>
        <w:t xml:space="preserve">.</w:t>
      </w:r>
      <w:r w:rsidDel="00000000" w:rsidR="00000000" w:rsidRPr="00000000">
        <w:rPr>
          <w:color w:val="444746"/>
          <w:sz w:val="40"/>
          <w:szCs w:val="40"/>
          <w:highlight w:val="white"/>
          <w:vertAlign w:val="superscript"/>
          <w:rtl w:val="0"/>
        </w:rPr>
        <w:t xml:space="preserve">18</w:t>
      </w:r>
      <w:r w:rsidDel="00000000" w:rsidR="00000000" w:rsidRPr="00000000">
        <w:rPr>
          <w:color w:val="1f1f1f"/>
          <w:rtl w:val="0"/>
        </w:rPr>
        <w:t xml:space="preserve"> In </w:t>
      </w:r>
      <w:r w:rsidDel="00000000" w:rsidR="00000000" w:rsidRPr="00000000">
        <w:rPr>
          <w:i w:val="1"/>
          <w:iCs w:val="1"/>
          <w:color w:val="1f1f1f"/>
          <w:rtl w:val="0"/>
        </w:rPr>
        <w:t xml:space="preserve">Walker</w:t>
      </w:r>
      <w:r w:rsidDel="00000000" w:rsidR="00000000" w:rsidRPr="00000000">
        <w:rPr>
          <w:color w:val="1f1f1f"/>
          <w:rtl w:val="0"/>
        </w:rPr>
        <w:t xml:space="preserve">, a husband accessed his wife's Gmail account to confirm an affair. He argued that as a spouse, he had implied authority or that the statute should contain a "spousal exception." The Michigan Court of Appeals explicitly </w:t>
      </w:r>
      <w:r w:rsidDel="00000000" w:rsidR="00000000" w:rsidRPr="00000000">
        <w:rPr>
          <w:b w:val="1"/>
          <w:bCs w:val="1"/>
          <w:color w:val="1f1f1f"/>
          <w:rtl w:val="0"/>
        </w:rPr>
        <w:t xml:space="preserve">rejected the spousal exception</w:t>
      </w:r>
      <w:r w:rsidDel="00000000" w:rsidR="00000000" w:rsidRPr="00000000">
        <w:rPr>
          <w:color w:val="1f1f1f"/>
          <w:rtl w:val="0"/>
        </w:rPr>
        <w:t xml:space="preserve">, holding that the statute protects individual privacy, not just marital property. The court ruled that "without authorization" means exactly that—if the spouse did not give permission, the access is illegal, regardless of marriage.</w:t>
      </w:r>
    </w:p>
    <w:p w:rsidR="00000000" w:rsidDel="00000000" w:rsidP="00000000" w:rsidRDefault="00000000" w:rsidRPr="00000000" w14:paraId="00000056">
      <w:pPr>
        <w:pBdr>
          <w:top w:color="auto" w:space="0" w:sz="0" w:val="none"/>
          <w:bottom w:color="auto" w:space="0" w:sz="0" w:val="none"/>
          <w:between w:color="auto" w:space="0" w:sz="0" w:val="none"/>
        </w:pBdr>
        <w:spacing w:after="240" w:lineRule="auto"/>
        <w:rPr/>
      </w:pPr>
      <w:r w:rsidDel="00000000" w:rsidR="00000000" w:rsidRPr="00000000">
        <w:rPr>
          <w:rtl w:val="0"/>
        </w:rPr>
        <w:t xml:space="preserve">Implication for the "Messy" Case:</w:t>
      </w:r>
    </w:p>
    <w:p w:rsidR="00000000" w:rsidDel="00000000" w:rsidP="00000000" w:rsidRDefault="00000000" w:rsidRPr="00000000" w14:paraId="00000057">
      <w:pPr>
        <w:pBdr>
          <w:top w:color="auto" w:space="0" w:sz="0" w:val="none"/>
          <w:bottom w:color="auto" w:space="0" w:sz="0" w:val="none"/>
          <w:between w:color="auto" w:space="0" w:sz="0" w:val="none"/>
        </w:pBdr>
        <w:spacing w:after="240" w:lineRule="auto"/>
        <w:rPr/>
      </w:pPr>
      <w:r w:rsidDel="00000000" w:rsidR="00000000" w:rsidRPr="00000000">
        <w:rPr>
          <w:rtl w:val="0"/>
        </w:rPr>
        <w:t xml:space="preserve">If a litigant accesses a spouse's account by guessing a password or using a password that was previously shared but for which permission was arguably revoked (or never explicitly granted for this purpose), they potentially commit a felony under Walker. This creates a severe risk: introducing the evidence in family court could theoretically alert a prosecutor to the crime.</w:t>
      </w:r>
    </w:p>
    <w:p w:rsidR="00000000" w:rsidDel="00000000" w:rsidP="00000000" w:rsidRDefault="00000000" w:rsidRPr="00000000" w14:paraId="0000005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nkxzpbvx30vk" w:id="12"/>
      <w:bookmarkEnd w:id="12"/>
      <w:r w:rsidDel="00000000" w:rsidR="00000000" w:rsidRPr="00000000">
        <w:rPr>
          <w:b w:val="1"/>
          <w:bCs w:val="1"/>
          <w:color w:val="1f1f1f"/>
          <w:sz w:val="26"/>
          <w:szCs w:val="26"/>
          <w:rtl w:val="0"/>
        </w:rPr>
        <w:t xml:space="preserve">4.2. Defenses to Unauthorized Access: Implied Consent and Necessity</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Despite </w:t>
      </w:r>
      <w:r w:rsidDel="00000000" w:rsidR="00000000" w:rsidRPr="00000000">
        <w:rPr>
          <w:i w:val="1"/>
          <w:iCs w:val="1"/>
          <w:color w:val="1f1f1f"/>
          <w:rtl w:val="0"/>
        </w:rPr>
        <w:t xml:space="preserve">Walker</w:t>
      </w:r>
      <w:r w:rsidDel="00000000" w:rsidR="00000000" w:rsidRPr="00000000">
        <w:rPr>
          <w:color w:val="1f1f1f"/>
          <w:rtl w:val="0"/>
        </w:rPr>
        <w:t xml:space="preserve">, there are defenses available that can mitigate the risk and support the "clean hands" argument in civil court.</w:t>
      </w:r>
    </w:p>
    <w:p w:rsidR="00000000" w:rsidDel="00000000" w:rsidP="00000000" w:rsidRDefault="00000000" w:rsidRPr="00000000" w14:paraId="0000005A">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Implied Consent / Course of Conduct:</w:t>
      </w:r>
      <w:r w:rsidDel="00000000" w:rsidR="00000000" w:rsidRPr="00000000">
        <w:rPr>
          <w:color w:val="1f1f1f"/>
          <w:rtl w:val="0"/>
        </w:rPr>
        <w:t xml:space="preserve"> Unlike </w:t>
      </w:r>
      <w:r w:rsidDel="00000000" w:rsidR="00000000" w:rsidRPr="00000000">
        <w:rPr>
          <w:i w:val="1"/>
          <w:iCs w:val="1"/>
          <w:color w:val="1f1f1f"/>
          <w:rtl w:val="0"/>
        </w:rPr>
        <w:t xml:space="preserve">Walker</w:t>
      </w:r>
      <w:r w:rsidDel="00000000" w:rsidR="00000000" w:rsidRPr="00000000">
        <w:rPr>
          <w:color w:val="1f1f1f"/>
          <w:rtl w:val="0"/>
        </w:rPr>
        <w:t xml:space="preserve"> (where the wife testified she </w:t>
      </w:r>
      <w:r w:rsidDel="00000000" w:rsidR="00000000" w:rsidRPr="00000000">
        <w:rPr>
          <w:i w:val="1"/>
          <w:iCs w:val="1"/>
          <w:color w:val="1f1f1f"/>
          <w:rtl w:val="0"/>
        </w:rPr>
        <w:t xml:space="preserve">never</w:t>
      </w:r>
      <w:r w:rsidDel="00000000" w:rsidR="00000000" w:rsidRPr="00000000">
        <w:rPr>
          <w:color w:val="1f1f1f"/>
          <w:rtl w:val="0"/>
        </w:rPr>
        <w:t xml:space="preserve"> shared her password), many couples have a history of sharing devices. If the litigant can show a "course of conduct" where access was routinely permitted—e.g., "We always looked at each other's phones," "I have the PIN because I use it to check the bank balance"—they can argue </w:t>
      </w:r>
      <w:r w:rsidDel="00000000" w:rsidR="00000000" w:rsidRPr="00000000">
        <w:rPr>
          <w:b w:val="1"/>
          <w:bCs w:val="1"/>
          <w:color w:val="1f1f1f"/>
          <w:rtl w:val="0"/>
        </w:rPr>
        <w:t xml:space="preserve">Implied Consent</w:t>
      </w:r>
      <w:r w:rsidDel="00000000" w:rsidR="00000000" w:rsidRPr="00000000">
        <w:rPr>
          <w:color w:val="1f1f1f"/>
          <w:rtl w:val="0"/>
        </w:rPr>
        <w:t xml:space="preserve">. Implied consent negates the "without authorization" element of MCL 752.795.</w:t>
      </w:r>
      <w:r w:rsidDel="00000000" w:rsidR="00000000" w:rsidRPr="00000000">
        <w:rPr>
          <w:color w:val="444746"/>
          <w:sz w:val="40"/>
          <w:szCs w:val="40"/>
          <w:highlight w:val="white"/>
          <w:vertAlign w:val="superscript"/>
          <w:rtl w:val="0"/>
        </w:rPr>
        <w:t xml:space="preserve">20</w:t>
      </w:r>
      <w:r w:rsidDel="00000000" w:rsidR="00000000" w:rsidRPr="00000000">
        <w:rPr>
          <w:color w:val="1f1f1f"/>
          <w:rtl w:val="0"/>
        </w:rPr>
        <w:t xml:space="preserve"> The argument is that permission was granted generally and was never explicitly revoked.</w:t>
      </w:r>
    </w:p>
    <w:p w:rsidR="00000000" w:rsidDel="00000000" w:rsidP="00000000" w:rsidRDefault="00000000" w:rsidRPr="00000000" w14:paraId="0000005B">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Necessity / Defense of Others:</w:t>
      </w:r>
      <w:r w:rsidDel="00000000" w:rsidR="00000000" w:rsidRPr="00000000">
        <w:rPr>
          <w:color w:val="1f1f1f"/>
          <w:rtl w:val="0"/>
        </w:rPr>
        <w:t xml:space="preserve"> If access was made "because of concerns over child welfare," the litigant can invoke the common law defense of </w:t>
      </w:r>
      <w:r w:rsidDel="00000000" w:rsidR="00000000" w:rsidRPr="00000000">
        <w:rPr>
          <w:b w:val="1"/>
          <w:bCs w:val="1"/>
          <w:color w:val="1f1f1f"/>
          <w:rtl w:val="0"/>
        </w:rPr>
        <w:t xml:space="preserve">Necessity</w:t>
      </w:r>
      <w:r w:rsidDel="00000000" w:rsidR="00000000" w:rsidRPr="00000000">
        <w:rPr>
          <w:color w:val="1f1f1f"/>
          <w:rtl w:val="0"/>
        </w:rPr>
        <w:t xml:space="preserve">. This defense argues that the violation of the statute was the lesser of two evils; the greater evil being the potential abuse or neglect of the child. While this is a criminal defense, utilizing it in family court frames the access as a protective, moral act rather than a criminal intrusion.</w:t>
      </w:r>
    </w:p>
    <w:p w:rsidR="00000000" w:rsidDel="00000000" w:rsidP="00000000" w:rsidRDefault="00000000" w:rsidRPr="00000000" w14:paraId="0000005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xleuaunzotli" w:id="13"/>
      <w:bookmarkEnd w:id="13"/>
      <w:r w:rsidDel="00000000" w:rsidR="00000000" w:rsidRPr="00000000">
        <w:rPr>
          <w:b w:val="1"/>
          <w:bCs w:val="1"/>
          <w:color w:val="1f1f1f"/>
          <w:sz w:val="26"/>
          <w:szCs w:val="26"/>
          <w:rtl w:val="0"/>
        </w:rPr>
        <w:t xml:space="preserve">4.3. The "Private Search Doctrine" and the Exclusionary Rule</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f1f1f"/>
          <w:rtl w:val="0"/>
        </w:rPr>
        <w:t xml:space="preserve">The most powerful argument for admissibility in civil court is the </w:t>
      </w:r>
      <w:r w:rsidDel="00000000" w:rsidR="00000000" w:rsidRPr="00000000">
        <w:rPr>
          <w:b w:val="1"/>
          <w:bCs w:val="1"/>
          <w:color w:val="1f1f1f"/>
          <w:rtl w:val="0"/>
        </w:rPr>
        <w:t xml:space="preserve">Private Search Doctrine</w:t>
      </w:r>
      <w:r w:rsidDel="00000000" w:rsidR="00000000" w:rsidRPr="00000000">
        <w:rPr>
          <w:color w:val="1f1f1f"/>
          <w:rtl w:val="0"/>
        </w:rPr>
        <w:t xml:space="preserve">. The Constitutional Exclusionary Rule (Fourth Amendment) applies only to government actors. In </w:t>
      </w:r>
      <w:r w:rsidDel="00000000" w:rsidR="00000000" w:rsidRPr="00000000">
        <w:rPr>
          <w:b w:val="1"/>
          <w:bCs w:val="1"/>
          <w:i w:val="1"/>
          <w:iCs w:val="1"/>
          <w:color w:val="1f1f1f"/>
          <w:rtl w:val="0"/>
        </w:rPr>
        <w:t xml:space="preserve">Burdeau v. McDowell</w:t>
      </w:r>
      <w:r w:rsidDel="00000000" w:rsidR="00000000" w:rsidRPr="00000000">
        <w:rPr>
          <w:b w:val="1"/>
          <w:bCs w:val="1"/>
          <w:color w:val="1f1f1f"/>
          <w:rtl w:val="0"/>
        </w:rPr>
        <w:t xml:space="preserve">, 256 U.S. 465 (1921)</w:t>
      </w:r>
      <w:r w:rsidDel="00000000" w:rsidR="00000000" w:rsidRPr="00000000">
        <w:rPr>
          <w:color w:val="1f1f1f"/>
          <w:rtl w:val="0"/>
        </w:rPr>
        <w:t xml:space="preserve">, the U.S. Supreme Court held that the Fourth Amendment does not preclude the government from using evidence that was illegally obtained by a private individual, provided the government did not encourage or participate in the theft.</w:t>
      </w:r>
      <w:r w:rsidDel="00000000" w:rsidR="00000000" w:rsidRPr="00000000">
        <w:rPr>
          <w:color w:val="444746"/>
          <w:sz w:val="40"/>
          <w:szCs w:val="40"/>
          <w:highlight w:val="white"/>
          <w:vertAlign w:val="superscript"/>
          <w:rtl w:val="0"/>
        </w:rPr>
        <w:t xml:space="preserve">21</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Michigan courts follow this principle. In civil divorce cases, evidence obtained by a spouse—even if obtained illegally (e.g., stealing a diary, hacking a phone)—is generally </w:t>
      </w:r>
      <w:r w:rsidDel="00000000" w:rsidR="00000000" w:rsidRPr="00000000">
        <w:rPr>
          <w:b w:val="1"/>
          <w:bCs w:val="1"/>
          <w:color w:val="1f1f1f"/>
          <w:rtl w:val="0"/>
        </w:rPr>
        <w:t xml:space="preserve">admissible</w:t>
      </w:r>
      <w:r w:rsidDel="00000000" w:rsidR="00000000" w:rsidRPr="00000000">
        <w:rPr>
          <w:color w:val="1f1f1f"/>
          <w:rtl w:val="0"/>
        </w:rPr>
        <w:t xml:space="preserve"> because there is no state action involved in the search. The deterrent purpose of the exclusionary rule (to stop police misconduct) is not served by excluding evidence in a private divorce trial.</w:t>
      </w:r>
    </w:p>
    <w:p w:rsidR="00000000" w:rsidDel="00000000" w:rsidP="00000000" w:rsidRDefault="00000000" w:rsidRPr="00000000" w14:paraId="0000005F">
      <w:pPr>
        <w:pBdr>
          <w:top w:color="auto" w:space="0" w:sz="0" w:val="none"/>
          <w:bottom w:color="auto" w:space="0" w:sz="0" w:val="none"/>
          <w:between w:color="auto" w:space="0" w:sz="0" w:val="none"/>
        </w:pBdr>
        <w:spacing w:after="240" w:lineRule="auto"/>
        <w:rPr/>
      </w:pPr>
      <w:r w:rsidDel="00000000" w:rsidR="00000000" w:rsidRPr="00000000">
        <w:rPr>
          <w:rtl w:val="0"/>
        </w:rPr>
        <w:t xml:space="preserve">The "Kivela" Exception:</w:t>
      </w:r>
    </w:p>
    <w:p w:rsidR="00000000" w:rsidDel="00000000" w:rsidP="00000000" w:rsidRDefault="00000000" w:rsidRPr="00000000" w14:paraId="00000060">
      <w:pPr>
        <w:pBdr>
          <w:top w:color="auto" w:space="0" w:sz="0" w:val="none"/>
          <w:bottom w:color="auto" w:space="0" w:sz="0" w:val="none"/>
          <w:between w:color="auto" w:space="0" w:sz="0" w:val="none"/>
        </w:pBdr>
        <w:spacing w:after="240" w:lineRule="auto"/>
        <w:rPr/>
      </w:pPr>
      <w:r w:rsidDel="00000000" w:rsidR="00000000" w:rsidRPr="00000000">
        <w:rPr>
          <w:rtl w:val="0"/>
        </w:rPr>
        <w:t xml:space="preserve">There is a narrow exception in Michigan under Kivela v. Department of Treasury, 449 Mich. 220 (1995).23 The Michigan Supreme Court held that the exclusionary rule might apply in civil proceedings that are "quasi-criminal" in nature or where there is collusion between the private actor and the government. A standard divorce or custody trial is rarely considered "quasi-criminal." However, a criminal contempt hearing (for violating a PPO) might be. Unless the litigant was acting as an agent of the police, the Kivela exception is unlikely to bar the evidence in a custody determination.</w:t>
      </w:r>
    </w:p>
    <w:p w:rsidR="00000000" w:rsidDel="00000000" w:rsidP="00000000" w:rsidRDefault="00000000" w:rsidRPr="00000000" w14:paraId="0000006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nu8dw34jwzor" w:id="14"/>
      <w:bookmarkEnd w:id="14"/>
      <w:r w:rsidDel="00000000" w:rsidR="00000000" w:rsidRPr="00000000">
        <w:rPr>
          <w:b w:val="1"/>
          <w:bCs w:val="1"/>
          <w:color w:val="1f1f1f"/>
          <w:sz w:val="26"/>
          <w:szCs w:val="26"/>
          <w:rtl w:val="0"/>
        </w:rPr>
        <w:t xml:space="preserve">4.4. The "Clean Hands" Doctrine vs. The Best Interests of the Child</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Even if the evidence is admissible under the rules of evidence and the private search doctrine, a judge has equitable discretion to exclude it. The doctrine of </w:t>
      </w:r>
      <w:r w:rsidDel="00000000" w:rsidR="00000000" w:rsidRPr="00000000">
        <w:rPr>
          <w:b w:val="1"/>
          <w:bCs w:val="1"/>
          <w:color w:val="1f1f1f"/>
          <w:rtl w:val="0"/>
        </w:rPr>
        <w:t xml:space="preserve">"Unclean Hands"</w:t>
      </w:r>
      <w:r w:rsidDel="00000000" w:rsidR="00000000" w:rsidRPr="00000000">
        <w:rPr>
          <w:color w:val="1f1f1f"/>
          <w:rtl w:val="0"/>
        </w:rPr>
        <w:t xml:space="preserve"> posits that "he who comes into equity must come with clean hands" (</w:t>
      </w:r>
      <w:r w:rsidDel="00000000" w:rsidR="00000000" w:rsidRPr="00000000">
        <w:rPr>
          <w:b w:val="1"/>
          <w:bCs w:val="1"/>
          <w:i w:val="1"/>
          <w:iCs w:val="1"/>
          <w:color w:val="1f1f1f"/>
          <w:rtl w:val="0"/>
        </w:rPr>
        <w:t xml:space="preserve">Stachnik v. Winkel</w:t>
      </w:r>
      <w:r w:rsidDel="00000000" w:rsidR="00000000" w:rsidRPr="00000000">
        <w:rPr>
          <w:b w:val="1"/>
          <w:bCs w:val="1"/>
          <w:color w:val="1f1f1f"/>
          <w:rtl w:val="0"/>
        </w:rPr>
        <w:t xml:space="preserve">, 394 Mich. 375 (1975)</w:t>
      </w:r>
      <w:r w:rsidDel="00000000" w:rsidR="00000000" w:rsidRPr="00000000">
        <w:rPr>
          <w:color w:val="1f1f1f"/>
          <w:rtl w:val="0"/>
        </w:rPr>
        <w:t xml:space="preserve">).</w:t>
      </w:r>
      <w:r w:rsidDel="00000000" w:rsidR="00000000" w:rsidRPr="00000000">
        <w:rPr>
          <w:color w:val="444746"/>
          <w:sz w:val="40"/>
          <w:szCs w:val="40"/>
          <w:highlight w:val="white"/>
          <w:vertAlign w:val="superscript"/>
          <w:rtl w:val="0"/>
        </w:rPr>
        <w:t xml:space="preserve">25</w:t>
      </w:r>
      <w:r w:rsidDel="00000000" w:rsidR="00000000" w:rsidRPr="00000000">
        <w:rPr>
          <w:color w:val="1f1f1f"/>
          <w:rtl w:val="0"/>
        </w:rPr>
        <w:t xml:space="preserve"> A judge might say, "You broke the law to get this evidence; I will not reward that conduct by considering it."</w:t>
      </w:r>
    </w:p>
    <w:p w:rsidR="00000000" w:rsidDel="00000000" w:rsidP="00000000" w:rsidRDefault="00000000" w:rsidRPr="00000000" w14:paraId="00000063">
      <w:pPr>
        <w:pBdr>
          <w:top w:color="auto" w:space="0" w:sz="0" w:val="none"/>
          <w:bottom w:color="auto" w:space="0" w:sz="0" w:val="none"/>
          <w:between w:color="auto" w:space="0" w:sz="0" w:val="none"/>
        </w:pBdr>
        <w:spacing w:after="240" w:lineRule="auto"/>
        <w:rPr/>
      </w:pPr>
      <w:r w:rsidDel="00000000" w:rsidR="00000000" w:rsidRPr="00000000">
        <w:rPr>
          <w:rtl w:val="0"/>
        </w:rPr>
        <w:t xml:space="preserve">The Strategic Pivot: MCL 722.23 Supremacy</w:t>
      </w:r>
    </w:p>
    <w:p w:rsidR="00000000" w:rsidDel="00000000" w:rsidP="00000000" w:rsidRDefault="00000000" w:rsidRPr="00000000" w14:paraId="00000064">
      <w:pPr>
        <w:pBdr>
          <w:top w:color="auto" w:space="0" w:sz="0" w:val="none"/>
          <w:bottom w:color="auto" w:space="0" w:sz="0" w:val="none"/>
          <w:between w:color="auto" w:space="0" w:sz="0" w:val="none"/>
        </w:pBdr>
        <w:spacing w:after="240" w:lineRule="auto"/>
        <w:rPr/>
      </w:pPr>
      <w:r w:rsidDel="00000000" w:rsidR="00000000" w:rsidRPr="00000000">
        <w:rPr>
          <w:rtl w:val="0"/>
        </w:rPr>
        <w:t xml:space="preserve">This is where the strategy must pivot to the Best Interests of the Child. Michigan law (MCL 722.23) mandates that in any custody dispute, the "best interests of the child" control.28 This statutory mandate arguably supersedes equitable maxims.</w:t>
      </w:r>
    </w:p>
    <w:p w:rsidR="00000000" w:rsidDel="00000000" w:rsidP="00000000" w:rsidRDefault="00000000" w:rsidRPr="00000000" w14:paraId="00000065">
      <w:pPr>
        <w:pBdr>
          <w:top w:color="auto" w:space="0" w:sz="0" w:val="none"/>
          <w:bottom w:color="auto" w:space="0" w:sz="0" w:val="none"/>
          <w:between w:color="auto" w:space="0" w:sz="0" w:val="none"/>
        </w:pBdr>
        <w:spacing w:after="240" w:lineRule="auto"/>
        <w:rPr/>
      </w:pPr>
      <w:r w:rsidDel="00000000" w:rsidR="00000000" w:rsidRPr="00000000">
        <w:rPr>
          <w:rtl w:val="0"/>
        </w:rPr>
        <w:t xml:space="preserve">The Argument:</w:t>
      </w:r>
    </w:p>
    <w:p w:rsidR="00000000" w:rsidDel="00000000" w:rsidP="00000000" w:rsidRDefault="00000000" w:rsidRPr="00000000" w14:paraId="00000066">
      <w:pPr>
        <w:pBdr>
          <w:top w:color="auto" w:space="0" w:sz="0" w:val="none"/>
          <w:bottom w:color="auto" w:space="0" w:sz="0" w:val="none"/>
          <w:between w:color="auto" w:space="0" w:sz="0" w:val="none"/>
        </w:pBdr>
        <w:spacing w:after="240" w:lineRule="auto"/>
        <w:rPr/>
      </w:pPr>
      <w:r w:rsidDel="00000000" w:rsidR="00000000" w:rsidRPr="00000000">
        <w:rPr>
          <w:rtl w:val="0"/>
        </w:rPr>
        <w:t xml:space="preserve">"Your Honor, the doctrine of Clean Hands applies to the equitable relief of the parties—for example, the division of assets. It cannot be applied to suppress evidence regarding the safety and welfare of a minor child. Under MCL 722.23, this Court has a statutory duty to consider the moral fitness of the parties and the mental and physical health of the child. To exclude this evidence because of the method of its procurement would be to prioritize the privacy of the parent over the safety of the child, which is contrary to the Child Custody Act. The Court must see this evidence to fulfill its statutory obligation."</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This argument forces the court to acknowledge that its duty to the child is greater than its distaste for the "snooping" spouse. It reframes the "hacker" as a "protector."</w:t>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c8bng5ogn83i" w:id="15"/>
      <w:bookmarkEnd w:id="15"/>
      <w:r w:rsidDel="00000000" w:rsidR="00000000" w:rsidRPr="00000000">
        <w:rPr>
          <w:b w:val="1"/>
          <w:bCs w:val="1"/>
          <w:color w:val="1f1f1f"/>
          <w:sz w:val="34"/>
          <w:szCs w:val="34"/>
          <w:rtl w:val="0"/>
        </w:rPr>
        <w:t xml:space="preserve">5. Domestic Violence, Eavesdropping, and Statutory Exceptions</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"messy" case often involves recordings of domestic violence. Michigan's eavesdropping laws present a specific hurdle that is distinct from the unauthorized computer access statutes.</w:t>
      </w:r>
    </w:p>
    <w:p w:rsidR="00000000" w:rsidDel="00000000" w:rsidP="00000000" w:rsidRDefault="00000000" w:rsidRPr="00000000" w14:paraId="0000006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8k019vyue3a3" w:id="16"/>
      <w:bookmarkEnd w:id="16"/>
      <w:r w:rsidDel="00000000" w:rsidR="00000000" w:rsidRPr="00000000">
        <w:rPr>
          <w:b w:val="1"/>
          <w:bCs w:val="1"/>
          <w:color w:val="1f1f1f"/>
          <w:sz w:val="26"/>
          <w:szCs w:val="26"/>
          <w:rtl w:val="0"/>
        </w:rPr>
        <w:t xml:space="preserve">5.1. The Eavesdropping Statute and the Participant Exception</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120" w:lineRule="auto"/>
        <w:rPr>
          <w:color w:val="444746"/>
          <w:sz w:val="40"/>
          <w:szCs w:val="40"/>
          <w:highlight w:val="white"/>
          <w:vertAlign w:val="superscript"/>
        </w:rPr>
      </w:pPr>
      <w:r w:rsidDel="00000000" w:rsidR="00000000" w:rsidRPr="00000000">
        <w:rPr>
          <w:b w:val="1"/>
          <w:bCs w:val="1"/>
          <w:color w:val="1f1f1f"/>
          <w:rtl w:val="0"/>
        </w:rPr>
        <w:t xml:space="preserve">MCL 750.539c</w:t>
      </w:r>
      <w:r w:rsidDel="00000000" w:rsidR="00000000" w:rsidRPr="00000000">
        <w:rPr>
          <w:color w:val="1f1f1f"/>
          <w:rtl w:val="0"/>
        </w:rPr>
        <w:t xml:space="preserve"> makes it a felony to use a device to eavesdrop on a private conversation without the consent of all parties.</w:t>
      </w:r>
      <w:r w:rsidDel="00000000" w:rsidR="00000000" w:rsidRPr="00000000">
        <w:rPr>
          <w:color w:val="444746"/>
          <w:sz w:val="40"/>
          <w:szCs w:val="40"/>
          <w:highlight w:val="white"/>
          <w:vertAlign w:val="superscript"/>
          <w:rtl w:val="0"/>
        </w:rPr>
        <w:t xml:space="preserve">29</w:t>
      </w:r>
      <w:r w:rsidDel="00000000" w:rsidR="00000000" w:rsidRPr="00000000">
        <w:rPr>
          <w:color w:val="1f1f1f"/>
          <w:rtl w:val="0"/>
        </w:rPr>
        <w:t xml:space="preserve"> However, this statute has a critical judicial exception carved out in </w:t>
      </w:r>
      <w:r w:rsidDel="00000000" w:rsidR="00000000" w:rsidRPr="00000000">
        <w:rPr>
          <w:b w:val="1"/>
          <w:bCs w:val="1"/>
          <w:i w:val="1"/>
          <w:iCs w:val="1"/>
          <w:color w:val="1f1f1f"/>
          <w:rtl w:val="0"/>
        </w:rPr>
        <w:t xml:space="preserve">Sullivan v. Gray</w:t>
      </w:r>
      <w:r w:rsidDel="00000000" w:rsidR="00000000" w:rsidRPr="00000000">
        <w:rPr>
          <w:b w:val="1"/>
          <w:bCs w:val="1"/>
          <w:color w:val="1f1f1f"/>
          <w:rtl w:val="0"/>
        </w:rPr>
        <w:t xml:space="preserve">, 117 Mich App 476 (1982)</w:t>
      </w:r>
      <w:r w:rsidDel="00000000" w:rsidR="00000000" w:rsidRPr="00000000">
        <w:rPr>
          <w:color w:val="1f1f1f"/>
          <w:rtl w:val="0"/>
        </w:rPr>
        <w:t xml:space="preserve">.</w:t>
      </w:r>
      <w:r w:rsidDel="00000000" w:rsidR="00000000" w:rsidRPr="00000000">
        <w:rPr>
          <w:color w:val="444746"/>
          <w:sz w:val="40"/>
          <w:szCs w:val="40"/>
          <w:highlight w:val="white"/>
          <w:vertAlign w:val="superscript"/>
          <w:rtl w:val="0"/>
        </w:rPr>
        <w:t xml:space="preserve">30</w:t>
      </w:r>
    </w:p>
    <w:p w:rsidR="00000000" w:rsidDel="00000000" w:rsidP="00000000" w:rsidRDefault="00000000" w:rsidRPr="00000000" w14:paraId="0000006D">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Participant Exception:</w:t>
      </w:r>
      <w:r w:rsidDel="00000000" w:rsidR="00000000" w:rsidRPr="00000000">
        <w:rPr>
          <w:color w:val="1f1f1f"/>
          <w:rtl w:val="0"/>
        </w:rPr>
        <w:t xml:space="preserve"> The Michigan Court of Appeals held that the statute prohibits eavesdropping by </w:t>
      </w:r>
      <w:r w:rsidDel="00000000" w:rsidR="00000000" w:rsidRPr="00000000">
        <w:rPr>
          <w:i w:val="1"/>
          <w:iCs w:val="1"/>
          <w:color w:val="1f1f1f"/>
          <w:rtl w:val="0"/>
        </w:rPr>
        <w:t xml:space="preserve">third parties</w:t>
      </w:r>
      <w:r w:rsidDel="00000000" w:rsidR="00000000" w:rsidRPr="00000000">
        <w:rPr>
          <w:color w:val="1f1f1f"/>
          <w:rtl w:val="0"/>
        </w:rPr>
        <w:t xml:space="preserve">, not by participants in the conversation. Therefore, a person can legally record a conversation </w:t>
      </w:r>
      <w:r w:rsidDel="00000000" w:rsidR="00000000" w:rsidRPr="00000000">
        <w:rPr>
          <w:i w:val="1"/>
          <w:iCs w:val="1"/>
          <w:color w:val="1f1f1f"/>
          <w:rtl w:val="0"/>
        </w:rPr>
        <w:t xml:space="preserve">they are participating in</w:t>
      </w:r>
      <w:r w:rsidDel="00000000" w:rsidR="00000000" w:rsidRPr="00000000">
        <w:rPr>
          <w:color w:val="1f1f1f"/>
          <w:rtl w:val="0"/>
        </w:rPr>
        <w:t xml:space="preserve">, even if the other party does not know they are being recorded. Michigan is effectively a </w:t>
      </w:r>
      <w:r w:rsidDel="00000000" w:rsidR="00000000" w:rsidRPr="00000000">
        <w:rPr>
          <w:b w:val="1"/>
          <w:bCs w:val="1"/>
          <w:color w:val="1f1f1f"/>
          <w:rtl w:val="0"/>
        </w:rPr>
        <w:t xml:space="preserve">one-party consent state</w:t>
      </w:r>
      <w:r w:rsidDel="00000000" w:rsidR="00000000" w:rsidRPr="00000000">
        <w:rPr>
          <w:color w:val="1f1f1f"/>
          <w:rtl w:val="0"/>
        </w:rPr>
        <w:t xml:space="preserve"> via case law (though the statute reads like two-party consent).</w:t>
      </w:r>
    </w:p>
    <w:p w:rsidR="00000000" w:rsidDel="00000000" w:rsidP="00000000" w:rsidRDefault="00000000" w:rsidRPr="00000000" w14:paraId="0000006E">
      <w:pPr>
        <w:numPr>
          <w:ilvl w:val="0"/>
          <w:numId w:val="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Reaffirmation in </w:t>
      </w:r>
      <w:r w:rsidDel="00000000" w:rsidR="00000000" w:rsidRPr="00000000">
        <w:rPr>
          <w:b w:val="1"/>
          <w:bCs w:val="1"/>
          <w:i w:val="1"/>
          <w:iCs w:val="1"/>
          <w:color w:val="1f1f1f"/>
          <w:rtl w:val="0"/>
        </w:rPr>
        <w:t xml:space="preserve">Fisher v. Perron</w:t>
      </w:r>
      <w:r w:rsidDel="00000000" w:rsidR="00000000" w:rsidRPr="00000000">
        <w:rPr>
          <w:b w:val="1"/>
          <w:bCs w:val="1"/>
          <w:color w:val="1f1f1f"/>
          <w:rtl w:val="0"/>
        </w:rPr>
        <w:t xml:space="preserve">:</w:t>
      </w:r>
      <w:r w:rsidDel="00000000" w:rsidR="00000000" w:rsidRPr="00000000">
        <w:rPr>
          <w:color w:val="1f1f1f"/>
          <w:rtl w:val="0"/>
        </w:rPr>
        <w:t xml:space="preserve"> This exception was recently reaffirmed by the Sixth Circuit in </w:t>
      </w:r>
      <w:r w:rsidDel="00000000" w:rsidR="00000000" w:rsidRPr="00000000">
        <w:rPr>
          <w:b w:val="1"/>
          <w:bCs w:val="1"/>
          <w:i w:val="1"/>
          <w:iCs w:val="1"/>
          <w:color w:val="1f1f1f"/>
          <w:rtl w:val="0"/>
        </w:rPr>
        <w:t xml:space="preserve">Fisher v. Perron</w:t>
      </w:r>
      <w:r w:rsidDel="00000000" w:rsidR="00000000" w:rsidRPr="00000000">
        <w:rPr>
          <w:b w:val="1"/>
          <w:bCs w:val="1"/>
          <w:color w:val="1f1f1f"/>
          <w:rtl w:val="0"/>
        </w:rPr>
        <w:t xml:space="preserve"> (2022)</w:t>
      </w:r>
      <w:r w:rsidDel="00000000" w:rsidR="00000000" w:rsidRPr="00000000">
        <w:rPr>
          <w:color w:val="1f1f1f"/>
          <w:rtl w:val="0"/>
        </w:rPr>
        <w:t xml:space="preserve">, which confirmed that the "participant exception" remains valid Michigan law.</w:t>
      </w:r>
      <w:r w:rsidDel="00000000" w:rsidR="00000000" w:rsidRPr="00000000">
        <w:rPr>
          <w:color w:val="444746"/>
          <w:sz w:val="40"/>
          <w:szCs w:val="40"/>
          <w:highlight w:val="white"/>
          <w:vertAlign w:val="superscript"/>
          <w:rtl w:val="0"/>
        </w:rPr>
        <w:t xml:space="preserve">32</w:t>
      </w:r>
    </w:p>
    <w:p w:rsidR="00000000" w:rsidDel="00000000" w:rsidP="00000000" w:rsidRDefault="00000000" w:rsidRPr="00000000" w14:paraId="0000006F">
      <w:pPr>
        <w:pBdr>
          <w:top w:color="auto" w:space="0" w:sz="0" w:val="none"/>
          <w:bottom w:color="auto" w:space="0" w:sz="0" w:val="none"/>
          <w:between w:color="auto" w:space="0" w:sz="0" w:val="none"/>
        </w:pBdr>
        <w:spacing w:after="240" w:lineRule="auto"/>
        <w:rPr/>
      </w:pPr>
      <w:r w:rsidDel="00000000" w:rsidR="00000000" w:rsidRPr="00000000">
        <w:rPr>
          <w:rtl w:val="0"/>
        </w:rPr>
        <w:t xml:space="preserve">Application:</w:t>
      </w:r>
    </w:p>
    <w:p w:rsidR="00000000" w:rsidDel="00000000" w:rsidP="00000000" w:rsidRDefault="00000000" w:rsidRPr="00000000" w14:paraId="00000070">
      <w:pPr>
        <w:pBdr>
          <w:top w:color="auto" w:space="0" w:sz="0" w:val="none"/>
          <w:bottom w:color="auto" w:space="0" w:sz="0" w:val="none"/>
          <w:between w:color="auto" w:space="0" w:sz="0" w:val="none"/>
        </w:pBdr>
        <w:spacing w:after="240" w:lineRule="auto"/>
        <w:rPr/>
      </w:pPr>
      <w:r w:rsidDel="00000000" w:rsidR="00000000" w:rsidRPr="00000000">
        <w:rPr>
          <w:rtl w:val="0"/>
        </w:rPr>
        <w:t xml:space="preserve">If the litigant recorded a fight, a threat, or a discussion about the children while they were in the room, that recording is legal and admissible. If, however, the litigant left a recorder in a room and walked away (recording the spouse talking to a third party), that is a felony and likely inadmissible under MCL 750.539e, which bars the use of evidence obtained in violation of the statute.</w:t>
      </w:r>
    </w:p>
    <w:p w:rsidR="00000000" w:rsidDel="00000000" w:rsidP="00000000" w:rsidRDefault="00000000" w:rsidRPr="00000000" w14:paraId="0000007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vul3i0962tkh" w:id="17"/>
      <w:bookmarkEnd w:id="17"/>
      <w:r w:rsidDel="00000000" w:rsidR="00000000" w:rsidRPr="00000000">
        <w:rPr>
          <w:b w:val="1"/>
          <w:bCs w:val="1"/>
          <w:color w:val="1f1f1f"/>
          <w:sz w:val="26"/>
          <w:szCs w:val="26"/>
          <w:rtl w:val="0"/>
        </w:rPr>
        <w:t xml:space="preserve">5.2. The Domestic Violence Hearsay Exception (MCL 768.27c)</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f1f1f"/>
          <w:rtl w:val="0"/>
        </w:rPr>
        <w:t xml:space="preserve">Domestic violence cases often suffer from recantation or fear of testifying. </w:t>
      </w:r>
      <w:r w:rsidDel="00000000" w:rsidR="00000000" w:rsidRPr="00000000">
        <w:rPr>
          <w:b w:val="1"/>
          <w:bCs w:val="1"/>
          <w:color w:val="1f1f1f"/>
          <w:rtl w:val="0"/>
        </w:rPr>
        <w:t xml:space="preserve">MCL 768.27c</w:t>
      </w:r>
      <w:r w:rsidDel="00000000" w:rsidR="00000000" w:rsidRPr="00000000">
        <w:rPr>
          <w:color w:val="1f1f1f"/>
          <w:rtl w:val="0"/>
        </w:rPr>
        <w:t xml:space="preserve"> is a powerful statutory tool that allows for the admission of hearsay statements regarding domestic violence if the statement was made to law enforcement or is corroborated by other evidence.</w:t>
      </w:r>
      <w:r w:rsidDel="00000000" w:rsidR="00000000" w:rsidRPr="00000000">
        <w:rPr>
          <w:color w:val="444746"/>
          <w:sz w:val="40"/>
          <w:szCs w:val="40"/>
          <w:highlight w:val="white"/>
          <w:vertAlign w:val="superscript"/>
          <w:rtl w:val="0"/>
        </w:rPr>
        <w:t xml:space="preserve">33</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While </w:t>
      </w:r>
      <w:r w:rsidDel="00000000" w:rsidR="00000000" w:rsidRPr="00000000">
        <w:rPr>
          <w:b w:val="1"/>
          <w:bCs w:val="1"/>
          <w:color w:val="1f1f1f"/>
          <w:rtl w:val="0"/>
        </w:rPr>
        <w:t xml:space="preserve">MCL 768.27c</w:t>
      </w:r>
      <w:r w:rsidDel="00000000" w:rsidR="00000000" w:rsidRPr="00000000">
        <w:rPr>
          <w:color w:val="1f1f1f"/>
          <w:rtl w:val="0"/>
        </w:rPr>
        <w:t xml:space="preserve"> is part of the Code of Criminal Procedure, sophisticated family law practitioners argue its applicability by analogy in civil custody cases involving DV. The argument is that if the legislature deemed such statements reliable enough to convict a defendant of a crime (where the burden of proof is "beyond a reasonable doubt"), they are certainly reliable enough for a civil custody determination (where the standard is "preponderance of the evidence" or "clear and convincing evidence").</w:t>
      </w:r>
    </w:p>
    <w:p w:rsidR="00000000" w:rsidDel="00000000" w:rsidP="00000000" w:rsidRDefault="00000000" w:rsidRPr="00000000" w14:paraId="00000074">
      <w:pPr>
        <w:pBdr>
          <w:top w:color="auto" w:space="0" w:sz="0" w:val="none"/>
          <w:bottom w:color="auto" w:space="0" w:sz="0" w:val="none"/>
          <w:between w:color="auto" w:space="0" w:sz="0" w:val="none"/>
        </w:pBdr>
        <w:spacing w:after="240" w:lineRule="auto"/>
        <w:rPr/>
      </w:pPr>
      <w:r w:rsidDel="00000000" w:rsidR="00000000" w:rsidRPr="00000000">
        <w:rPr>
          <w:rtl w:val="0"/>
        </w:rPr>
        <w:t xml:space="preserve">Trustworthiness Factors (MCL 768.27c(2)):</w:t>
      </w:r>
    </w:p>
    <w:p w:rsidR="00000000" w:rsidDel="00000000" w:rsidP="00000000" w:rsidRDefault="00000000" w:rsidRPr="00000000" w14:paraId="00000075">
      <w:pPr>
        <w:pBdr>
          <w:top w:color="auto" w:space="0" w:sz="0" w:val="none"/>
          <w:bottom w:color="auto" w:space="0" w:sz="0" w:val="none"/>
          <w:between w:color="auto" w:space="0" w:sz="0" w:val="none"/>
        </w:pBdr>
        <w:spacing w:after="240" w:lineRule="auto"/>
        <w:rPr/>
      </w:pPr>
      <w:r w:rsidDel="00000000" w:rsidR="00000000" w:rsidRPr="00000000">
        <w:rPr>
          <w:rtl w:val="0"/>
        </w:rPr>
        <w:t xml:space="preserve">To admit these statements (e.g., a statement made by the victim to a neighbor immediately after an incident), the court looks at:</w:t>
      </w:r>
    </w:p>
    <w:p w:rsidR="00000000" w:rsidDel="00000000" w:rsidP="00000000" w:rsidRDefault="00000000" w:rsidRPr="00000000" w14:paraId="00000076">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Whether the statement was made in contemplation of litigation (spontaneous statements are better).</w:t>
      </w:r>
    </w:p>
    <w:p w:rsidR="00000000" w:rsidDel="00000000" w:rsidP="00000000" w:rsidRDefault="00000000" w:rsidRPr="00000000" w14:paraId="00000077">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Whether the declarant has a bias or motive to fabricate.</w:t>
      </w:r>
    </w:p>
    <w:p w:rsidR="00000000" w:rsidDel="00000000" w:rsidP="00000000" w:rsidRDefault="00000000" w:rsidRPr="00000000" w14:paraId="00000078">
      <w:pPr>
        <w:numPr>
          <w:ilvl w:val="0"/>
          <w:numId w:val="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Whether the statement is corroborated by evidence (photos of injuries, GPS data showing the accused at the scene).</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By layering these arguments—using GPS to corroborate the hearsay statement under MCL 768.27c—the litigant builds a web of admissibility that is difficult to dismantle.</w:t>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nn23i3d8y4zm" w:id="18"/>
      <w:bookmarkEnd w:id="18"/>
      <w:r w:rsidDel="00000000" w:rsidR="00000000" w:rsidRPr="00000000">
        <w:rPr>
          <w:b w:val="1"/>
          <w:bCs w:val="1"/>
          <w:color w:val="1f1f1f"/>
          <w:sz w:val="34"/>
          <w:szCs w:val="34"/>
          <w:rtl w:val="0"/>
        </w:rPr>
        <w:t xml:space="preserve">6. Strategic Synthesis and Conclusion</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successful admission of "edge case" electronic evidence in a Michigan domestic relations matter requires a disciplined, multi-layered strategy that anticipates criminal, civil, and equitable objections. The litigant cannot simply present the evidence; they must build a fortress around it.</w:t>
      </w:r>
    </w:p>
    <w:p w:rsidR="00000000" w:rsidDel="00000000" w:rsidP="00000000" w:rsidRDefault="00000000" w:rsidRPr="00000000" w14:paraId="0000007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ehvuwrkl2h7t" w:id="19"/>
      <w:bookmarkEnd w:id="19"/>
      <w:r w:rsidDel="00000000" w:rsidR="00000000" w:rsidRPr="00000000">
        <w:rPr>
          <w:b w:val="1"/>
          <w:bCs w:val="1"/>
          <w:color w:val="1f1f1f"/>
          <w:sz w:val="26"/>
          <w:szCs w:val="26"/>
          <w:rtl w:val="0"/>
        </w:rPr>
        <w:t xml:space="preserve">6.1. Summary of Strategic Recommendations</w:t>
      </w:r>
    </w:p>
    <w:p w:rsidR="00000000" w:rsidDel="00000000" w:rsidP="00000000" w:rsidRDefault="00000000" w:rsidRPr="00000000" w14:paraId="0000007E">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Procedural Vigilance:</w:t>
      </w:r>
      <w:r w:rsidDel="00000000" w:rsidR="00000000" w:rsidRPr="00000000">
        <w:rPr>
          <w:color w:val="1f1f1f"/>
          <w:rtl w:val="0"/>
        </w:rPr>
        <w:t xml:space="preserve"> Treat the referee hearing as a trial. Record everything. If evidence is blocked, make a detailed Offer of Proof to preserve the issue for the judge. File objections within the strict 21-day window of </w:t>
      </w:r>
      <w:r w:rsidDel="00000000" w:rsidR="00000000" w:rsidRPr="00000000">
        <w:rPr>
          <w:b w:val="1"/>
          <w:bCs w:val="1"/>
          <w:color w:val="1f1f1f"/>
          <w:rtl w:val="0"/>
        </w:rPr>
        <w:t xml:space="preserve">MCL 552.507(4)</w:t>
      </w:r>
      <w:r w:rsidDel="00000000" w:rsidR="00000000" w:rsidRPr="00000000">
        <w:rPr>
          <w:color w:val="1f1f1f"/>
          <w:rtl w:val="0"/>
        </w:rPr>
        <w:t xml:space="preserve">.</w:t>
      </w:r>
    </w:p>
    <w:p w:rsidR="00000000" w:rsidDel="00000000" w:rsidP="00000000" w:rsidRDefault="00000000" w:rsidRPr="00000000" w14:paraId="0000007F">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Authentication Overload:</w:t>
      </w:r>
      <w:r w:rsidDel="00000000" w:rsidR="00000000" w:rsidRPr="00000000">
        <w:rPr>
          <w:color w:val="1f1f1f"/>
          <w:rtl w:val="0"/>
        </w:rPr>
        <w:t xml:space="preserve"> Do not rely on the evidence to speak for itself. Use </w:t>
      </w:r>
      <w:r w:rsidDel="00000000" w:rsidR="00000000" w:rsidRPr="00000000">
        <w:rPr>
          <w:b w:val="1"/>
          <w:bCs w:val="1"/>
          <w:color w:val="1f1f1f"/>
          <w:rtl w:val="0"/>
        </w:rPr>
        <w:t xml:space="preserve">MRE 901(b)(4)</w:t>
      </w:r>
      <w:r w:rsidDel="00000000" w:rsidR="00000000" w:rsidRPr="00000000">
        <w:rPr>
          <w:color w:val="1f1f1f"/>
          <w:rtl w:val="0"/>
        </w:rPr>
        <w:t xml:space="preserve"> (Distinctive Characteristics) and </w:t>
      </w:r>
      <w:r w:rsidDel="00000000" w:rsidR="00000000" w:rsidRPr="00000000">
        <w:rPr>
          <w:b w:val="1"/>
          <w:bCs w:val="1"/>
          <w:color w:val="1f1f1f"/>
          <w:rtl w:val="0"/>
        </w:rPr>
        <w:t xml:space="preserve">MRE 901(b)(9)</w:t>
      </w:r>
      <w:r w:rsidDel="00000000" w:rsidR="00000000" w:rsidRPr="00000000">
        <w:rPr>
          <w:color w:val="1f1f1f"/>
          <w:rtl w:val="0"/>
        </w:rPr>
        <w:t xml:space="preserve"> (Process or System) to authenticate text messages and GPS logs. Request judicial notice of technical reliability under </w:t>
      </w:r>
      <w:r w:rsidDel="00000000" w:rsidR="00000000" w:rsidRPr="00000000">
        <w:rPr>
          <w:b w:val="1"/>
          <w:bCs w:val="1"/>
          <w:color w:val="1f1f1f"/>
          <w:rtl w:val="0"/>
        </w:rPr>
        <w:t xml:space="preserve">MRE 201</w:t>
      </w:r>
      <w:r w:rsidDel="00000000" w:rsidR="00000000" w:rsidRPr="00000000">
        <w:rPr>
          <w:color w:val="1f1f1f"/>
          <w:rtl w:val="0"/>
        </w:rPr>
        <w:t xml:space="preserve">.</w:t>
      </w:r>
    </w:p>
    <w:p w:rsidR="00000000" w:rsidDel="00000000" w:rsidP="00000000" w:rsidRDefault="00000000" w:rsidRPr="00000000" w14:paraId="00000080">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Private Search Shield:</w:t>
      </w:r>
      <w:r w:rsidDel="00000000" w:rsidR="00000000" w:rsidRPr="00000000">
        <w:rPr>
          <w:color w:val="1f1f1f"/>
          <w:rtl w:val="0"/>
        </w:rPr>
        <w:t xml:space="preserve"> Counter any Constitutional Exclusionary Rule arguments by citing </w:t>
      </w:r>
      <w:r w:rsidDel="00000000" w:rsidR="00000000" w:rsidRPr="00000000">
        <w:rPr>
          <w:b w:val="1"/>
          <w:bCs w:val="1"/>
          <w:i w:val="1"/>
          <w:iCs w:val="1"/>
          <w:color w:val="1f1f1f"/>
          <w:rtl w:val="0"/>
        </w:rPr>
        <w:t xml:space="preserve">Burdeau</w:t>
      </w:r>
      <w:r w:rsidDel="00000000" w:rsidR="00000000" w:rsidRPr="00000000">
        <w:rPr>
          <w:color w:val="1f1f1f"/>
          <w:rtl w:val="0"/>
        </w:rPr>
        <w:t xml:space="preserve"> and the private search doctrine. Emphasize that no government actor was involved in procuring the data.</w:t>
      </w:r>
    </w:p>
    <w:p w:rsidR="00000000" w:rsidDel="00000000" w:rsidP="00000000" w:rsidRDefault="00000000" w:rsidRPr="00000000" w14:paraId="00000081">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Reframing "Unclean Hands":</w:t>
      </w:r>
      <w:r w:rsidDel="00000000" w:rsidR="00000000" w:rsidRPr="00000000">
        <w:rPr>
          <w:color w:val="1f1f1f"/>
          <w:rtl w:val="0"/>
        </w:rPr>
        <w:t xml:space="preserve"> Defeat the equitable objection to "hacked" data by invoking the supremacy of </w:t>
      </w:r>
      <w:r w:rsidDel="00000000" w:rsidR="00000000" w:rsidRPr="00000000">
        <w:rPr>
          <w:b w:val="1"/>
          <w:bCs w:val="1"/>
          <w:color w:val="1f1f1f"/>
          <w:rtl w:val="0"/>
        </w:rPr>
        <w:t xml:space="preserve">MCL 722.23</w:t>
      </w:r>
      <w:r w:rsidDel="00000000" w:rsidR="00000000" w:rsidRPr="00000000">
        <w:rPr>
          <w:color w:val="1f1f1f"/>
          <w:rtl w:val="0"/>
        </w:rPr>
        <w:t xml:space="preserve"> (Best Interests of the Child). Argue that the court's statutory duty to protect the child overrides the clean hands doctrine.</w:t>
      </w:r>
    </w:p>
    <w:p w:rsidR="00000000" w:rsidDel="00000000" w:rsidP="00000000" w:rsidRDefault="00000000" w:rsidRPr="00000000" w14:paraId="00000082">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The Participant Exception:</w:t>
      </w:r>
      <w:r w:rsidDel="00000000" w:rsidR="00000000" w:rsidRPr="00000000">
        <w:rPr>
          <w:color w:val="1f1f1f"/>
          <w:rtl w:val="0"/>
        </w:rPr>
        <w:t xml:space="preserve"> Rely on </w:t>
      </w:r>
      <w:r w:rsidDel="00000000" w:rsidR="00000000" w:rsidRPr="00000000">
        <w:rPr>
          <w:b w:val="1"/>
          <w:bCs w:val="1"/>
          <w:i w:val="1"/>
          <w:iCs w:val="1"/>
          <w:color w:val="1f1f1f"/>
          <w:rtl w:val="0"/>
        </w:rPr>
        <w:t xml:space="preserve">Sullivan v. Gray</w:t>
      </w:r>
      <w:r w:rsidDel="00000000" w:rsidR="00000000" w:rsidRPr="00000000">
        <w:rPr>
          <w:color w:val="1f1f1f"/>
          <w:rtl w:val="0"/>
        </w:rPr>
        <w:t xml:space="preserve"> to admit recordings of conversations where the litigant was present. Ensure no "third-party" eavesdropping occurred.</w:t>
      </w:r>
    </w:p>
    <w:p w:rsidR="00000000" w:rsidDel="00000000" w:rsidP="00000000" w:rsidRDefault="00000000" w:rsidRPr="00000000" w14:paraId="0000008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ix17ma4t8fzm" w:id="20"/>
      <w:bookmarkEnd w:id="20"/>
      <w:r w:rsidDel="00000000" w:rsidR="00000000" w:rsidRPr="00000000">
        <w:rPr>
          <w:b w:val="1"/>
          <w:bCs w:val="1"/>
          <w:color w:val="1f1f1f"/>
          <w:sz w:val="26"/>
          <w:szCs w:val="26"/>
          <w:rtl w:val="0"/>
        </w:rPr>
        <w:t xml:space="preserve">6.2. Final Outlook</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tension between digital privacy and family safety is acute. While Michigan's criminal statutes regarding unauthorized access are strict, the civil courts prioritize the welfare of the child. By effectively navigating the procedural mechanics of the referee system and articulating the correct legal exceptions, a litigant can turn "problematic" evidence into the decisive factor in a custody or divorce judgment. The key is not to hide the method of procurement, but to justify it through the lens of necessity and child welfare, forcing the court to choose between abstract privacy rights and concrete child safety.</w:t>
      </w:r>
    </w:p>
    <w:p w:rsidR="00000000" w:rsidDel="00000000" w:rsidP="00000000" w:rsidRDefault="00000000" w:rsidRPr="00000000" w14:paraId="0000008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54asrsfqeu95" w:id="21"/>
      <w:bookmarkEnd w:id="21"/>
      <w:r w:rsidDel="00000000" w:rsidR="00000000" w:rsidRPr="00000000">
        <w:rPr>
          <w:b w:val="1"/>
          <w:bCs w:val="1"/>
          <w:color w:val="1f1f1f"/>
          <w:sz w:val="26"/>
          <w:szCs w:val="26"/>
          <w:rtl w:val="0"/>
        </w:rPr>
        <w:t xml:space="preserve">Appendix: Quick-Reference Data Tables</w:t>
      </w:r>
    </w:p>
    <w:p w:rsidR="00000000" w:rsidDel="00000000" w:rsidP="00000000" w:rsidRDefault="00000000" w:rsidRPr="00000000" w14:paraId="0000008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k96z4x6xo1e1" w:id="22"/>
      <w:bookmarkEnd w:id="22"/>
      <w:r w:rsidDel="00000000" w:rsidR="00000000" w:rsidRPr="00000000">
        <w:rPr>
          <w:b w:val="1"/>
          <w:bCs w:val="1"/>
          <w:color w:val="1f1f1f"/>
          <w:sz w:val="22"/>
          <w:szCs w:val="22"/>
          <w:rtl w:val="0"/>
        </w:rPr>
        <w:t xml:space="preserve">Table 1: Admissibility Matrix for Contested Electronic Evidence</w:t>
      </w:r>
    </w:p>
    <w:tbl>
      <w:tblPr>
        <w:tblStyle w:val="Table2"/>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2055"/>
        <w:gridCol w:w="2370"/>
        <w:gridCol w:w="2295"/>
        <w:tblGridChange w:id="0">
          <w:tblGrid>
            <w:gridCol w:w="2040"/>
            <w:gridCol w:w="2055"/>
            <w:gridCol w:w="2370"/>
            <w:gridCol w:w="2295"/>
          </w:tblGrid>
        </w:tblGridChange>
      </w:tblGrid>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spacing w:after="480" w:lineRule="auto"/>
              <w:rPr>
                <w:color w:val="1f1f1f"/>
              </w:rPr>
            </w:pPr>
            <w:r w:rsidDel="00000000" w:rsidR="00000000" w:rsidRPr="00000000">
              <w:rPr>
                <w:b w:val="1"/>
                <w:bCs w:val="1"/>
                <w:color w:val="1f1f1f"/>
                <w:rtl w:val="0"/>
              </w:rPr>
              <w:t xml:space="preserve">Evidence Type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spacing w:after="480" w:lineRule="auto"/>
              <w:rPr>
                <w:color w:val="1f1f1f"/>
              </w:rPr>
            </w:pPr>
            <w:r w:rsidDel="00000000" w:rsidR="00000000" w:rsidRPr="00000000">
              <w:rPr>
                <w:b w:val="1"/>
                <w:bCs w:val="1"/>
                <w:color w:val="1f1f1f"/>
                <w:rtl w:val="0"/>
              </w:rPr>
              <w:t xml:space="preserve">Objection Risk</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spacing w:after="480" w:lineRule="auto"/>
              <w:rPr>
                <w:color w:val="1f1f1f"/>
              </w:rPr>
            </w:pPr>
            <w:r w:rsidDel="00000000" w:rsidR="00000000" w:rsidRPr="00000000">
              <w:rPr>
                <w:b w:val="1"/>
                <w:bCs w:val="1"/>
                <w:color w:val="1f1f1f"/>
                <w:rtl w:val="0"/>
              </w:rPr>
              <w:t xml:space="preserve">Applicable MRE/MCL</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spacing w:after="480" w:lineRule="auto"/>
              <w:rPr>
                <w:color w:val="1f1f1f"/>
              </w:rPr>
            </w:pPr>
            <w:r w:rsidDel="00000000" w:rsidR="00000000" w:rsidRPr="00000000">
              <w:rPr>
                <w:b w:val="1"/>
                <w:bCs w:val="1"/>
                <w:color w:val="1f1f1f"/>
                <w:rtl w:val="0"/>
              </w:rPr>
              <w:t xml:space="preserve">Strategy for Admission</w:t>
            </w:r>
            <w:r w:rsidDel="00000000" w:rsidR="00000000" w:rsidRPr="00000000">
              <w:rPr>
                <w:rtl w:val="0"/>
              </w:rPr>
            </w:r>
          </w:p>
        </w:tc>
      </w:tr>
      <w:tr>
        <w:trPr>
          <w:cantSplit w:val="0"/>
          <w:trHeight w:val="3030" w:hRule="atLeast"/>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spacing w:after="480" w:lineRule="auto"/>
              <w:rPr>
                <w:color w:val="1f1f1f"/>
              </w:rPr>
            </w:pPr>
            <w:r w:rsidDel="00000000" w:rsidR="00000000" w:rsidRPr="00000000">
              <w:rPr>
                <w:b w:val="1"/>
                <w:bCs w:val="1"/>
                <w:color w:val="1f1f1f"/>
                <w:rtl w:val="0"/>
              </w:rPr>
              <w:t xml:space="preserve">GPS / Google Timeline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spacing w:after="480" w:lineRule="auto"/>
              <w:rPr>
                <w:color w:val="1f1f1f"/>
              </w:rPr>
            </w:pPr>
            <w:r w:rsidDel="00000000" w:rsidR="00000000" w:rsidRPr="00000000">
              <w:rPr>
                <w:color w:val="1f1f1f"/>
                <w:rtl w:val="0"/>
              </w:rPr>
              <w:t xml:space="preserve">Hearsay (MRE 802)</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MRE 803(6)</w:t>
            </w:r>
            <w:r w:rsidDel="00000000" w:rsidR="00000000" w:rsidRPr="00000000">
              <w:rPr>
                <w:color w:val="1f1f1f"/>
                <w:rtl w:val="0"/>
              </w:rPr>
              <w:t xml:space="preserve"> (Business Record)</w:t>
            </w:r>
          </w:p>
          <w:p w:rsidR="00000000" w:rsidDel="00000000" w:rsidP="00000000" w:rsidRDefault="00000000" w:rsidRPr="00000000" w14:paraId="0000008E">
            <w:pPr>
              <w:spacing w:after="480" w:lineRule="auto"/>
              <w:rPr>
                <w:color w:val="1f1f1f"/>
              </w:rPr>
            </w:pPr>
            <w:r w:rsidDel="00000000" w:rsidR="00000000" w:rsidRPr="00000000">
              <w:rPr>
                <w:rtl w:val="0"/>
              </w:rPr>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MRE 901(b)(9)</w:t>
            </w:r>
            <w:r w:rsidDel="00000000" w:rsidR="00000000" w:rsidRPr="00000000">
              <w:rPr>
                <w:color w:val="1f1f1f"/>
                <w:rtl w:val="0"/>
              </w:rPr>
              <w:t xml:space="preserve"> (Process/System)</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spacing w:after="480" w:lineRule="auto"/>
              <w:rPr>
                <w:color w:val="1f1f1f"/>
              </w:rPr>
            </w:pPr>
            <w:r w:rsidDel="00000000" w:rsidR="00000000" w:rsidRPr="00000000">
              <w:rPr>
                <w:color w:val="1f1f1f"/>
                <w:rtl w:val="0"/>
              </w:rPr>
              <w:t xml:space="preserve">Argue raw data is "machine statement" (not hearsay). Use Judicial Notice (MRE 201) for map accuracy. Verify locations with personal knowledge.</w:t>
            </w:r>
          </w:p>
        </w:tc>
      </w:tr>
      <w:tr>
        <w:trPr>
          <w:cantSplit w:val="0"/>
          <w:trHeight w:val="2475" w:hRule="atLeast"/>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spacing w:after="480" w:lineRule="auto"/>
              <w:rPr>
                <w:color w:val="1f1f1f"/>
              </w:rPr>
            </w:pPr>
            <w:r w:rsidDel="00000000" w:rsidR="00000000" w:rsidRPr="00000000">
              <w:rPr>
                <w:b w:val="1"/>
                <w:bCs w:val="1"/>
                <w:color w:val="1f1f1f"/>
                <w:rtl w:val="0"/>
              </w:rPr>
              <w:t xml:space="preserve">Text Messages (Screenshots)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spacing w:after="480" w:lineRule="auto"/>
              <w:rPr>
                <w:color w:val="1f1f1f"/>
              </w:rPr>
            </w:pPr>
            <w:r w:rsidDel="00000000" w:rsidR="00000000" w:rsidRPr="00000000">
              <w:rPr>
                <w:color w:val="1f1f1f"/>
                <w:rtl w:val="0"/>
              </w:rPr>
              <w:t xml:space="preserve">Authentication (MRE 901)</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spacing w:after="480" w:lineRule="auto"/>
              <w:rPr>
                <w:color w:val="1f1f1f"/>
              </w:rPr>
            </w:pPr>
            <w:r w:rsidDel="00000000" w:rsidR="00000000" w:rsidRPr="00000000">
              <w:rPr>
                <w:b w:val="1"/>
                <w:bCs w:val="1"/>
                <w:color w:val="1f1f1f"/>
                <w:rtl w:val="0"/>
              </w:rPr>
              <w:t xml:space="preserve">MRE 901(b)(4)</w:t>
            </w:r>
            <w:r w:rsidDel="00000000" w:rsidR="00000000" w:rsidRPr="00000000">
              <w:rPr>
                <w:color w:val="1f1f1f"/>
                <w:rtl w:val="0"/>
              </w:rPr>
              <w:t xml:space="preserve"> (Distinctive Characteristics)</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spacing w:after="480" w:lineRule="auto"/>
              <w:rPr>
                <w:color w:val="1f1f1f"/>
              </w:rPr>
            </w:pPr>
            <w:r w:rsidDel="00000000" w:rsidR="00000000" w:rsidRPr="00000000">
              <w:rPr>
                <w:color w:val="1f1f1f"/>
                <w:rtl w:val="0"/>
              </w:rPr>
              <w:t xml:space="preserve">Identify sender via number, nickname, and unique content known only to parties. Admit metadata if available.</w:t>
            </w:r>
          </w:p>
        </w:tc>
      </w:tr>
      <w:tr>
        <w:trPr>
          <w:cantSplit w:val="0"/>
          <w:trHeight w:val="2205" w:hRule="atLeast"/>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spacing w:after="480" w:lineRule="auto"/>
              <w:rPr>
                <w:color w:val="1f1f1f"/>
              </w:rPr>
            </w:pPr>
            <w:r w:rsidDel="00000000" w:rsidR="00000000" w:rsidRPr="00000000">
              <w:rPr>
                <w:b w:val="1"/>
                <w:bCs w:val="1"/>
                <w:color w:val="1f1f1f"/>
                <w:rtl w:val="0"/>
              </w:rPr>
              <w:t xml:space="preserve">Recordings (Participant)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spacing w:after="480" w:lineRule="auto"/>
              <w:rPr>
                <w:color w:val="1f1f1f"/>
              </w:rPr>
            </w:pPr>
            <w:r w:rsidDel="00000000" w:rsidR="00000000" w:rsidRPr="00000000">
              <w:rPr>
                <w:color w:val="1f1f1f"/>
                <w:rtl w:val="0"/>
              </w:rPr>
              <w:t xml:space="preserve">Eavesdropping (MCL 750.539c)</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spacing w:after="480" w:lineRule="auto"/>
              <w:rPr>
                <w:color w:val="1f1f1f"/>
              </w:rPr>
            </w:pPr>
            <w:r w:rsidDel="00000000" w:rsidR="00000000" w:rsidRPr="00000000">
              <w:rPr>
                <w:b w:val="1"/>
                <w:bCs w:val="1"/>
                <w:i w:val="1"/>
                <w:iCs w:val="1"/>
                <w:color w:val="1f1f1f"/>
                <w:rtl w:val="0"/>
              </w:rPr>
              <w:t xml:space="preserve">Sullivan v. Gray</w:t>
            </w:r>
            <w:r w:rsidDel="00000000" w:rsidR="00000000" w:rsidRPr="00000000">
              <w:rPr>
                <w:b w:val="1"/>
                <w:bCs w:val="1"/>
                <w:color w:val="1f1f1f"/>
                <w:rtl w:val="0"/>
              </w:rPr>
              <w:t xml:space="preserve"> Exception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spacing w:after="480" w:lineRule="auto"/>
              <w:rPr>
                <w:color w:val="1f1f1f"/>
              </w:rPr>
            </w:pPr>
            <w:r w:rsidDel="00000000" w:rsidR="00000000" w:rsidRPr="00000000">
              <w:rPr>
                <w:b w:val="1"/>
                <w:bCs w:val="1"/>
                <w:color w:val="1f1f1f"/>
                <w:rtl w:val="0"/>
              </w:rPr>
              <w:t xml:space="preserve">Admissible</w:t>
            </w:r>
            <w:r w:rsidDel="00000000" w:rsidR="00000000" w:rsidRPr="00000000">
              <w:rPr>
                <w:color w:val="1f1f1f"/>
                <w:rtl w:val="0"/>
              </w:rPr>
              <w:t xml:space="preserve"> if you were a party to the conversation. State clearly: "I was present and recording."</w:t>
            </w:r>
          </w:p>
        </w:tc>
      </w:tr>
      <w:tr>
        <w:trPr>
          <w:cantSplit w:val="0"/>
          <w:trHeight w:val="3030" w:hRule="atLeast"/>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spacing w:after="480" w:lineRule="auto"/>
              <w:rPr>
                <w:color w:val="1f1f1f"/>
              </w:rPr>
            </w:pPr>
            <w:r w:rsidDel="00000000" w:rsidR="00000000" w:rsidRPr="00000000">
              <w:rPr>
                <w:b w:val="1"/>
                <w:bCs w:val="1"/>
                <w:color w:val="1f1f1f"/>
                <w:rtl w:val="0"/>
              </w:rPr>
              <w:t xml:space="preserve">Recordings (Non-Participant)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spacing w:after="480" w:lineRule="auto"/>
              <w:rPr>
                <w:color w:val="1f1f1f"/>
              </w:rPr>
            </w:pPr>
            <w:r w:rsidDel="00000000" w:rsidR="00000000" w:rsidRPr="00000000">
              <w:rPr>
                <w:color w:val="1f1f1f"/>
                <w:rtl w:val="0"/>
              </w:rPr>
              <w:t xml:space="preserve">Eavesdropping (Felony)</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spacing w:after="480" w:lineRule="auto"/>
              <w:rPr>
                <w:color w:val="1f1f1f"/>
              </w:rPr>
            </w:pPr>
            <w:r w:rsidDel="00000000" w:rsidR="00000000" w:rsidRPr="00000000">
              <w:rPr>
                <w:b w:val="1"/>
                <w:bCs w:val="1"/>
                <w:color w:val="1f1f1f"/>
                <w:rtl w:val="0"/>
              </w:rPr>
              <w:t xml:space="preserve">MCL 750.539c</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spacing w:after="480" w:lineRule="auto"/>
              <w:rPr>
                <w:color w:val="1f1f1f"/>
              </w:rPr>
            </w:pPr>
            <w:r w:rsidDel="00000000" w:rsidR="00000000" w:rsidRPr="00000000">
              <w:rPr>
                <w:b w:val="1"/>
                <w:bCs w:val="1"/>
                <w:color w:val="1f1f1f"/>
                <w:rtl w:val="0"/>
              </w:rPr>
              <w:t xml:space="preserve">Likely Inadmissible</w:t>
            </w:r>
            <w:r w:rsidDel="00000000" w:rsidR="00000000" w:rsidRPr="00000000">
              <w:rPr>
                <w:color w:val="1f1f1f"/>
                <w:rtl w:val="0"/>
              </w:rPr>
              <w:t xml:space="preserve"> &amp; dangerous. Do not offer unless you fit a narrow necessity exception, but risk of prosecution is high.</w:t>
            </w:r>
          </w:p>
        </w:tc>
      </w:tr>
      <w:tr>
        <w:trPr>
          <w:cantSplit w:val="0"/>
          <w:trHeight w:val="3300" w:hRule="atLeast"/>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spacing w:after="480" w:lineRule="auto"/>
              <w:rPr>
                <w:color w:val="1f1f1f"/>
              </w:rPr>
            </w:pPr>
            <w:r w:rsidDel="00000000" w:rsidR="00000000" w:rsidRPr="00000000">
              <w:rPr>
                <w:b w:val="1"/>
                <w:bCs w:val="1"/>
                <w:color w:val="1f1f1f"/>
                <w:rtl w:val="0"/>
              </w:rPr>
              <w:t xml:space="preserve">Hacked Email / Cloud Data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spacing w:after="480" w:lineRule="auto"/>
              <w:rPr>
                <w:color w:val="1f1f1f"/>
              </w:rPr>
            </w:pPr>
            <w:r w:rsidDel="00000000" w:rsidR="00000000" w:rsidRPr="00000000">
              <w:rPr>
                <w:color w:val="1f1f1f"/>
                <w:rtl w:val="0"/>
              </w:rPr>
              <w:t xml:space="preserve">Unclean Hands / MCL 752.795</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spacing w:after="480" w:lineRule="auto"/>
              <w:rPr>
                <w:color w:val="1f1f1f"/>
              </w:rPr>
            </w:pPr>
            <w:r w:rsidDel="00000000" w:rsidR="00000000" w:rsidRPr="00000000">
              <w:rPr>
                <w:b w:val="1"/>
                <w:bCs w:val="1"/>
                <w:color w:val="1f1f1f"/>
                <w:rtl w:val="0"/>
              </w:rPr>
              <w:t xml:space="preserve">MCL 722.23</w:t>
            </w:r>
            <w:r w:rsidDel="00000000" w:rsidR="00000000" w:rsidRPr="00000000">
              <w:rPr>
                <w:color w:val="1f1f1f"/>
                <w:rtl w:val="0"/>
              </w:rPr>
              <w:t xml:space="preserve"> (Best Interests)</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spacing w:after="480" w:lineRule="auto"/>
              <w:rPr>
                <w:color w:val="1f1f1f"/>
              </w:rPr>
            </w:pPr>
            <w:r w:rsidDel="00000000" w:rsidR="00000000" w:rsidRPr="00000000">
              <w:rPr>
                <w:color w:val="1f1f1f"/>
                <w:rtl w:val="0"/>
              </w:rPr>
              <w:t xml:space="preserve">Argue </w:t>
            </w:r>
            <w:r w:rsidDel="00000000" w:rsidR="00000000" w:rsidRPr="00000000">
              <w:rPr>
                <w:b w:val="1"/>
                <w:bCs w:val="1"/>
                <w:color w:val="1f1f1f"/>
                <w:rtl w:val="0"/>
              </w:rPr>
              <w:t xml:space="preserve">Implied Consent</w:t>
            </w:r>
            <w:r w:rsidDel="00000000" w:rsidR="00000000" w:rsidRPr="00000000">
              <w:rPr>
                <w:color w:val="1f1f1f"/>
                <w:rtl w:val="0"/>
              </w:rPr>
              <w:t xml:space="preserve"> (prior shared access) or </w:t>
            </w:r>
            <w:r w:rsidDel="00000000" w:rsidR="00000000" w:rsidRPr="00000000">
              <w:rPr>
                <w:b w:val="1"/>
                <w:bCs w:val="1"/>
                <w:color w:val="1f1f1f"/>
                <w:rtl w:val="0"/>
              </w:rPr>
              <w:t xml:space="preserve">Necessity</w:t>
            </w:r>
            <w:r w:rsidDel="00000000" w:rsidR="00000000" w:rsidRPr="00000000">
              <w:rPr>
                <w:color w:val="1f1f1f"/>
                <w:rtl w:val="0"/>
              </w:rPr>
              <w:t xml:space="preserve"> (child safety). Argue Exclusionary Rule does not apply to private parties in civil suits.</w:t>
            </w:r>
          </w:p>
        </w:tc>
      </w:tr>
    </w:tbl>
    <w:p w:rsidR="00000000" w:rsidDel="00000000" w:rsidP="00000000" w:rsidRDefault="00000000" w:rsidRPr="00000000" w14:paraId="000000A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xhmeb848sv9e" w:id="23"/>
      <w:bookmarkEnd w:id="23"/>
      <w:r w:rsidDel="00000000" w:rsidR="00000000" w:rsidRPr="00000000">
        <w:rPr>
          <w:b w:val="1"/>
          <w:bCs w:val="1"/>
          <w:color w:val="1f1f1f"/>
          <w:sz w:val="22"/>
          <w:szCs w:val="22"/>
          <w:rtl w:val="0"/>
        </w:rPr>
        <w:t xml:space="preserve">Table 2: Referee Hearing vs. De Novo Review</w:t>
      </w:r>
    </w:p>
    <w:tbl>
      <w:tblPr>
        <w:tblStyle w:val="Table3"/>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2565"/>
        <w:gridCol w:w="4485"/>
        <w:tblGridChange w:id="0">
          <w:tblGrid>
            <w:gridCol w:w="1740"/>
            <w:gridCol w:w="2565"/>
            <w:gridCol w:w="4485"/>
          </w:tblGrid>
        </w:tblGridChange>
      </w:tblGrid>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spacing w:after="480" w:lineRule="auto"/>
              <w:rPr>
                <w:color w:val="1f1f1f"/>
              </w:rPr>
            </w:pPr>
            <w:r w:rsidDel="00000000" w:rsidR="00000000" w:rsidRPr="00000000">
              <w:rPr>
                <w:b w:val="1"/>
                <w:bCs w:val="1"/>
                <w:color w:val="1f1f1f"/>
                <w:rtl w:val="0"/>
              </w:rPr>
              <w:t xml:space="preserve">Feature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spacing w:after="480" w:lineRule="auto"/>
              <w:rPr>
                <w:color w:val="1f1f1f"/>
              </w:rPr>
            </w:pPr>
            <w:r w:rsidDel="00000000" w:rsidR="00000000" w:rsidRPr="00000000">
              <w:rPr>
                <w:b w:val="1"/>
                <w:bCs w:val="1"/>
                <w:color w:val="1f1f1f"/>
                <w:rtl w:val="0"/>
              </w:rPr>
              <w:t xml:space="preserve">Referee Hearing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spacing w:after="480" w:lineRule="auto"/>
              <w:rPr>
                <w:color w:val="1f1f1f"/>
              </w:rPr>
            </w:pPr>
            <w:r w:rsidDel="00000000" w:rsidR="00000000" w:rsidRPr="00000000">
              <w:rPr>
                <w:b w:val="1"/>
                <w:bCs w:val="1"/>
                <w:color w:val="1f1f1f"/>
                <w:rtl w:val="0"/>
              </w:rPr>
              <w:t xml:space="preserve">De Novo Judicial Hearing</w:t>
            </w:r>
            <w:r w:rsidDel="00000000" w:rsidR="00000000" w:rsidRPr="00000000">
              <w:rPr>
                <w:rtl w:val="0"/>
              </w:rPr>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spacing w:after="480" w:lineRule="auto"/>
              <w:rPr>
                <w:color w:val="1f1f1f"/>
              </w:rPr>
            </w:pPr>
            <w:r w:rsidDel="00000000" w:rsidR="00000000" w:rsidRPr="00000000">
              <w:rPr>
                <w:b w:val="1"/>
                <w:bCs w:val="1"/>
                <w:color w:val="1f1f1f"/>
                <w:rtl w:val="0"/>
              </w:rPr>
              <w:t xml:space="preserve">Decision Maker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spacing w:after="480" w:lineRule="auto"/>
              <w:rPr>
                <w:color w:val="1f1f1f"/>
              </w:rPr>
            </w:pPr>
            <w:r w:rsidDel="00000000" w:rsidR="00000000" w:rsidRPr="00000000">
              <w:rPr>
                <w:color w:val="1f1f1f"/>
                <w:rtl w:val="0"/>
              </w:rPr>
              <w:t xml:space="preserve">Hearing Officer (Not a Judge)</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spacing w:after="480" w:lineRule="auto"/>
              <w:rPr>
                <w:color w:val="1f1f1f"/>
              </w:rPr>
            </w:pPr>
            <w:r w:rsidDel="00000000" w:rsidR="00000000" w:rsidRPr="00000000">
              <w:rPr>
                <w:color w:val="1f1f1f"/>
                <w:rtl w:val="0"/>
              </w:rPr>
              <w:t xml:space="preserve">Circuit Court Judge</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spacing w:after="480" w:lineRule="auto"/>
              <w:rPr>
                <w:color w:val="1f1f1f"/>
              </w:rPr>
            </w:pPr>
            <w:r w:rsidDel="00000000" w:rsidR="00000000" w:rsidRPr="00000000">
              <w:rPr>
                <w:b w:val="1"/>
                <w:bCs w:val="1"/>
                <w:color w:val="1f1f1f"/>
                <w:rtl w:val="0"/>
              </w:rPr>
              <w:t xml:space="preserve">Authority</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spacing w:after="480" w:lineRule="auto"/>
              <w:rPr>
                <w:color w:val="1f1f1f"/>
              </w:rPr>
            </w:pPr>
            <w:r w:rsidDel="00000000" w:rsidR="00000000" w:rsidRPr="00000000">
              <w:rPr>
                <w:color w:val="1f1f1f"/>
                <w:rtl w:val="0"/>
              </w:rPr>
              <w:t xml:space="preserve">Recommendation Only</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spacing w:after="480" w:lineRule="auto"/>
              <w:rPr>
                <w:color w:val="1f1f1f"/>
              </w:rPr>
            </w:pPr>
            <w:r w:rsidDel="00000000" w:rsidR="00000000" w:rsidRPr="00000000">
              <w:rPr>
                <w:color w:val="1f1f1f"/>
                <w:rtl w:val="0"/>
              </w:rPr>
              <w:t xml:space="preserve">Final Order</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spacing w:after="480" w:lineRule="auto"/>
              <w:rPr>
                <w:color w:val="1f1f1f"/>
              </w:rPr>
            </w:pPr>
            <w:r w:rsidDel="00000000" w:rsidR="00000000" w:rsidRPr="00000000">
              <w:rPr>
                <w:b w:val="1"/>
                <w:bCs w:val="1"/>
                <w:color w:val="1f1f1f"/>
                <w:rtl w:val="0"/>
              </w:rPr>
              <w:t xml:space="preserve">Standard of Review</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spacing w:after="480" w:lineRule="auto"/>
              <w:rPr>
                <w:color w:val="1f1f1f"/>
              </w:rPr>
            </w:pPr>
            <w:r w:rsidDel="00000000" w:rsidR="00000000" w:rsidRPr="00000000">
              <w:rPr>
                <w:color w:val="1f1f1f"/>
                <w:rtl w:val="0"/>
              </w:rPr>
              <w:t xml:space="preserve">N/A</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spacing w:after="480" w:lineRule="auto"/>
              <w:rPr>
                <w:color w:val="1f1f1f"/>
              </w:rPr>
            </w:pPr>
            <w:r w:rsidDel="00000000" w:rsidR="00000000" w:rsidRPr="00000000">
              <w:rPr>
                <w:b w:val="1"/>
                <w:bCs w:val="1"/>
                <w:color w:val="1f1f1f"/>
                <w:rtl w:val="0"/>
              </w:rPr>
              <w:t xml:space="preserve">De Novo</w:t>
            </w:r>
            <w:r w:rsidDel="00000000" w:rsidR="00000000" w:rsidRPr="00000000">
              <w:rPr>
                <w:color w:val="1f1f1f"/>
                <w:rtl w:val="0"/>
              </w:rPr>
              <w:t xml:space="preserve"> (Fresh look, no deference to referee)</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spacing w:after="480" w:lineRule="auto"/>
              <w:rPr>
                <w:color w:val="1f1f1f"/>
              </w:rPr>
            </w:pPr>
            <w:r w:rsidDel="00000000" w:rsidR="00000000" w:rsidRPr="00000000">
              <w:rPr>
                <w:b w:val="1"/>
                <w:bCs w:val="1"/>
                <w:color w:val="1f1f1f"/>
                <w:rtl w:val="0"/>
              </w:rPr>
              <w:t xml:space="preserve">New Evidence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spacing w:after="480" w:lineRule="auto"/>
              <w:rPr>
                <w:color w:val="1f1f1f"/>
              </w:rPr>
            </w:pPr>
            <w:r w:rsidDel="00000000" w:rsidR="00000000" w:rsidRPr="00000000">
              <w:rPr>
                <w:color w:val="1f1f1f"/>
                <w:rtl w:val="0"/>
              </w:rPr>
              <w:t xml:space="preserve">Generally allowed</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spacing w:after="480" w:lineRule="auto"/>
              <w:rPr>
                <w:color w:val="1f1f1f"/>
              </w:rPr>
            </w:pPr>
            <w:r w:rsidDel="00000000" w:rsidR="00000000" w:rsidRPr="00000000">
              <w:rPr>
                <w:b w:val="1"/>
                <w:bCs w:val="1"/>
                <w:color w:val="1f1f1f"/>
                <w:rtl w:val="0"/>
              </w:rPr>
              <w:t xml:space="preserve">MCL 552.507(6)(c)</w:t>
            </w:r>
            <w:r w:rsidDel="00000000" w:rsidR="00000000" w:rsidRPr="00000000">
              <w:rPr>
                <w:color w:val="1f1f1f"/>
                <w:rtl w:val="0"/>
              </w:rPr>
              <w:t xml:space="preserve">: Discretionary. Can admit if not presented to referee, but usually need a good reason.</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spacing w:after="480" w:lineRule="auto"/>
              <w:rPr>
                <w:color w:val="1f1f1f"/>
              </w:rPr>
            </w:pPr>
            <w:r w:rsidDel="00000000" w:rsidR="00000000" w:rsidRPr="00000000">
              <w:rPr>
                <w:b w:val="1"/>
                <w:bCs w:val="1"/>
                <w:color w:val="1f1f1f"/>
                <w:rtl w:val="0"/>
              </w:rPr>
              <w:t xml:space="preserve">Deadline to Appeal</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spacing w:after="480" w:lineRule="auto"/>
              <w:rPr>
                <w:color w:val="1f1f1f"/>
              </w:rPr>
            </w:pPr>
            <w:r w:rsidDel="00000000" w:rsidR="00000000" w:rsidRPr="00000000">
              <w:rPr>
                <w:color w:val="1f1f1f"/>
                <w:rtl w:val="0"/>
              </w:rPr>
              <w:t xml:space="preserve">N/A</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spacing w:after="480" w:lineRule="auto"/>
              <w:rPr>
                <w:color w:val="1f1f1f"/>
              </w:rPr>
            </w:pPr>
            <w:r w:rsidDel="00000000" w:rsidR="00000000" w:rsidRPr="00000000">
              <w:rPr>
                <w:b w:val="1"/>
                <w:bCs w:val="1"/>
                <w:color w:val="1f1f1f"/>
                <w:rtl w:val="0"/>
              </w:rPr>
              <w:t xml:space="preserve">21 Days</w:t>
            </w:r>
            <w:r w:rsidDel="00000000" w:rsidR="00000000" w:rsidRPr="00000000">
              <w:rPr>
                <w:color w:val="1f1f1f"/>
                <w:rtl w:val="0"/>
              </w:rPr>
              <w:t xml:space="preserve"> from service of recommendation.</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spacing w:after="480" w:lineRule="auto"/>
              <w:rPr>
                <w:color w:val="1f1f1f"/>
              </w:rPr>
            </w:pPr>
            <w:r w:rsidDel="00000000" w:rsidR="00000000" w:rsidRPr="00000000">
              <w:rPr>
                <w:b w:val="1"/>
                <w:bCs w:val="1"/>
                <w:color w:val="1f1f1f"/>
                <w:rtl w:val="0"/>
              </w:rPr>
              <w:t xml:space="preserve">Record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spacing w:after="480" w:lineRule="auto"/>
              <w:rPr>
                <w:color w:val="1f1f1f"/>
              </w:rPr>
            </w:pPr>
            <w:r w:rsidDel="00000000" w:rsidR="00000000" w:rsidRPr="00000000">
              <w:rPr>
                <w:color w:val="1f1f1f"/>
                <w:rtl w:val="0"/>
              </w:rPr>
              <w:t xml:space="preserve">Audio/Video Recording</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spacing w:after="480" w:lineRule="auto"/>
              <w:rPr>
                <w:color w:val="1f1f1f"/>
              </w:rPr>
            </w:pPr>
            <w:r w:rsidDel="00000000" w:rsidR="00000000" w:rsidRPr="00000000">
              <w:rPr>
                <w:color w:val="1f1f1f"/>
                <w:rtl w:val="0"/>
              </w:rPr>
              <w:t xml:space="preserve">Transcript of Referee hearing usually required.</w:t>
            </w:r>
          </w:p>
        </w:tc>
      </w:tr>
    </w:tbl>
    <w:p w:rsidR="00000000" w:rsidDel="00000000" w:rsidP="00000000" w:rsidRDefault="00000000" w:rsidRPr="00000000" w14:paraId="000000B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0f4f9" w:val="clear"/>
    </w:tcPr>
  </w:style>
  <w:style w:type="table" w:styleId="Table2">
    <w:basedOn w:val="TableNormal"/>
    <w:tblPr>
      <w:tblStyleRowBandSize w:val="1"/>
      <w:tblStyleColBandSize w:val="1"/>
      <w:tblCellMar/>
    </w:tblPr>
    <w:tcPr>
      <w:shd w:fill="f0f4f9" w:val="clear"/>
    </w:tcPr>
  </w:style>
  <w:style w:type="table" w:styleId="Table3">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